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39"/>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560"/>
        <w:spacing w:after="0"/>
        <w:rPr>
          <w:sz w:val="20"/>
          <w:szCs w:val="20"/>
          <w:color w:val="auto"/>
        </w:rPr>
      </w:pPr>
      <w:r>
        <w:rPr>
          <w:rFonts w:ascii="Courier New" w:cs="Courier New" w:eastAsia="Courier New" w:hAnsi="Courier New"/>
          <w:sz w:val="16"/>
          <w:szCs w:val="16"/>
          <w:color w:val="auto"/>
        </w:rPr>
        <w:t>FORM 10-Q</w:t>
      </w:r>
    </w:p>
    <w:p>
      <w:pPr>
        <w:spacing w:after="0" w:line="198" w:lineRule="exact"/>
        <w:rPr>
          <w:sz w:val="24"/>
          <w:szCs w:val="24"/>
          <w:color w:val="auto"/>
        </w:rPr>
      </w:pPr>
    </w:p>
    <w:p>
      <w:pPr>
        <w:ind w:left="880" w:right="2819" w:hanging="879"/>
        <w:spacing w:after="0" w:line="376" w:lineRule="auto"/>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7"/>
        </w:trPr>
        <w:tc>
          <w:tcPr>
            <w:tcW w:w="600" w:type="dxa"/>
            <w:vAlign w:val="bottom"/>
          </w:tcPr>
          <w:p>
            <w:pPr>
              <w:spacing w:after="0"/>
              <w:rPr>
                <w:sz w:val="24"/>
                <w:szCs w:val="24"/>
                <w:color w:val="auto"/>
              </w:rPr>
            </w:pPr>
          </w:p>
        </w:tc>
        <w:tc>
          <w:tcPr>
            <w:tcW w:w="5420" w:type="dxa"/>
            <w:vAlign w:val="bottom"/>
          </w:tcPr>
          <w:p>
            <w:pPr>
              <w:jc w:val="center"/>
              <w:ind w:left="1298"/>
              <w:spacing w:after="0"/>
              <w:rPr>
                <w:sz w:val="20"/>
                <w:szCs w:val="20"/>
                <w:color w:val="auto"/>
              </w:rPr>
            </w:pPr>
            <w:r>
              <w:rPr>
                <w:rFonts w:ascii="Courier New" w:cs="Courier New" w:eastAsia="Courier New" w:hAnsi="Courier New"/>
                <w:sz w:val="16"/>
                <w:szCs w:val="16"/>
                <w:color w:val="auto"/>
              </w:rPr>
              <w:t>JUNE 30, 2003</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600" w:type="dxa"/>
            <w:vAlign w:val="bottom"/>
          </w:tcPr>
          <w:p>
            <w:pPr>
              <w:spacing w:after="0"/>
              <w:rPr>
                <w:sz w:val="24"/>
                <w:szCs w:val="24"/>
                <w:color w:val="auto"/>
              </w:rPr>
            </w:pPr>
          </w:p>
        </w:tc>
        <w:tc>
          <w:tcPr>
            <w:tcW w:w="5420" w:type="dxa"/>
            <w:vAlign w:val="bottom"/>
          </w:tcPr>
          <w:p>
            <w:pPr>
              <w:ind w:left="3240"/>
              <w:spacing w:after="0"/>
              <w:rPr>
                <w:sz w:val="20"/>
                <w:szCs w:val="20"/>
                <w:color w:val="auto"/>
              </w:rPr>
            </w:pPr>
            <w:r>
              <w:rPr>
                <w:rFonts w:ascii="Courier New" w:cs="Courier New" w:eastAsia="Courier New" w:hAnsi="Courier New"/>
                <w:sz w:val="16"/>
                <w:szCs w:val="16"/>
                <w:color w:val="auto"/>
              </w:rPr>
              <w:t>or</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7"/>
              </w:rPr>
              <w:t>[ ]</w:t>
            </w:r>
          </w:p>
        </w:tc>
        <w:tc>
          <w:tcPr>
            <w:tcW w:w="72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Transition Report pursuant to Section 13 or 15(d) of the Securities</w:t>
            </w: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Exchange Act of 1934 for the transition period from:</w:t>
            </w:r>
          </w:p>
        </w:tc>
        <w:tc>
          <w:tcPr>
            <w:tcW w:w="1860" w:type="dxa"/>
            <w:vAlign w:val="bottom"/>
          </w:tcPr>
          <w:p>
            <w:pPr>
              <w:ind w:left="580"/>
              <w:spacing w:after="0"/>
              <w:rPr>
                <w:sz w:val="20"/>
                <w:szCs w:val="20"/>
                <w:color w:val="auto"/>
              </w:rPr>
            </w:pPr>
            <w:r>
              <w:rPr>
                <w:rFonts w:ascii="Courier New" w:cs="Courier New" w:eastAsia="Courier New" w:hAnsi="Courier New"/>
                <w:sz w:val="16"/>
                <w:szCs w:val="16"/>
                <w:color w:val="auto"/>
              </w:rPr>
              <w:t>to</w:t>
            </w: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0" w:type="dxa"/>
            <w:vAlign w:val="bottom"/>
          </w:tcPr>
          <w:p>
            <w:pPr>
              <w:spacing w:after="0"/>
              <w:rPr>
                <w:sz w:val="1"/>
                <w:szCs w:val="1"/>
                <w:color w:val="auto"/>
              </w:rPr>
            </w:pPr>
          </w:p>
        </w:tc>
      </w:tr>
      <w:tr>
        <w:trPr>
          <w:trHeight w:val="379"/>
        </w:trPr>
        <w:tc>
          <w:tcPr>
            <w:tcW w:w="600" w:type="dxa"/>
            <w:vAlign w:val="bottom"/>
          </w:tcPr>
          <w:p>
            <w:pPr>
              <w:spacing w:after="0"/>
              <w:rPr>
                <w:sz w:val="24"/>
                <w:szCs w:val="24"/>
                <w:color w:val="auto"/>
              </w:rPr>
            </w:pPr>
          </w:p>
        </w:tc>
        <w:tc>
          <w:tcPr>
            <w:tcW w:w="5420" w:type="dxa"/>
            <w:vAlign w:val="bottom"/>
          </w:tcPr>
          <w:p>
            <w:pPr>
              <w:jc w:val="center"/>
              <w:ind w:left="1278"/>
              <w:spacing w:after="0"/>
              <w:rPr>
                <w:sz w:val="20"/>
                <w:szCs w:val="20"/>
                <w:color w:val="auto"/>
              </w:rPr>
            </w:pPr>
            <w:r>
              <w:rPr>
                <w:rFonts w:ascii="Courier New" w:cs="Courier New" w:eastAsia="Courier New" w:hAnsi="Courier New"/>
                <w:sz w:val="16"/>
                <w:szCs w:val="16"/>
                <w:color w:val="auto"/>
              </w:rPr>
              <w:t>Commission file number: 1-10686</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00" w:type="dxa"/>
            <w:vAlign w:val="bottom"/>
          </w:tcPr>
          <w:p>
            <w:pPr>
              <w:spacing w:after="0"/>
              <w:rPr>
                <w:sz w:val="24"/>
                <w:szCs w:val="24"/>
                <w:color w:val="auto"/>
              </w:rPr>
            </w:pPr>
          </w:p>
        </w:tc>
        <w:tc>
          <w:tcPr>
            <w:tcW w:w="5420" w:type="dxa"/>
            <w:vAlign w:val="bottom"/>
          </w:tcPr>
          <w:p>
            <w:pPr>
              <w:jc w:val="center"/>
              <w:ind w:left="1298"/>
              <w:spacing w:after="0"/>
              <w:rPr>
                <w:sz w:val="20"/>
                <w:szCs w:val="20"/>
                <w:color w:val="auto"/>
              </w:rPr>
            </w:pPr>
            <w:r>
              <w:rPr>
                <w:rFonts w:ascii="Courier New" w:cs="Courier New" w:eastAsia="Courier New" w:hAnsi="Courier New"/>
                <w:sz w:val="16"/>
                <w:szCs w:val="16"/>
                <w:color w:val="auto"/>
              </w:rPr>
              <w:t>MANPOWER INC.</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728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(Exact name of registrant as specified in its charter)</w:t>
            </w:r>
          </w:p>
        </w:tc>
        <w:tc>
          <w:tcPr>
            <w:tcW w:w="0" w:type="dxa"/>
            <w:vAlign w:val="bottom"/>
          </w:tcPr>
          <w:p>
            <w:pPr>
              <w:spacing w:after="0"/>
              <w:rPr>
                <w:sz w:val="1"/>
                <w:szCs w:val="1"/>
                <w:color w:val="auto"/>
              </w:rPr>
            </w:pPr>
          </w:p>
        </w:tc>
      </w:tr>
      <w:tr>
        <w:trPr>
          <w:trHeight w:val="292"/>
        </w:trPr>
        <w:tc>
          <w:tcPr>
            <w:tcW w:w="600" w:type="dxa"/>
            <w:vAlign w:val="bottom"/>
          </w:tcPr>
          <w:p>
            <w:pPr>
              <w:spacing w:after="0"/>
              <w:rPr>
                <w:sz w:val="24"/>
                <w:szCs w:val="24"/>
                <w:color w:val="auto"/>
              </w:rPr>
            </w:pPr>
          </w:p>
        </w:tc>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WISCONSIN</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39-1672779</w:t>
            </w: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(State or other jurisdiction</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(IRS Employer</w:t>
            </w: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of incorporation)</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Identification No.)</w:t>
            </w:r>
          </w:p>
        </w:tc>
        <w:tc>
          <w:tcPr>
            <w:tcW w:w="0" w:type="dxa"/>
            <w:vAlign w:val="bottom"/>
          </w:tcPr>
          <w:p>
            <w:pPr>
              <w:spacing w:after="0"/>
              <w:rPr>
                <w:sz w:val="1"/>
                <w:szCs w:val="1"/>
                <w:color w:val="auto"/>
              </w:rPr>
            </w:pPr>
          </w:p>
        </w:tc>
      </w:tr>
      <w:tr>
        <w:trPr>
          <w:trHeight w:val="292"/>
        </w:trPr>
        <w:tc>
          <w:tcPr>
            <w:tcW w:w="600" w:type="dxa"/>
            <w:vAlign w:val="bottom"/>
          </w:tcPr>
          <w:p>
            <w:pPr>
              <w:spacing w:after="0"/>
              <w:rPr>
                <w:sz w:val="24"/>
                <w:szCs w:val="24"/>
                <w:color w:val="auto"/>
              </w:rPr>
            </w:pPr>
          </w:p>
        </w:tc>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5301 N. IRONWOOD ROAD</w:t>
            </w:r>
          </w:p>
        </w:tc>
        <w:tc>
          <w:tcPr>
            <w:tcW w:w="1860" w:type="dxa"/>
            <w:vAlign w:val="bottom"/>
            <w:vMerge w:val="restart"/>
          </w:tcPr>
          <w:p>
            <w:pPr>
              <w:spacing w:after="0"/>
              <w:rPr>
                <w:sz w:val="20"/>
                <w:szCs w:val="20"/>
                <w:color w:val="auto"/>
              </w:rPr>
            </w:pPr>
            <w:r>
              <w:rPr>
                <w:rFonts w:ascii="Courier New" w:cs="Courier New" w:eastAsia="Courier New" w:hAnsi="Courier New"/>
                <w:sz w:val="16"/>
                <w:szCs w:val="16"/>
                <w:color w:val="auto"/>
              </w:rPr>
              <w:t>53217</w:t>
            </w: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MILWAUKEE, WISCONSIN</w:t>
            </w:r>
          </w:p>
        </w:tc>
        <w:tc>
          <w:tcPr>
            <w:tcW w:w="1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600" w:type="dxa"/>
            <w:vAlign w:val="bottom"/>
          </w:tcPr>
          <w:p>
            <w:pPr>
              <w:spacing w:after="0"/>
              <w:rPr>
                <w:sz w:val="24"/>
                <w:szCs w:val="24"/>
                <w:color w:val="auto"/>
              </w:rPr>
            </w:pPr>
          </w:p>
        </w:tc>
        <w:tc>
          <w:tcPr>
            <w:tcW w:w="5420" w:type="dxa"/>
            <w:vAlign w:val="bottom"/>
          </w:tcPr>
          <w:p>
            <w:pPr>
              <w:ind w:left="280"/>
              <w:spacing w:after="0"/>
              <w:rPr>
                <w:sz w:val="20"/>
                <w:szCs w:val="20"/>
                <w:color w:val="auto"/>
              </w:rPr>
            </w:pPr>
            <w:r>
              <w:rPr>
                <w:rFonts w:ascii="Courier New" w:cs="Courier New" w:eastAsia="Courier New" w:hAnsi="Courier New"/>
                <w:sz w:val="16"/>
                <w:szCs w:val="16"/>
                <w:color w:val="auto"/>
              </w:rPr>
              <w:t>(Address of principal executive offices)</w:t>
            </w:r>
          </w:p>
        </w:tc>
        <w:tc>
          <w:tcPr>
            <w:tcW w:w="1860" w:type="dxa"/>
            <w:vAlign w:val="bottom"/>
          </w:tcPr>
          <w:p>
            <w:pPr>
              <w:spacing w:after="0"/>
              <w:rPr>
                <w:sz w:val="20"/>
                <w:szCs w:val="20"/>
                <w:color w:val="auto"/>
              </w:rPr>
            </w:pPr>
            <w:r>
              <w:rPr>
                <w:rFonts w:ascii="Courier New" w:cs="Courier New" w:eastAsia="Courier New" w:hAnsi="Courier New"/>
                <w:sz w:val="16"/>
                <w:szCs w:val="16"/>
                <w:color w:val="auto"/>
              </w:rPr>
              <w:t>(Zip Code)</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700"/>
        <w:spacing w:after="0"/>
        <w:rPr>
          <w:sz w:val="20"/>
          <w:szCs w:val="20"/>
          <w:color w:val="auto"/>
        </w:rPr>
      </w:pPr>
      <w:r>
        <w:rPr>
          <w:rFonts w:ascii="Courier New" w:cs="Courier New" w:eastAsia="Courier New" w:hAnsi="Courier New"/>
          <w:sz w:val="16"/>
          <w:szCs w:val="16"/>
          <w:color w:val="auto"/>
        </w:rPr>
        <w:t>Registrant's telephone number, including area code: (414) 961-1000</w:t>
      </w:r>
    </w:p>
    <w:p>
      <w:pPr>
        <w:spacing w:after="0" w:line="198" w:lineRule="exact"/>
        <w:rPr>
          <w:sz w:val="24"/>
          <w:szCs w:val="24"/>
          <w:color w:val="auto"/>
        </w:rPr>
      </w:pPr>
    </w:p>
    <w:p>
      <w:pPr>
        <w:ind w:left="880" w:right="2339"/>
        <w:spacing w:after="0" w:line="25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4" w:lineRule="exact"/>
        <w:rPr>
          <w:sz w:val="24"/>
          <w:szCs w:val="24"/>
          <w:color w:val="auto"/>
        </w:rPr>
      </w:pPr>
    </w:p>
    <w:p>
      <w:pPr>
        <w:ind w:left="3560"/>
        <w:spacing w:after="0"/>
        <w:tabs>
          <w:tab w:leader="none" w:pos="4420" w:val="left"/>
          <w:tab w:leader="none" w:pos="520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8" w:lineRule="exact"/>
        <w:rPr>
          <w:sz w:val="24"/>
          <w:szCs w:val="24"/>
          <w:color w:val="auto"/>
        </w:rPr>
      </w:pPr>
    </w:p>
    <w:p>
      <w:pPr>
        <w:ind w:left="4240"/>
        <w:spacing w:after="0"/>
        <w:tabs>
          <w:tab w:leader="none" w:pos="5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8" w:lineRule="exact"/>
        <w:rPr>
          <w:sz w:val="24"/>
          <w:szCs w:val="24"/>
          <w:color w:val="auto"/>
        </w:rPr>
      </w:pPr>
    </w:p>
    <w:p>
      <w:pPr>
        <w:ind w:left="880" w:right="2519"/>
        <w:spacing w:after="0" w:line="270" w:lineRule="auto"/>
        <w:rPr>
          <w:sz w:val="20"/>
          <w:szCs w:val="20"/>
          <w:color w:val="auto"/>
        </w:rPr>
      </w:pPr>
      <w:r>
        <w:rPr>
          <w:rFonts w:ascii="Courier New" w:cs="Courier New" w:eastAsia="Courier New" w:hAnsi="Courier New"/>
          <w:sz w:val="16"/>
          <w:szCs w:val="16"/>
          <w:color w:val="auto"/>
        </w:rPr>
        <w:t>Indicate by check mark whether the Registrant is an accelerated filer (as defined in rule 12b-2 of the Exchange Act).</w:t>
      </w:r>
    </w:p>
    <w:p>
      <w:pPr>
        <w:spacing w:after="0" w:line="1" w:lineRule="exact"/>
        <w:rPr>
          <w:sz w:val="24"/>
          <w:szCs w:val="24"/>
          <w:color w:val="auto"/>
        </w:rPr>
      </w:pPr>
    </w:p>
    <w:p>
      <w:pPr>
        <w:ind w:left="3560"/>
        <w:spacing w:after="0"/>
        <w:tabs>
          <w:tab w:leader="none" w:pos="4420" w:val="left"/>
          <w:tab w:leader="none" w:pos="520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8" w:lineRule="exact"/>
        <w:rPr>
          <w:sz w:val="24"/>
          <w:szCs w:val="24"/>
          <w:color w:val="auto"/>
        </w:rPr>
      </w:pPr>
    </w:p>
    <w:p>
      <w:pPr>
        <w:ind w:left="4240"/>
        <w:spacing w:after="0"/>
        <w:tabs>
          <w:tab w:leader="none" w:pos="56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8" w:lineRule="exact"/>
        <w:rPr>
          <w:sz w:val="24"/>
          <w:szCs w:val="24"/>
          <w:color w:val="auto"/>
        </w:rPr>
      </w:pPr>
    </w:p>
    <w:p>
      <w:pPr>
        <w:ind w:left="880" w:right="2919"/>
        <w:spacing w:after="0" w:line="376"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880" w:type="dxa"/>
        <w:tblCellMar>
          <w:top w:w="0" w:type="dxa"/>
          <w:left w:w="0" w:type="dxa"/>
          <w:bottom w:w="0" w:type="dxa"/>
          <w:right w:w="0" w:type="dxa"/>
        </w:tblCellMar>
      </w:tblPr>
      <w:tr>
        <w:trPr>
          <w:trHeight w:val="190"/>
        </w:trPr>
        <w:tc>
          <w:tcPr>
            <w:tcW w:w="3800" w:type="dxa"/>
            <w:vAlign w:val="bottom"/>
            <w:vMerge w:val="restart"/>
          </w:tcPr>
          <w:p>
            <w:pPr>
              <w:spacing w:after="0"/>
              <w:rPr>
                <w:sz w:val="20"/>
                <w:szCs w:val="20"/>
                <w:color w:val="auto"/>
              </w:rPr>
            </w:pPr>
            <w:r>
              <w:rPr>
                <w:rFonts w:ascii="Courier New" w:cs="Courier New" w:eastAsia="Courier New" w:hAnsi="Courier New"/>
                <w:sz w:val="16"/>
                <w:szCs w:val="16"/>
                <w:color w:val="auto"/>
              </w:rPr>
              <w:t>CLASS</w:t>
            </w:r>
          </w:p>
        </w:tc>
        <w:tc>
          <w:tcPr>
            <w:tcW w:w="32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SHARES OUTSTANDING</w:t>
            </w:r>
          </w:p>
        </w:tc>
        <w:tc>
          <w:tcPr>
            <w:tcW w:w="0" w:type="dxa"/>
            <w:vAlign w:val="bottom"/>
          </w:tcPr>
          <w:p>
            <w:pPr>
              <w:spacing w:after="0"/>
              <w:rPr>
                <w:sz w:val="1"/>
                <w:szCs w:val="1"/>
                <w:color w:val="auto"/>
              </w:rPr>
            </w:pPr>
          </w:p>
        </w:tc>
      </w:tr>
      <w:tr>
        <w:trPr>
          <w:trHeight w:val="190"/>
        </w:trPr>
        <w:tc>
          <w:tcPr>
            <w:tcW w:w="3800" w:type="dxa"/>
            <w:vAlign w:val="bottom"/>
            <w:vMerge w:val="continue"/>
          </w:tcPr>
          <w:p>
            <w:pPr>
              <w:spacing w:after="0"/>
              <w:rPr>
                <w:sz w:val="16"/>
                <w:szCs w:val="16"/>
                <w:color w:val="auto"/>
              </w:rPr>
            </w:pPr>
          </w:p>
        </w:tc>
        <w:tc>
          <w:tcPr>
            <w:tcW w:w="3200" w:type="dxa"/>
            <w:vAlign w:val="bottom"/>
          </w:tcPr>
          <w:p>
            <w:pPr>
              <w:jc w:val="right"/>
              <w:ind w:right="98"/>
              <w:spacing w:after="0"/>
              <w:rPr>
                <w:sz w:val="20"/>
                <w:szCs w:val="20"/>
                <w:color w:val="auto"/>
              </w:rPr>
            </w:pPr>
            <w:r>
              <w:rPr>
                <w:rFonts w:ascii="Courier New" w:cs="Courier New" w:eastAsia="Courier New" w:hAnsi="Courier New"/>
                <w:sz w:val="16"/>
                <w:szCs w:val="16"/>
                <w:color w:val="auto"/>
              </w:rPr>
              <w:t>AT JUNE 30, 2003</w:t>
            </w:r>
          </w:p>
        </w:tc>
        <w:tc>
          <w:tcPr>
            <w:tcW w:w="0" w:type="dxa"/>
            <w:vAlign w:val="bottom"/>
          </w:tcPr>
          <w:p>
            <w:pPr>
              <w:spacing w:after="0"/>
              <w:rPr>
                <w:sz w:val="1"/>
                <w:szCs w:val="1"/>
                <w:color w:val="auto"/>
              </w:rPr>
            </w:pPr>
          </w:p>
        </w:tc>
      </w:tr>
      <w:tr>
        <w:trPr>
          <w:trHeight w:val="190"/>
        </w:trPr>
        <w:tc>
          <w:tcPr>
            <w:tcW w:w="38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800" w:type="dxa"/>
            <w:vAlign w:val="bottom"/>
          </w:tcPr>
          <w:p>
            <w:pPr>
              <w:spacing w:after="0"/>
              <w:rPr>
                <w:sz w:val="20"/>
                <w:szCs w:val="20"/>
                <w:color w:val="auto"/>
              </w:rPr>
            </w:pPr>
            <w:r>
              <w:rPr>
                <w:rFonts w:ascii="Courier New" w:cs="Courier New" w:eastAsia="Courier New" w:hAnsi="Courier New"/>
                <w:sz w:val="16"/>
                <w:szCs w:val="16"/>
                <w:color w:val="auto"/>
              </w:rPr>
              <w:t>Common Stock, $.01 par value</w:t>
            </w:r>
          </w:p>
        </w:tc>
        <w:tc>
          <w:tcPr>
            <w:tcW w:w="320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77,725,977</w:t>
            </w:r>
          </w:p>
        </w:tc>
        <w:tc>
          <w:tcPr>
            <w:tcW w:w="0" w:type="dxa"/>
            <w:vAlign w:val="bottom"/>
          </w:tcPr>
          <w:p>
            <w:pPr>
              <w:spacing w:after="0"/>
              <w:rPr>
                <w:sz w:val="1"/>
                <w:szCs w:val="1"/>
                <w:color w:val="auto"/>
              </w:rPr>
            </w:pPr>
          </w:p>
        </w:tc>
      </w:tr>
    </w:tbl>
    <w:p>
      <w:pPr>
        <w:spacing w:after="0" w:line="10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402" w:right="1440" w:bottom="1440" w:gutter="0" w:footer="0" w:header="0"/>
        </w:sectPr>
      </w:pPr>
    </w:p>
    <w:bookmarkStart w:id="1" w:name="page2"/>
    <w:bookmarkEnd w:id="1"/>
    <w:p>
      <w:pPr>
        <w:ind w:left="2460"/>
        <w:spacing w:after="0"/>
        <w:rPr>
          <w:sz w:val="20"/>
          <w:szCs w:val="20"/>
          <w:color w:val="auto"/>
        </w:rPr>
      </w:pPr>
      <w:r>
        <w:rPr>
          <w:rFonts w:ascii="Courier New" w:cs="Courier New" w:eastAsia="Courier New" w:hAnsi="Courier New"/>
          <w:sz w:val="16"/>
          <w:szCs w:val="16"/>
          <w:color w:val="auto"/>
        </w:rPr>
        <w:t>MANPOWER INC. AND SUBSIDIARIES</w:t>
      </w:r>
    </w:p>
    <w:p>
      <w:pPr>
        <w:spacing w:after="0" w:line="3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Page</w:t>
            </w: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Number</w:t>
            </w:r>
          </w:p>
        </w:tc>
        <w:tc>
          <w:tcPr>
            <w:tcW w:w="0" w:type="dxa"/>
            <w:vAlign w:val="bottom"/>
          </w:tcPr>
          <w:p>
            <w:pPr>
              <w:spacing w:after="0"/>
              <w:rPr>
                <w:sz w:val="1"/>
                <w:szCs w:val="1"/>
                <w:color w:val="auto"/>
              </w:rPr>
            </w:pPr>
          </w:p>
        </w:tc>
      </w:tr>
      <w:tr>
        <w:trPr>
          <w:trHeight w:val="277"/>
        </w:trPr>
        <w:tc>
          <w:tcPr>
            <w:tcW w:w="1780" w:type="dxa"/>
            <w:vAlign w:val="bottom"/>
            <w:vMerge w:val="restart"/>
          </w:tcPr>
          <w:p>
            <w:pPr>
              <w:spacing w:after="0"/>
              <w:rPr>
                <w:sz w:val="20"/>
                <w:szCs w:val="20"/>
                <w:color w:val="auto"/>
              </w:rPr>
            </w:pPr>
            <w:r>
              <w:rPr>
                <w:rFonts w:ascii="Courier New" w:cs="Courier New" w:eastAsia="Courier New" w:hAnsi="Courier New"/>
                <w:sz w:val="16"/>
                <w:szCs w:val="16"/>
                <w:color w:val="auto"/>
              </w:rPr>
              <w:t>PART I</w:t>
            </w:r>
          </w:p>
        </w:tc>
        <w:tc>
          <w:tcPr>
            <w:tcW w:w="5220" w:type="dxa"/>
            <w:vAlign w:val="bottom"/>
            <w:vMerge w:val="restart"/>
          </w:tcPr>
          <w:p>
            <w:pPr>
              <w:spacing w:after="0"/>
              <w:rPr>
                <w:sz w:val="20"/>
                <w:szCs w:val="20"/>
                <w:color w:val="auto"/>
              </w:rPr>
            </w:pPr>
            <w:r>
              <w:rPr>
                <w:rFonts w:ascii="Courier New" w:cs="Courier New" w:eastAsia="Courier New" w:hAnsi="Courier New"/>
                <w:sz w:val="16"/>
                <w:szCs w:val="16"/>
                <w:color w:val="auto"/>
              </w:rPr>
              <w:t>FINANCIAL INFORMATION</w:t>
            </w:r>
          </w:p>
        </w:tc>
        <w:tc>
          <w:tcPr>
            <w:tcW w:w="37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780" w:type="dxa"/>
            <w:vAlign w:val="bottom"/>
            <w:vMerge w:val="continue"/>
          </w:tcPr>
          <w:p>
            <w:pPr>
              <w:spacing w:after="0"/>
              <w:rPr>
                <w:sz w:val="16"/>
                <w:szCs w:val="16"/>
                <w:color w:val="auto"/>
              </w:rPr>
            </w:pPr>
          </w:p>
        </w:tc>
        <w:tc>
          <w:tcPr>
            <w:tcW w:w="5220" w:type="dxa"/>
            <w:vAlign w:val="bottom"/>
            <w:vMerge w:val="continue"/>
          </w:tcPr>
          <w:p>
            <w:pPr>
              <w:spacing w:after="0"/>
              <w:rPr>
                <w:sz w:val="16"/>
                <w:szCs w:val="16"/>
                <w:color w:val="auto"/>
              </w:rPr>
            </w:pPr>
          </w:p>
        </w:tc>
        <w:tc>
          <w:tcPr>
            <w:tcW w:w="37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Item 1</w:t>
            </w:r>
          </w:p>
        </w:tc>
        <w:tc>
          <w:tcPr>
            <w:tcW w:w="5220" w:type="dxa"/>
            <w:vAlign w:val="bottom"/>
          </w:tcPr>
          <w:p>
            <w:pPr>
              <w:spacing w:after="0"/>
              <w:rPr>
                <w:sz w:val="20"/>
                <w:szCs w:val="20"/>
                <w:color w:val="auto"/>
              </w:rPr>
            </w:pPr>
            <w:r>
              <w:rPr>
                <w:rFonts w:ascii="Courier New" w:cs="Courier New" w:eastAsia="Courier New" w:hAnsi="Courier New"/>
                <w:sz w:val="16"/>
                <w:szCs w:val="16"/>
                <w:color w:val="auto"/>
              </w:rPr>
              <w:t>Financial Statements (unaudited)</w:t>
            </w:r>
          </w:p>
        </w:tc>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1780" w:type="dxa"/>
            <w:vAlign w:val="bottom"/>
          </w:tcPr>
          <w:p>
            <w:pPr>
              <w:spacing w:after="0"/>
              <w:rPr>
                <w:sz w:val="24"/>
                <w:szCs w:val="24"/>
                <w:color w:val="auto"/>
              </w:rPr>
            </w:pPr>
          </w:p>
        </w:tc>
        <w:tc>
          <w:tcPr>
            <w:tcW w:w="5220" w:type="dxa"/>
            <w:vAlign w:val="bottom"/>
          </w:tcPr>
          <w:p>
            <w:pPr>
              <w:ind w:left="680"/>
              <w:spacing w:after="0"/>
              <w:rPr>
                <w:sz w:val="20"/>
                <w:szCs w:val="20"/>
                <w:color w:val="auto"/>
              </w:rPr>
            </w:pPr>
            <w:r>
              <w:rPr>
                <w:rFonts w:ascii="Courier New" w:cs="Courier New" w:eastAsia="Courier New" w:hAnsi="Courier New"/>
                <w:sz w:val="12"/>
                <w:szCs w:val="12"/>
                <w:color w:val="auto"/>
                <w:w w:val="72"/>
              </w:rPr>
              <w:t>Consolidated Balance Sheets ..........................................................</w:t>
            </w:r>
          </w:p>
        </w:tc>
        <w:tc>
          <w:tcPr>
            <w:tcW w:w="37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0"/>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5220" w:type="dxa"/>
            <w:vAlign w:val="bottom"/>
          </w:tcPr>
          <w:p>
            <w:pPr>
              <w:ind w:left="680"/>
              <w:spacing w:after="0"/>
              <w:rPr>
                <w:sz w:val="20"/>
                <w:szCs w:val="20"/>
                <w:color w:val="auto"/>
              </w:rPr>
            </w:pPr>
            <w:r>
              <w:rPr>
                <w:rFonts w:ascii="Courier New" w:cs="Courier New" w:eastAsia="Courier New" w:hAnsi="Courier New"/>
                <w:sz w:val="16"/>
                <w:szCs w:val="16"/>
                <w:color w:val="auto"/>
              </w:rPr>
              <w:t>Consolidated Statements of Operations.........</w:t>
            </w:r>
          </w:p>
        </w:tc>
        <w:tc>
          <w:tcPr>
            <w:tcW w:w="3740" w:type="dxa"/>
            <w:vAlign w:val="bottom"/>
            <w:vMerge w:val="continue"/>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90"/>
        </w:trPr>
        <w:tc>
          <w:tcPr>
            <w:tcW w:w="1780" w:type="dxa"/>
            <w:vAlign w:val="bottom"/>
          </w:tcPr>
          <w:p>
            <w:pPr>
              <w:spacing w:after="0"/>
              <w:rPr>
                <w:sz w:val="16"/>
                <w:szCs w:val="16"/>
                <w:color w:val="auto"/>
              </w:rPr>
            </w:pPr>
          </w:p>
        </w:tc>
        <w:tc>
          <w:tcPr>
            <w:tcW w:w="8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 Statements of Cash Flows....................................................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90"/>
        </w:trPr>
        <w:tc>
          <w:tcPr>
            <w:tcW w:w="1780" w:type="dxa"/>
            <w:vAlign w:val="bottom"/>
            <w:vMerge w:val="restart"/>
          </w:tcPr>
          <w:p>
            <w:pPr>
              <w:ind w:left="300"/>
              <w:spacing w:after="0"/>
              <w:rPr>
                <w:sz w:val="20"/>
                <w:szCs w:val="20"/>
                <w:color w:val="auto"/>
              </w:rPr>
            </w:pPr>
            <w:r>
              <w:rPr>
                <w:rFonts w:ascii="Courier New" w:cs="Courier New" w:eastAsia="Courier New" w:hAnsi="Courier New"/>
                <w:sz w:val="16"/>
                <w:szCs w:val="16"/>
                <w:color w:val="auto"/>
              </w:rPr>
              <w:t>Item 2</w:t>
            </w:r>
          </w:p>
        </w:tc>
        <w:tc>
          <w:tcPr>
            <w:tcW w:w="8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Notes to Consolidated Financial Statements............................................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7-11</w:t>
            </w:r>
          </w:p>
        </w:tc>
        <w:tc>
          <w:tcPr>
            <w:tcW w:w="0" w:type="dxa"/>
            <w:vAlign w:val="bottom"/>
          </w:tcPr>
          <w:p>
            <w:pPr>
              <w:spacing w:after="0"/>
              <w:rPr>
                <w:sz w:val="1"/>
                <w:szCs w:val="1"/>
                <w:color w:val="auto"/>
              </w:rPr>
            </w:pPr>
          </w:p>
        </w:tc>
      </w:tr>
      <w:tr>
        <w:trPr>
          <w:trHeight w:val="190"/>
        </w:trPr>
        <w:tc>
          <w:tcPr>
            <w:tcW w:w="1780" w:type="dxa"/>
            <w:vAlign w:val="bottom"/>
            <w:vMerge w:val="continue"/>
          </w:tcPr>
          <w:p>
            <w:pPr>
              <w:spacing w:after="0"/>
              <w:rPr>
                <w:sz w:val="16"/>
                <w:szCs w:val="16"/>
                <w:color w:val="auto"/>
              </w:rPr>
            </w:pPr>
          </w:p>
        </w:tc>
        <w:tc>
          <w:tcPr>
            <w:tcW w:w="8960" w:type="dxa"/>
            <w:vAlign w:val="bottom"/>
            <w:gridSpan w:val="2"/>
          </w:tcPr>
          <w:p>
            <w:pPr>
              <w:jc w:val="right"/>
              <w:spacing w:after="0"/>
              <w:rPr>
                <w:sz w:val="20"/>
                <w:szCs w:val="20"/>
                <w:color w:val="auto"/>
              </w:rPr>
            </w:pPr>
            <w:r>
              <w:rPr>
                <w:rFonts w:ascii="Courier New" w:cs="Courier New" w:eastAsia="Courier New" w:hAnsi="Courier New"/>
                <w:sz w:val="22"/>
                <w:szCs w:val="22"/>
                <w:color w:val="auto"/>
                <w:vertAlign w:val="superscript"/>
              </w:rPr>
              <w:t>Management's Discussion and Analysis of</w:t>
            </w:r>
            <w:r>
              <w:rPr>
                <w:rFonts w:ascii="Courier New" w:cs="Courier New" w:eastAsia="Courier New" w:hAnsi="Courier New"/>
                <w:sz w:val="16"/>
                <w:szCs w:val="16"/>
                <w:color w:val="auto"/>
              </w:rPr>
              <w:t>.............................................</w:t>
            </w:r>
          </w:p>
        </w:tc>
        <w:tc>
          <w:tcPr>
            <w:tcW w:w="6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12-17</w:t>
            </w:r>
          </w:p>
        </w:tc>
        <w:tc>
          <w:tcPr>
            <w:tcW w:w="0" w:type="dxa"/>
            <w:vAlign w:val="bottom"/>
          </w:tcPr>
          <w:p>
            <w:pPr>
              <w:spacing w:after="0"/>
              <w:rPr>
                <w:sz w:val="1"/>
                <w:szCs w:val="1"/>
                <w:color w:val="auto"/>
              </w:rPr>
            </w:pPr>
          </w:p>
        </w:tc>
      </w:tr>
      <w:tr>
        <w:trPr>
          <w:trHeight w:val="277"/>
        </w:trPr>
        <w:tc>
          <w:tcPr>
            <w:tcW w:w="1780" w:type="dxa"/>
            <w:vAlign w:val="bottom"/>
          </w:tcPr>
          <w:p>
            <w:pPr>
              <w:spacing w:after="0"/>
              <w:rPr>
                <w:sz w:val="24"/>
                <w:szCs w:val="24"/>
                <w:color w:val="auto"/>
              </w:rPr>
            </w:pPr>
          </w:p>
        </w:tc>
        <w:tc>
          <w:tcPr>
            <w:tcW w:w="5220" w:type="dxa"/>
            <w:vAlign w:val="bottom"/>
          </w:tcPr>
          <w:p>
            <w:pPr>
              <w:ind w:left="200"/>
              <w:spacing w:after="0"/>
              <w:rPr>
                <w:sz w:val="20"/>
                <w:szCs w:val="20"/>
                <w:color w:val="auto"/>
              </w:rPr>
            </w:pPr>
            <w:r>
              <w:rPr>
                <w:rFonts w:ascii="Courier New" w:cs="Courier New" w:eastAsia="Courier New" w:hAnsi="Courier New"/>
                <w:sz w:val="16"/>
                <w:szCs w:val="16"/>
                <w:color w:val="auto"/>
              </w:rPr>
              <w:t>Financial Condition and Results of Operations</w:t>
            </w:r>
          </w:p>
        </w:tc>
        <w:tc>
          <w:tcPr>
            <w:tcW w:w="3740" w:type="dxa"/>
            <w:vAlign w:val="bottom"/>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Item 3</w:t>
            </w:r>
          </w:p>
        </w:tc>
        <w:tc>
          <w:tcPr>
            <w:tcW w:w="8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Quantitative and Qualitative Disclosures About Market Risk.....................................</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Item 4</w:t>
            </w:r>
          </w:p>
        </w:tc>
        <w:tc>
          <w:tcPr>
            <w:tcW w:w="8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Controls and Procedures........................................................................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569"/>
        </w:trPr>
        <w:tc>
          <w:tcPr>
            <w:tcW w:w="17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522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Item 4</w:t>
            </w:r>
          </w:p>
        </w:tc>
        <w:tc>
          <w:tcPr>
            <w:tcW w:w="8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Submission of Matters to a Vote of Security Holders............................................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Item 5</w:t>
            </w:r>
          </w:p>
        </w:tc>
        <w:tc>
          <w:tcPr>
            <w:tcW w:w="8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Other Information..............................................................................</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379"/>
        </w:trPr>
        <w:tc>
          <w:tcPr>
            <w:tcW w:w="1780" w:type="dxa"/>
            <w:vAlign w:val="bottom"/>
          </w:tcPr>
          <w:p>
            <w:pPr>
              <w:ind w:left="300"/>
              <w:spacing w:after="0"/>
              <w:rPr>
                <w:sz w:val="20"/>
                <w:szCs w:val="20"/>
                <w:color w:val="auto"/>
              </w:rPr>
            </w:pPr>
            <w:r>
              <w:rPr>
                <w:rFonts w:ascii="Courier New" w:cs="Courier New" w:eastAsia="Courier New" w:hAnsi="Courier New"/>
                <w:sz w:val="16"/>
                <w:szCs w:val="16"/>
                <w:color w:val="auto"/>
              </w:rPr>
              <w:t>Item 6</w:t>
            </w:r>
          </w:p>
        </w:tc>
        <w:tc>
          <w:tcPr>
            <w:tcW w:w="89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Exhibits and Reports on Form 8-K...............................................................</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569"/>
        </w:trPr>
        <w:tc>
          <w:tcPr>
            <w:tcW w:w="10740" w:type="dxa"/>
            <w:vAlign w:val="bottom"/>
            <w:gridSpan w:val="3"/>
          </w:tcPr>
          <w:p>
            <w:pPr>
              <w:ind w:left="300"/>
              <w:spacing w:after="0"/>
              <w:rPr>
                <w:sz w:val="20"/>
                <w:szCs w:val="20"/>
                <w:color w:val="auto"/>
              </w:rPr>
            </w:pPr>
            <w:r>
              <w:rPr>
                <w:rFonts w:ascii="Courier New" w:cs="Courier New" w:eastAsia="Courier New" w:hAnsi="Courier New"/>
                <w:sz w:val="16"/>
                <w:szCs w:val="16"/>
                <w:color w:val="auto"/>
              </w:rPr>
              <w:t>FINANCIAL MEASURES.........................................................................................</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21-22</w:t>
            </w:r>
          </w:p>
        </w:tc>
        <w:tc>
          <w:tcPr>
            <w:tcW w:w="0" w:type="dxa"/>
            <w:vAlign w:val="bottom"/>
          </w:tcPr>
          <w:p>
            <w:pPr>
              <w:spacing w:after="0"/>
              <w:rPr>
                <w:sz w:val="1"/>
                <w:szCs w:val="1"/>
                <w:color w:val="auto"/>
              </w:rPr>
            </w:pPr>
          </w:p>
        </w:tc>
      </w:tr>
      <w:tr>
        <w:trPr>
          <w:trHeight w:val="569"/>
        </w:trPr>
        <w:tc>
          <w:tcPr>
            <w:tcW w:w="700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72"/>
              </w:rPr>
              <w:t>SIGNATURES ...................................................................................................</w:t>
            </w:r>
          </w:p>
        </w:tc>
        <w:tc>
          <w:tcPr>
            <w:tcW w:w="37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569"/>
        </w:trPr>
        <w:tc>
          <w:tcPr>
            <w:tcW w:w="7000" w:type="dxa"/>
            <w:vAlign w:val="bottom"/>
            <w:gridSpan w:val="2"/>
          </w:tcPr>
          <w:p>
            <w:pPr>
              <w:ind w:left="300"/>
              <w:spacing w:after="0"/>
              <w:rPr>
                <w:sz w:val="20"/>
                <w:szCs w:val="20"/>
                <w:color w:val="auto"/>
              </w:rPr>
            </w:pPr>
            <w:r>
              <w:rPr>
                <w:rFonts w:ascii="Courier New" w:cs="Courier New" w:eastAsia="Courier New" w:hAnsi="Courier New"/>
                <w:sz w:val="14"/>
                <w:szCs w:val="14"/>
                <w:color w:val="auto"/>
                <w:w w:val="72"/>
              </w:rPr>
              <w:t>EXHIBIT INDEX.................................................................................................</w:t>
            </w:r>
          </w:p>
        </w:tc>
        <w:tc>
          <w:tcPr>
            <w:tcW w:w="37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340"/>
          </w:cols>
          <w:pgMar w:left="240" w:top="1224" w:right="319" w:bottom="1440" w:gutter="0" w:footer="0" w:header="0"/>
        </w:sectPr>
      </w:pPr>
    </w:p>
    <w:bookmarkStart w:id="2" w:name="page3"/>
    <w:bookmarkEnd w:id="2"/>
    <w:p>
      <w:pPr>
        <w:ind w:left="2460"/>
        <w:spacing w:after="0"/>
        <w:rPr>
          <w:sz w:val="20"/>
          <w:szCs w:val="20"/>
          <w:color w:val="auto"/>
        </w:rPr>
      </w:pPr>
      <w:r>
        <w:rPr>
          <w:rFonts w:ascii="Courier New" w:cs="Courier New" w:eastAsia="Courier New" w:hAnsi="Courier New"/>
          <w:sz w:val="16"/>
          <w:szCs w:val="16"/>
          <w:color w:val="auto"/>
        </w:rPr>
        <w:t>PART I - FINANCIAL INFORMATION</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 Financial Statements</w:t>
      </w:r>
    </w:p>
    <w:p>
      <w:pPr>
        <w:spacing w:after="0" w:line="198" w:lineRule="exact"/>
        <w:rPr>
          <w:sz w:val="20"/>
          <w:szCs w:val="20"/>
          <w:color w:val="auto"/>
        </w:rPr>
      </w:pPr>
    </w:p>
    <w:p>
      <w:pPr>
        <w:ind w:left="2460"/>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CONSOLIDATED BALANCE SHEETS</w:t>
      </w:r>
    </w:p>
    <w:p>
      <w:pPr>
        <w:spacing w:after="0" w:line="38"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(IN MILLIONS)</w:t>
      </w:r>
    </w:p>
    <w:p>
      <w:pPr>
        <w:spacing w:after="0" w:line="16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ASSETS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2720" w:type="dxa"/>
            <w:vAlign w:val="bottom"/>
            <w:gridSpan w:val="2"/>
          </w:tcPr>
          <w:p>
            <w:pPr>
              <w:jc w:val="right"/>
              <w:ind w:right="618"/>
              <w:spacing w:after="0"/>
              <w:rPr>
                <w:sz w:val="20"/>
                <w:szCs w:val="20"/>
                <w:color w:val="auto"/>
              </w:rPr>
            </w:pPr>
            <w:r>
              <w:rPr>
                <w:rFonts w:ascii="Courier New" w:cs="Courier New" w:eastAsia="Courier New" w:hAnsi="Courier New"/>
                <w:sz w:val="16"/>
                <w:szCs w:val="16"/>
                <w:color w:val="auto"/>
              </w:rPr>
              <w:t>JUNE 30,</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2720" w:type="dxa"/>
            <w:vAlign w:val="bottom"/>
            <w:gridSpan w:val="2"/>
          </w:tcPr>
          <w:p>
            <w:pPr>
              <w:ind w:left="1440"/>
              <w:spacing w:after="0"/>
              <w:rPr>
                <w:sz w:val="20"/>
                <w:szCs w:val="20"/>
                <w:color w:val="auto"/>
              </w:rPr>
            </w:pPr>
            <w:r>
              <w:rPr>
                <w:rFonts w:ascii="Courier New" w:cs="Courier New" w:eastAsia="Courier New" w:hAnsi="Courier New"/>
                <w:sz w:val="16"/>
                <w:szCs w:val="16"/>
                <w:color w:val="auto"/>
              </w:rPr>
              <w:t>2003</w:t>
            </w:r>
          </w:p>
        </w:tc>
        <w:tc>
          <w:tcPr>
            <w:tcW w:w="780" w:type="dxa"/>
            <w:vAlign w:val="bottom"/>
          </w:tcPr>
          <w:p>
            <w:pPr>
              <w:spacing w:after="0"/>
              <w:rPr>
                <w:sz w:val="16"/>
                <w:szCs w:val="16"/>
                <w:color w:val="auto"/>
              </w:rPr>
            </w:pPr>
          </w:p>
        </w:tc>
        <w:tc>
          <w:tcPr>
            <w:tcW w:w="780" w:type="dxa"/>
            <w:vAlign w:val="bottom"/>
          </w:tcPr>
          <w:p>
            <w:pPr>
              <w:jc w:val="right"/>
              <w:ind w:right="298"/>
              <w:spacing w:after="0"/>
              <w:rPr>
                <w:sz w:val="20"/>
                <w:szCs w:val="20"/>
                <w:color w:val="auto"/>
              </w:rPr>
            </w:pPr>
            <w:r>
              <w:rPr>
                <w:rFonts w:ascii="Courier New" w:cs="Courier New" w:eastAsia="Courier New" w:hAnsi="Courier New"/>
                <w:sz w:val="16"/>
                <w:szCs w:val="16"/>
                <w:color w:val="auto"/>
                <w:w w:val="98"/>
              </w:rPr>
              <w:t>2002</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16"/>
                <w:szCs w:val="16"/>
                <w:color w:val="auto"/>
              </w:rPr>
            </w:pPr>
          </w:p>
        </w:tc>
        <w:tc>
          <w:tcPr>
            <w:tcW w:w="2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260" w:type="dxa"/>
            <w:vAlign w:val="bottom"/>
            <w:vMerge w:val="restart"/>
          </w:tcPr>
          <w:p>
            <w:pPr>
              <w:spacing w:after="0"/>
              <w:rPr>
                <w:sz w:val="20"/>
                <w:szCs w:val="20"/>
                <w:color w:val="auto"/>
              </w:rPr>
            </w:pPr>
            <w:r>
              <w:rPr>
                <w:rFonts w:ascii="Courier New" w:cs="Courier New" w:eastAsia="Courier New" w:hAnsi="Courier New"/>
                <w:sz w:val="16"/>
                <w:szCs w:val="16"/>
                <w:color w:val="auto"/>
              </w:rPr>
              <w:t>CURRENT ASSETS:</w:t>
            </w:r>
          </w:p>
        </w:tc>
        <w:tc>
          <w:tcPr>
            <w:tcW w:w="2720" w:type="dxa"/>
            <w:vAlign w:val="bottom"/>
            <w:gridSpan w:val="2"/>
          </w:tcPr>
          <w:p>
            <w:pPr>
              <w:jc w:val="right"/>
              <w:ind w:right="418"/>
              <w:spacing w:after="0"/>
              <w:rPr>
                <w:sz w:val="20"/>
                <w:szCs w:val="20"/>
                <w:color w:val="auto"/>
              </w:rPr>
            </w:pPr>
            <w:r>
              <w:rPr>
                <w:rFonts w:ascii="Courier New" w:cs="Courier New" w:eastAsia="Courier New" w:hAnsi="Courier New"/>
                <w:sz w:val="16"/>
                <w:szCs w:val="16"/>
                <w:color w:val="auto"/>
              </w:rPr>
              <w:t>(Unaudited)</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1"/>
        </w:trPr>
        <w:tc>
          <w:tcPr>
            <w:tcW w:w="626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580" w:type="dxa"/>
            <w:vAlign w:val="bottom"/>
          </w:tcPr>
          <w:p>
            <w:pPr>
              <w:ind w:left="144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252.1</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284.0</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20"/>
                <w:szCs w:val="20"/>
                <w:color w:val="auto"/>
              </w:rPr>
            </w:pPr>
            <w:r>
              <w:rPr>
                <w:rFonts w:ascii="Courier New" w:cs="Courier New" w:eastAsia="Courier New" w:hAnsi="Courier New"/>
                <w:sz w:val="16"/>
                <w:szCs w:val="16"/>
                <w:color w:val="auto"/>
              </w:rPr>
              <w:t>Accounts receivable, less allowance for</w:t>
            </w:r>
          </w:p>
        </w:tc>
        <w:tc>
          <w:tcPr>
            <w:tcW w:w="1580" w:type="dxa"/>
            <w:vAlign w:val="bottom"/>
          </w:tcPr>
          <w:p>
            <w:pPr>
              <w:spacing w:after="0"/>
              <w:rPr>
                <w:sz w:val="16"/>
                <w:szCs w:val="16"/>
                <w:color w:val="auto"/>
              </w:rPr>
            </w:pPr>
          </w:p>
        </w:tc>
        <w:tc>
          <w:tcPr>
            <w:tcW w:w="114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2,437.8</w:t>
            </w:r>
          </w:p>
        </w:tc>
        <w:tc>
          <w:tcPr>
            <w:tcW w:w="78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2,214.2</w:t>
            </w:r>
          </w:p>
        </w:tc>
        <w:tc>
          <w:tcPr>
            <w:tcW w:w="0" w:type="dxa"/>
            <w:vAlign w:val="bottom"/>
          </w:tcPr>
          <w:p>
            <w:pPr>
              <w:spacing w:after="0"/>
              <w:rPr>
                <w:sz w:val="1"/>
                <w:szCs w:val="1"/>
                <w:color w:val="auto"/>
              </w:rPr>
            </w:pPr>
          </w:p>
        </w:tc>
      </w:tr>
      <w:tr>
        <w:trPr>
          <w:trHeight w:val="190"/>
        </w:trPr>
        <w:tc>
          <w:tcPr>
            <w:tcW w:w="6260" w:type="dxa"/>
            <w:vAlign w:val="bottom"/>
          </w:tcPr>
          <w:p>
            <w:pPr>
              <w:ind w:left="200"/>
              <w:spacing w:after="0"/>
              <w:rPr>
                <w:sz w:val="20"/>
                <w:szCs w:val="20"/>
                <w:color w:val="auto"/>
              </w:rPr>
            </w:pPr>
            <w:r>
              <w:rPr>
                <w:rFonts w:ascii="Courier New" w:cs="Courier New" w:eastAsia="Courier New" w:hAnsi="Courier New"/>
                <w:sz w:val="16"/>
                <w:szCs w:val="16"/>
                <w:color w:val="auto"/>
              </w:rPr>
              <w:t>doubtful accounts of $77.0 and $70.3, respectively</w:t>
            </w:r>
          </w:p>
        </w:tc>
        <w:tc>
          <w:tcPr>
            <w:tcW w:w="15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20"/>
                <w:szCs w:val="20"/>
                <w:color w:val="auto"/>
              </w:rPr>
            </w:pPr>
            <w:r>
              <w:rPr>
                <w:rFonts w:ascii="Courier New" w:cs="Courier New" w:eastAsia="Courier New" w:hAnsi="Courier New"/>
                <w:sz w:val="16"/>
                <w:szCs w:val="16"/>
                <w:color w:val="auto"/>
              </w:rPr>
              <w:t>Prepaid expenses and other assets</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84.6</w:t>
            </w: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76.0</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20"/>
                <w:szCs w:val="20"/>
                <w:color w:val="auto"/>
              </w:rPr>
            </w:pPr>
            <w:r>
              <w:rPr>
                <w:rFonts w:ascii="Courier New" w:cs="Courier New" w:eastAsia="Courier New" w:hAnsi="Courier New"/>
                <w:sz w:val="16"/>
                <w:szCs w:val="16"/>
                <w:color w:val="auto"/>
              </w:rPr>
              <w:t>Future income tax benefits</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77.1</w:t>
            </w: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79.1</w:t>
            </w:r>
          </w:p>
        </w:tc>
        <w:tc>
          <w:tcPr>
            <w:tcW w:w="0" w:type="dxa"/>
            <w:vAlign w:val="bottom"/>
          </w:tcPr>
          <w:p>
            <w:pPr>
              <w:spacing w:after="0"/>
              <w:rPr>
                <w:sz w:val="1"/>
                <w:szCs w:val="1"/>
                <w:color w:val="auto"/>
              </w:rPr>
            </w:pPr>
          </w:p>
        </w:tc>
      </w:tr>
      <w:tr>
        <w:trPr>
          <w:trHeight w:val="190"/>
        </w:trPr>
        <w:tc>
          <w:tcPr>
            <w:tcW w:w="62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current assets</w:t>
            </w:r>
          </w:p>
        </w:tc>
        <w:tc>
          <w:tcPr>
            <w:tcW w:w="2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2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2,851.6</w:t>
            </w:r>
          </w:p>
        </w:tc>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2,653.3</w:t>
            </w:r>
          </w:p>
        </w:tc>
        <w:tc>
          <w:tcPr>
            <w:tcW w:w="0" w:type="dxa"/>
            <w:vAlign w:val="bottom"/>
          </w:tcPr>
          <w:p>
            <w:pPr>
              <w:spacing w:after="0"/>
              <w:rPr>
                <w:sz w:val="1"/>
                <w:szCs w:val="1"/>
                <w:color w:val="auto"/>
              </w:rPr>
            </w:pPr>
          </w:p>
        </w:tc>
      </w:tr>
      <w:tr>
        <w:trPr>
          <w:trHeight w:val="379"/>
        </w:trPr>
        <w:tc>
          <w:tcPr>
            <w:tcW w:w="62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260" w:type="dxa"/>
            <w:vAlign w:val="bottom"/>
          </w:tcPr>
          <w:p>
            <w:pPr>
              <w:spacing w:after="0"/>
              <w:rPr>
                <w:sz w:val="20"/>
                <w:szCs w:val="20"/>
                <w:color w:val="auto"/>
              </w:rPr>
            </w:pPr>
            <w:r>
              <w:rPr>
                <w:rFonts w:ascii="Courier New" w:cs="Courier New" w:eastAsia="Courier New" w:hAnsi="Courier New"/>
                <w:sz w:val="16"/>
                <w:szCs w:val="16"/>
                <w:color w:val="auto"/>
              </w:rPr>
              <w:t>Goodwill and other intangible assets, less accumulated</w:t>
            </w:r>
          </w:p>
        </w:tc>
        <w:tc>
          <w:tcPr>
            <w:tcW w:w="1580" w:type="dxa"/>
            <w:vAlign w:val="bottom"/>
          </w:tcPr>
          <w:p>
            <w:pPr>
              <w:spacing w:after="0"/>
              <w:rPr>
                <w:sz w:val="24"/>
                <w:szCs w:val="24"/>
                <w:color w:val="auto"/>
              </w:rPr>
            </w:pPr>
          </w:p>
        </w:tc>
        <w:tc>
          <w:tcPr>
            <w:tcW w:w="114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556.6</w:t>
            </w:r>
          </w:p>
        </w:tc>
        <w:tc>
          <w:tcPr>
            <w:tcW w:w="78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545.7</w:t>
            </w:r>
          </w:p>
        </w:tc>
        <w:tc>
          <w:tcPr>
            <w:tcW w:w="0" w:type="dxa"/>
            <w:vAlign w:val="bottom"/>
          </w:tcPr>
          <w:p>
            <w:pPr>
              <w:spacing w:after="0"/>
              <w:rPr>
                <w:sz w:val="1"/>
                <w:szCs w:val="1"/>
                <w:color w:val="auto"/>
              </w:rPr>
            </w:pPr>
          </w:p>
        </w:tc>
      </w:tr>
      <w:tr>
        <w:trPr>
          <w:trHeight w:val="190"/>
        </w:trPr>
        <w:tc>
          <w:tcPr>
            <w:tcW w:w="6260" w:type="dxa"/>
            <w:vAlign w:val="bottom"/>
          </w:tcPr>
          <w:p>
            <w:pPr>
              <w:ind w:left="200"/>
              <w:spacing w:after="0"/>
              <w:rPr>
                <w:sz w:val="20"/>
                <w:szCs w:val="20"/>
                <w:color w:val="auto"/>
              </w:rPr>
            </w:pPr>
            <w:r>
              <w:rPr>
                <w:rFonts w:ascii="Courier New" w:cs="Courier New" w:eastAsia="Courier New" w:hAnsi="Courier New"/>
                <w:sz w:val="16"/>
                <w:szCs w:val="16"/>
                <w:color w:val="auto"/>
              </w:rPr>
              <w:t>amortization of $49.4 and $46.7, respectively</w:t>
            </w:r>
          </w:p>
        </w:tc>
        <w:tc>
          <w:tcPr>
            <w:tcW w:w="15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260" w:type="dxa"/>
            <w:vAlign w:val="bottom"/>
          </w:tcPr>
          <w:p>
            <w:pPr>
              <w:spacing w:after="0"/>
              <w:rPr>
                <w:sz w:val="20"/>
                <w:szCs w:val="20"/>
                <w:color w:val="auto"/>
              </w:rPr>
            </w:pPr>
            <w:r>
              <w:rPr>
                <w:rFonts w:ascii="Courier New" w:cs="Courier New" w:eastAsia="Courier New" w:hAnsi="Courier New"/>
                <w:sz w:val="16"/>
                <w:szCs w:val="16"/>
                <w:color w:val="auto"/>
              </w:rPr>
              <w:t>Investments in licensees</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61.8</w:t>
            </w: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60.5</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305.0</w:t>
            </w: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253.4</w:t>
            </w:r>
          </w:p>
        </w:tc>
        <w:tc>
          <w:tcPr>
            <w:tcW w:w="0" w:type="dxa"/>
            <w:vAlign w:val="bottom"/>
          </w:tcPr>
          <w:p>
            <w:pPr>
              <w:spacing w:after="0"/>
              <w:rPr>
                <w:sz w:val="1"/>
                <w:szCs w:val="1"/>
                <w:color w:val="auto"/>
              </w:rPr>
            </w:pPr>
          </w:p>
        </w:tc>
      </w:tr>
      <w:tr>
        <w:trPr>
          <w:trHeight w:val="190"/>
        </w:trPr>
        <w:tc>
          <w:tcPr>
            <w:tcW w:w="62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other assets</w:t>
            </w:r>
          </w:p>
        </w:tc>
        <w:tc>
          <w:tcPr>
            <w:tcW w:w="2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26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923.4</w:t>
            </w:r>
          </w:p>
        </w:tc>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859.6</w:t>
            </w:r>
          </w:p>
        </w:tc>
        <w:tc>
          <w:tcPr>
            <w:tcW w:w="0" w:type="dxa"/>
            <w:vAlign w:val="bottom"/>
          </w:tcPr>
          <w:p>
            <w:pPr>
              <w:spacing w:after="0"/>
              <w:rPr>
                <w:sz w:val="1"/>
                <w:szCs w:val="1"/>
                <w:color w:val="auto"/>
              </w:rPr>
            </w:pPr>
          </w:p>
        </w:tc>
      </w:tr>
      <w:tr>
        <w:trPr>
          <w:trHeight w:val="379"/>
        </w:trPr>
        <w:tc>
          <w:tcPr>
            <w:tcW w:w="626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260" w:type="dxa"/>
            <w:vAlign w:val="bottom"/>
          </w:tcPr>
          <w:p>
            <w:pPr>
              <w:spacing w:after="0"/>
              <w:rPr>
                <w:sz w:val="20"/>
                <w:szCs w:val="20"/>
                <w:color w:val="auto"/>
              </w:rPr>
            </w:pPr>
            <w:r>
              <w:rPr>
                <w:rFonts w:ascii="Courier New" w:cs="Courier New" w:eastAsia="Courier New" w:hAnsi="Courier New"/>
                <w:sz w:val="16"/>
                <w:szCs w:val="16"/>
                <w:color w:val="auto"/>
              </w:rPr>
              <w:t>Land, buildings, leasehold improvements and equipment</w:t>
            </w:r>
          </w:p>
        </w:tc>
        <w:tc>
          <w:tcPr>
            <w:tcW w:w="1580" w:type="dxa"/>
            <w:vAlign w:val="bottom"/>
          </w:tcPr>
          <w:p>
            <w:pPr>
              <w:spacing w:after="0"/>
              <w:rPr>
                <w:sz w:val="24"/>
                <w:szCs w:val="24"/>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569.2</w:t>
            </w:r>
          </w:p>
        </w:tc>
        <w:tc>
          <w:tcPr>
            <w:tcW w:w="7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533.4</w:t>
            </w:r>
          </w:p>
        </w:tc>
        <w:tc>
          <w:tcPr>
            <w:tcW w:w="0" w:type="dxa"/>
            <w:vAlign w:val="bottom"/>
          </w:tcPr>
          <w:p>
            <w:pPr>
              <w:spacing w:after="0"/>
              <w:rPr>
                <w:sz w:val="1"/>
                <w:szCs w:val="1"/>
                <w:color w:val="auto"/>
              </w:rPr>
            </w:pPr>
          </w:p>
        </w:tc>
      </w:tr>
      <w:tr>
        <w:trPr>
          <w:trHeight w:val="190"/>
        </w:trPr>
        <w:tc>
          <w:tcPr>
            <w:tcW w:w="626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385.1</w:t>
            </w: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344.6</w:t>
            </w:r>
          </w:p>
        </w:tc>
        <w:tc>
          <w:tcPr>
            <w:tcW w:w="0" w:type="dxa"/>
            <w:vAlign w:val="bottom"/>
          </w:tcPr>
          <w:p>
            <w:pPr>
              <w:spacing w:after="0"/>
              <w:rPr>
                <w:sz w:val="1"/>
                <w:szCs w:val="1"/>
                <w:color w:val="auto"/>
              </w:rPr>
            </w:pPr>
          </w:p>
        </w:tc>
      </w:tr>
      <w:tr>
        <w:trPr>
          <w:trHeight w:val="190"/>
        </w:trPr>
        <w:tc>
          <w:tcPr>
            <w:tcW w:w="62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Net property and equipment</w:t>
            </w:r>
          </w:p>
        </w:tc>
        <w:tc>
          <w:tcPr>
            <w:tcW w:w="2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1580" w:type="dxa"/>
            <w:vAlign w:val="bottom"/>
          </w:tcPr>
          <w:p>
            <w:pPr>
              <w:spacing w:after="0"/>
              <w:rPr>
                <w:sz w:val="16"/>
                <w:szCs w:val="16"/>
                <w:color w:val="auto"/>
              </w:rPr>
            </w:pPr>
          </w:p>
        </w:tc>
        <w:tc>
          <w:tcPr>
            <w:tcW w:w="11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184.1</w:t>
            </w:r>
          </w:p>
        </w:tc>
        <w:tc>
          <w:tcPr>
            <w:tcW w:w="7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rPr>
              <w:t>188.8</w:t>
            </w:r>
          </w:p>
        </w:tc>
        <w:tc>
          <w:tcPr>
            <w:tcW w:w="0" w:type="dxa"/>
            <w:vAlign w:val="bottom"/>
          </w:tcPr>
          <w:p>
            <w:pPr>
              <w:spacing w:after="0"/>
              <w:rPr>
                <w:sz w:val="1"/>
                <w:szCs w:val="1"/>
                <w:color w:val="auto"/>
              </w:rPr>
            </w:pPr>
          </w:p>
        </w:tc>
      </w:tr>
      <w:tr>
        <w:trPr>
          <w:trHeight w:val="190"/>
        </w:trPr>
        <w:tc>
          <w:tcPr>
            <w:tcW w:w="62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assets</w:t>
            </w:r>
          </w:p>
        </w:tc>
        <w:tc>
          <w:tcPr>
            <w:tcW w:w="2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2720" w:type="dxa"/>
            <w:vAlign w:val="bottom"/>
            <w:gridSpan w:val="2"/>
          </w:tcPr>
          <w:p>
            <w:pPr>
              <w:jc w:val="right"/>
              <w:ind w:right="318"/>
              <w:spacing w:after="0"/>
              <w:rPr>
                <w:sz w:val="20"/>
                <w:szCs w:val="20"/>
                <w:color w:val="auto"/>
              </w:rPr>
            </w:pPr>
            <w:r>
              <w:rPr>
                <w:rFonts w:ascii="Courier New" w:cs="Courier New" w:eastAsia="Courier New" w:hAnsi="Courier New"/>
                <w:sz w:val="16"/>
                <w:szCs w:val="16"/>
                <w:color w:val="auto"/>
              </w:rPr>
              <w:t>$ 3,959.1</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$ 3,701.7</w:t>
            </w:r>
          </w:p>
        </w:tc>
        <w:tc>
          <w:tcPr>
            <w:tcW w:w="0" w:type="dxa"/>
            <w:vAlign w:val="bottom"/>
          </w:tcPr>
          <w:p>
            <w:pPr>
              <w:spacing w:after="0"/>
              <w:rPr>
                <w:sz w:val="1"/>
                <w:szCs w:val="1"/>
                <w:color w:val="auto"/>
              </w:rPr>
            </w:pPr>
          </w:p>
        </w:tc>
      </w:tr>
      <w:tr>
        <w:trPr>
          <w:trHeight w:val="277"/>
        </w:trPr>
        <w:tc>
          <w:tcPr>
            <w:tcW w:w="6260" w:type="dxa"/>
            <w:vAlign w:val="bottom"/>
          </w:tcPr>
          <w:p>
            <w:pPr>
              <w:spacing w:after="0"/>
              <w:rPr>
                <w:sz w:val="24"/>
                <w:szCs w:val="24"/>
                <w:color w:val="auto"/>
              </w:rPr>
            </w:pPr>
          </w:p>
        </w:tc>
        <w:tc>
          <w:tcPr>
            <w:tcW w:w="272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38" w:lineRule="exact"/>
        <w:rPr>
          <w:sz w:val="20"/>
          <w:szCs w:val="20"/>
          <w:color w:val="auto"/>
        </w:rPr>
      </w:pPr>
    </w:p>
    <w:p>
      <w:pPr>
        <w:jc w:val="center"/>
        <w:ind w:right="2560"/>
        <w:spacing w:after="0"/>
        <w:rPr>
          <w:sz w:val="20"/>
          <w:szCs w:val="20"/>
          <w:color w:val="auto"/>
        </w:rPr>
      </w:pPr>
      <w:r>
        <w:rPr>
          <w:rFonts w:ascii="Courier New" w:cs="Courier New" w:eastAsia="Courier New" w:hAnsi="Courier New"/>
          <w:sz w:val="16"/>
          <w:szCs w:val="16"/>
          <w:color w:val="auto"/>
        </w:rPr>
        <w:t>are an integral part of these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540"/>
          </w:cols>
          <w:pgMar w:left="240" w:top="1224" w:right="1119" w:bottom="1440" w:gutter="0" w:footer="0" w:header="0"/>
        </w:sectPr>
      </w:pPr>
    </w:p>
    <w:bookmarkStart w:id="3" w:name="page4"/>
    <w:bookmarkEnd w:id="3"/>
    <w:p>
      <w:pPr>
        <w:ind w:left="2460"/>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CONSOLIDATED BALANCE SHEETS</w:t>
      </w:r>
    </w:p>
    <w:p>
      <w:pPr>
        <w:spacing w:after="0" w:line="3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(IN MILLIONS, EXCEPT SHARE DATA)</w:t>
      </w:r>
    </w:p>
    <w:p>
      <w:pPr>
        <w:spacing w:after="0" w:line="16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LIABILITIES AND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jc w:val="right"/>
              <w:ind w:right="598"/>
              <w:spacing w:after="0"/>
              <w:rPr>
                <w:sz w:val="20"/>
                <w:szCs w:val="20"/>
                <w:color w:val="auto"/>
              </w:rPr>
            </w:pPr>
            <w:r>
              <w:rPr>
                <w:rFonts w:ascii="Courier New" w:cs="Courier New" w:eastAsia="Courier New" w:hAnsi="Courier New"/>
                <w:sz w:val="16"/>
                <w:szCs w:val="16"/>
                <w:color w:val="auto"/>
              </w:rPr>
              <w:t>JUNE 30,</w:t>
            </w: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jc w:val="right"/>
              <w:ind w:right="798"/>
              <w:spacing w:after="0"/>
              <w:rPr>
                <w:sz w:val="20"/>
                <w:szCs w:val="20"/>
                <w:color w:val="auto"/>
              </w:rPr>
            </w:pPr>
            <w:r>
              <w:rPr>
                <w:rFonts w:ascii="Courier New" w:cs="Courier New" w:eastAsia="Courier New" w:hAnsi="Courier New"/>
                <w:sz w:val="16"/>
                <w:szCs w:val="16"/>
                <w:color w:val="auto"/>
              </w:rPr>
              <w:t>2003</w:t>
            </w:r>
          </w:p>
        </w:tc>
        <w:tc>
          <w:tcPr>
            <w:tcW w:w="500" w:type="dxa"/>
            <w:vAlign w:val="bottom"/>
          </w:tcPr>
          <w:p>
            <w:pPr>
              <w:spacing w:after="0"/>
              <w:rPr>
                <w:sz w:val="16"/>
                <w:szCs w:val="16"/>
                <w:color w:val="auto"/>
              </w:rPr>
            </w:pPr>
          </w:p>
        </w:tc>
        <w:tc>
          <w:tcPr>
            <w:tcW w:w="1180" w:type="dxa"/>
            <w:vAlign w:val="bottom"/>
          </w:tcPr>
          <w:p>
            <w:pPr>
              <w:jc w:val="center"/>
              <w:ind w:right="13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270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7060" w:type="dxa"/>
            <w:vAlign w:val="bottom"/>
            <w:vMerge w:val="restart"/>
          </w:tcPr>
          <w:p>
            <w:pPr>
              <w:spacing w:after="0"/>
              <w:rPr>
                <w:sz w:val="20"/>
                <w:szCs w:val="20"/>
                <w:color w:val="auto"/>
              </w:rPr>
            </w:pPr>
            <w:r>
              <w:rPr>
                <w:rFonts w:ascii="Courier New" w:cs="Courier New" w:eastAsia="Courier New" w:hAnsi="Courier New"/>
                <w:sz w:val="16"/>
                <w:szCs w:val="16"/>
                <w:color w:val="auto"/>
              </w:rPr>
              <w:t>CURRENT LIABILITIES:</w:t>
            </w:r>
          </w:p>
        </w:tc>
        <w:tc>
          <w:tcPr>
            <w:tcW w:w="2700" w:type="dxa"/>
            <w:vAlign w:val="bottom"/>
            <w:gridSpan w:val="2"/>
          </w:tcPr>
          <w:p>
            <w:pPr>
              <w:ind w:left="1120"/>
              <w:spacing w:after="0"/>
              <w:rPr>
                <w:sz w:val="20"/>
                <w:szCs w:val="20"/>
                <w:color w:val="auto"/>
              </w:rPr>
            </w:pPr>
            <w:r>
              <w:rPr>
                <w:rFonts w:ascii="Courier New" w:cs="Courier New" w:eastAsia="Courier New" w:hAnsi="Courier New"/>
                <w:sz w:val="16"/>
                <w:szCs w:val="16"/>
                <w:color w:val="auto"/>
              </w:rPr>
              <w:t>(Unaudited)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1"/>
        </w:trPr>
        <w:tc>
          <w:tcPr>
            <w:tcW w:w="706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220" w:type="dxa"/>
            <w:vAlign w:val="bottom"/>
          </w:tcPr>
          <w:p>
            <w:pPr>
              <w:ind w:left="1120"/>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521.8</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447.0</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Employee compensation payable</w:t>
            </w:r>
          </w:p>
        </w:tc>
        <w:tc>
          <w:tcPr>
            <w:tcW w:w="122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96.0</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96.2</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122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313.9</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295.7</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Accrued payroll taxes and insurance</w:t>
            </w:r>
          </w:p>
        </w:tc>
        <w:tc>
          <w:tcPr>
            <w:tcW w:w="122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395.2</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391.6</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Value added taxes payable</w:t>
            </w:r>
          </w:p>
        </w:tc>
        <w:tc>
          <w:tcPr>
            <w:tcW w:w="122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343.4</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309.0</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Short-term borrowings and current maturities of long-term debt</w:t>
            </w:r>
          </w:p>
        </w:tc>
        <w:tc>
          <w:tcPr>
            <w:tcW w:w="122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15.4</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22.8</w:t>
            </w:r>
          </w:p>
        </w:tc>
        <w:tc>
          <w:tcPr>
            <w:tcW w:w="0" w:type="dxa"/>
            <w:vAlign w:val="bottom"/>
          </w:tcPr>
          <w:p>
            <w:pPr>
              <w:spacing w:after="0"/>
              <w:rPr>
                <w:sz w:val="1"/>
                <w:szCs w:val="1"/>
                <w:color w:val="auto"/>
              </w:rPr>
            </w:pPr>
          </w:p>
        </w:tc>
      </w:tr>
      <w:tr>
        <w:trPr>
          <w:trHeight w:val="190"/>
        </w:trPr>
        <w:tc>
          <w:tcPr>
            <w:tcW w:w="70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current liabilities</w:t>
            </w:r>
          </w:p>
        </w:tc>
        <w:tc>
          <w:tcPr>
            <w:tcW w:w="270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70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1,685.7</w:t>
            </w:r>
          </w:p>
        </w:tc>
        <w:tc>
          <w:tcPr>
            <w:tcW w:w="50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1,562.3</w:t>
            </w:r>
          </w:p>
        </w:tc>
        <w:tc>
          <w:tcPr>
            <w:tcW w:w="0" w:type="dxa"/>
            <w:vAlign w:val="bottom"/>
          </w:tcPr>
          <w:p>
            <w:pPr>
              <w:spacing w:after="0"/>
              <w:rPr>
                <w:sz w:val="1"/>
                <w:szCs w:val="1"/>
                <w:color w:val="auto"/>
              </w:rPr>
            </w:pPr>
          </w:p>
        </w:tc>
      </w:tr>
      <w:tr>
        <w:trPr>
          <w:trHeight w:val="379"/>
        </w:trPr>
        <w:tc>
          <w:tcPr>
            <w:tcW w:w="706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06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220" w:type="dxa"/>
            <w:vAlign w:val="bottom"/>
          </w:tcPr>
          <w:p>
            <w:pPr>
              <w:spacing w:after="0"/>
              <w:rPr>
                <w:sz w:val="24"/>
                <w:szCs w:val="24"/>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813.5</w:t>
            </w:r>
          </w:p>
        </w:tc>
        <w:tc>
          <w:tcPr>
            <w:tcW w:w="50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799.0</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122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351.2</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340.5</w:t>
            </w:r>
          </w:p>
        </w:tc>
        <w:tc>
          <w:tcPr>
            <w:tcW w:w="0" w:type="dxa"/>
            <w:vAlign w:val="bottom"/>
          </w:tcPr>
          <w:p>
            <w:pPr>
              <w:spacing w:after="0"/>
              <w:rPr>
                <w:sz w:val="1"/>
                <w:szCs w:val="1"/>
                <w:color w:val="auto"/>
              </w:rPr>
            </w:pPr>
          </w:p>
        </w:tc>
      </w:tr>
      <w:tr>
        <w:trPr>
          <w:trHeight w:val="190"/>
        </w:trPr>
        <w:tc>
          <w:tcPr>
            <w:tcW w:w="70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other liabilities</w:t>
            </w:r>
          </w:p>
        </w:tc>
        <w:tc>
          <w:tcPr>
            <w:tcW w:w="270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706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1,164.7</w:t>
            </w:r>
          </w:p>
        </w:tc>
        <w:tc>
          <w:tcPr>
            <w:tcW w:w="500" w:type="dxa"/>
            <w:vAlign w:val="bottom"/>
          </w:tcPr>
          <w:p>
            <w:pPr>
              <w:spacing w:after="0"/>
              <w:rPr>
                <w:sz w:val="24"/>
                <w:szCs w:val="24"/>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1,139.5</w:t>
            </w:r>
          </w:p>
        </w:tc>
        <w:tc>
          <w:tcPr>
            <w:tcW w:w="0" w:type="dxa"/>
            <w:vAlign w:val="bottom"/>
          </w:tcPr>
          <w:p>
            <w:pPr>
              <w:spacing w:after="0"/>
              <w:rPr>
                <w:sz w:val="1"/>
                <w:szCs w:val="1"/>
                <w:color w:val="auto"/>
              </w:rPr>
            </w:pPr>
          </w:p>
        </w:tc>
      </w:tr>
      <w:tr>
        <w:trPr>
          <w:trHeight w:val="379"/>
        </w:trPr>
        <w:tc>
          <w:tcPr>
            <w:tcW w:w="706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060" w:type="dxa"/>
            <w:vAlign w:val="bottom"/>
          </w:tcPr>
          <w:p>
            <w:pPr>
              <w:spacing w:after="0"/>
              <w:rPr>
                <w:sz w:val="20"/>
                <w:szCs w:val="20"/>
                <w:color w:val="auto"/>
              </w:rPr>
            </w:pPr>
            <w:r>
              <w:rPr>
                <w:rFonts w:ascii="Courier New" w:cs="Courier New" w:eastAsia="Courier New" w:hAnsi="Courier New"/>
                <w:sz w:val="16"/>
                <w:szCs w:val="16"/>
                <w:color w:val="auto"/>
              </w:rPr>
              <w:t>Preferred stock, $.01 par value, authorized 25,000,000 shares,</w:t>
            </w:r>
          </w:p>
        </w:tc>
        <w:tc>
          <w:tcPr>
            <w:tcW w:w="1220" w:type="dxa"/>
            <w:vAlign w:val="bottom"/>
          </w:tcPr>
          <w:p>
            <w:pPr>
              <w:spacing w:after="0"/>
              <w:rPr>
                <w:sz w:val="24"/>
                <w:szCs w:val="24"/>
                <w:color w:val="auto"/>
              </w:rPr>
            </w:pPr>
          </w:p>
        </w:tc>
        <w:tc>
          <w:tcPr>
            <w:tcW w:w="148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rPr>
              <w:t>--</w:t>
            </w:r>
          </w:p>
        </w:tc>
        <w:tc>
          <w:tcPr>
            <w:tcW w:w="500" w:type="dxa"/>
            <w:vAlign w:val="bottom"/>
          </w:tcPr>
          <w:p>
            <w:pPr>
              <w:spacing w:after="0"/>
              <w:rPr>
                <w:sz w:val="24"/>
                <w:szCs w:val="24"/>
                <w:color w:val="auto"/>
              </w:rPr>
            </w:pPr>
          </w:p>
        </w:tc>
        <w:tc>
          <w:tcPr>
            <w:tcW w:w="11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none issued</w:t>
            </w:r>
          </w:p>
        </w:tc>
        <w:tc>
          <w:tcPr>
            <w:tcW w:w="1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Common stock, $.01 par value, authorized 125,000,000 shares,</w:t>
            </w:r>
          </w:p>
        </w:tc>
        <w:tc>
          <w:tcPr>
            <w:tcW w:w="1220" w:type="dxa"/>
            <w:vAlign w:val="bottom"/>
          </w:tcPr>
          <w:p>
            <w:pPr>
              <w:spacing w:after="0"/>
              <w:rPr>
                <w:sz w:val="16"/>
                <w:szCs w:val="16"/>
                <w:color w:val="auto"/>
              </w:rPr>
            </w:pPr>
          </w:p>
        </w:tc>
        <w:tc>
          <w:tcPr>
            <w:tcW w:w="148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rPr>
              <w:t>.9</w:t>
            </w:r>
          </w:p>
        </w:tc>
        <w:tc>
          <w:tcPr>
            <w:tcW w:w="500" w:type="dxa"/>
            <w:vAlign w:val="bottom"/>
          </w:tcPr>
          <w:p>
            <w:pPr>
              <w:spacing w:after="0"/>
              <w:rPr>
                <w:sz w:val="16"/>
                <w:szCs w:val="16"/>
                <w:color w:val="auto"/>
              </w:rPr>
            </w:pPr>
          </w:p>
        </w:tc>
        <w:tc>
          <w:tcPr>
            <w:tcW w:w="11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190"/>
        </w:trPr>
        <w:tc>
          <w:tcPr>
            <w:tcW w:w="7060" w:type="dxa"/>
            <w:vAlign w:val="bottom"/>
          </w:tcPr>
          <w:p>
            <w:pPr>
              <w:ind w:left="200"/>
              <w:spacing w:after="0"/>
              <w:rPr>
                <w:sz w:val="20"/>
                <w:szCs w:val="20"/>
                <w:color w:val="auto"/>
              </w:rPr>
            </w:pPr>
            <w:r>
              <w:rPr>
                <w:rFonts w:ascii="Courier New" w:cs="Courier New" w:eastAsia="Courier New" w:hAnsi="Courier New"/>
                <w:sz w:val="16"/>
                <w:szCs w:val="16"/>
                <w:color w:val="auto"/>
              </w:rPr>
              <w:t>issued 87,671,177 and 87,043,956 shares, respectively</w:t>
            </w:r>
          </w:p>
        </w:tc>
        <w:tc>
          <w:tcPr>
            <w:tcW w:w="1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Capital in excess of par value</w:t>
            </w:r>
          </w:p>
        </w:tc>
        <w:tc>
          <w:tcPr>
            <w:tcW w:w="122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1,710.1</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1,696.2</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2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(253.5)</w:t>
            </w:r>
          </w:p>
        </w:tc>
        <w:tc>
          <w:tcPr>
            <w:tcW w:w="5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(289.7)</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2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(65.0)</w:t>
            </w:r>
          </w:p>
        </w:tc>
        <w:tc>
          <w:tcPr>
            <w:tcW w:w="5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(123.7)</w:t>
            </w:r>
          </w:p>
        </w:tc>
        <w:tc>
          <w:tcPr>
            <w:tcW w:w="0" w:type="dxa"/>
            <w:vAlign w:val="bottom"/>
          </w:tcPr>
          <w:p>
            <w:pPr>
              <w:spacing w:after="0"/>
              <w:rPr>
                <w:sz w:val="1"/>
                <w:szCs w:val="1"/>
                <w:color w:val="auto"/>
              </w:rPr>
            </w:pPr>
          </w:p>
        </w:tc>
      </w:tr>
      <w:tr>
        <w:trPr>
          <w:trHeight w:val="190"/>
        </w:trPr>
        <w:tc>
          <w:tcPr>
            <w:tcW w:w="7060" w:type="dxa"/>
            <w:vAlign w:val="bottom"/>
          </w:tcPr>
          <w:p>
            <w:pPr>
              <w:spacing w:after="0"/>
              <w:rPr>
                <w:sz w:val="20"/>
                <w:szCs w:val="20"/>
                <w:color w:val="auto"/>
              </w:rPr>
            </w:pPr>
            <w:r>
              <w:rPr>
                <w:rFonts w:ascii="Courier New" w:cs="Courier New" w:eastAsia="Courier New" w:hAnsi="Courier New"/>
                <w:sz w:val="16"/>
                <w:szCs w:val="16"/>
                <w:color w:val="auto"/>
              </w:rPr>
              <w:t>Treasury stock at cost, 9,945,200 shares</w:t>
            </w:r>
          </w:p>
        </w:tc>
        <w:tc>
          <w:tcPr>
            <w:tcW w:w="1220" w:type="dxa"/>
            <w:vAlign w:val="bottom"/>
          </w:tcPr>
          <w:p>
            <w:pPr>
              <w:spacing w:after="0"/>
              <w:rPr>
                <w:sz w:val="16"/>
                <w:szCs w:val="16"/>
                <w:color w:val="auto"/>
              </w:rPr>
            </w:pPr>
          </w:p>
        </w:tc>
        <w:tc>
          <w:tcPr>
            <w:tcW w:w="14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(283.8)</w:t>
            </w:r>
          </w:p>
        </w:tc>
        <w:tc>
          <w:tcPr>
            <w:tcW w:w="500" w:type="dxa"/>
            <w:vAlign w:val="bottom"/>
          </w:tcPr>
          <w:p>
            <w:pPr>
              <w:spacing w:after="0"/>
              <w:rPr>
                <w:sz w:val="16"/>
                <w:szCs w:val="16"/>
                <w:color w:val="auto"/>
              </w:rPr>
            </w:pP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(283.8)</w:t>
            </w:r>
          </w:p>
        </w:tc>
        <w:tc>
          <w:tcPr>
            <w:tcW w:w="0" w:type="dxa"/>
            <w:vAlign w:val="bottom"/>
          </w:tcPr>
          <w:p>
            <w:pPr>
              <w:spacing w:after="0"/>
              <w:rPr>
                <w:sz w:val="1"/>
                <w:szCs w:val="1"/>
                <w:color w:val="auto"/>
              </w:rPr>
            </w:pPr>
          </w:p>
        </w:tc>
      </w:tr>
      <w:tr>
        <w:trPr>
          <w:trHeight w:val="190"/>
        </w:trPr>
        <w:tc>
          <w:tcPr>
            <w:tcW w:w="70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shareholders' equity</w:t>
            </w:r>
          </w:p>
        </w:tc>
        <w:tc>
          <w:tcPr>
            <w:tcW w:w="270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1,108.7</w:t>
            </w:r>
          </w:p>
        </w:tc>
        <w:tc>
          <w:tcPr>
            <w:tcW w:w="500" w:type="dxa"/>
            <w:vAlign w:val="bottom"/>
          </w:tcPr>
          <w:p>
            <w:pPr>
              <w:spacing w:after="0"/>
              <w:rPr>
                <w:sz w:val="16"/>
                <w:szCs w:val="16"/>
                <w:color w:val="auto"/>
              </w:rPr>
            </w:pP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999.9</w:t>
            </w:r>
          </w:p>
        </w:tc>
        <w:tc>
          <w:tcPr>
            <w:tcW w:w="0" w:type="dxa"/>
            <w:vAlign w:val="bottom"/>
          </w:tcPr>
          <w:p>
            <w:pPr>
              <w:spacing w:after="0"/>
              <w:rPr>
                <w:sz w:val="1"/>
                <w:szCs w:val="1"/>
                <w:color w:val="auto"/>
              </w:rPr>
            </w:pPr>
          </w:p>
        </w:tc>
      </w:tr>
      <w:tr>
        <w:trPr>
          <w:trHeight w:val="190"/>
        </w:trPr>
        <w:tc>
          <w:tcPr>
            <w:tcW w:w="706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270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7060" w:type="dxa"/>
            <w:vAlign w:val="bottom"/>
            <w:vMerge w:val="continue"/>
          </w:tcPr>
          <w:p>
            <w:pPr>
              <w:spacing w:after="0"/>
              <w:rPr>
                <w:sz w:val="16"/>
                <w:szCs w:val="16"/>
                <w:color w:val="auto"/>
              </w:rPr>
            </w:pPr>
          </w:p>
        </w:tc>
        <w:tc>
          <w:tcPr>
            <w:tcW w:w="1220" w:type="dxa"/>
            <w:vAlign w:val="bottom"/>
          </w:tcPr>
          <w:p>
            <w:pPr>
              <w:ind w:left="1120"/>
              <w:spacing w:after="0"/>
              <w:rPr>
                <w:sz w:val="20"/>
                <w:szCs w:val="20"/>
                <w:color w:val="auto"/>
              </w:rPr>
            </w:pPr>
            <w:r>
              <w:rPr>
                <w:rFonts w:ascii="Courier New" w:cs="Courier New" w:eastAsia="Courier New" w:hAnsi="Courier New"/>
                <w:sz w:val="16"/>
                <w:szCs w:val="16"/>
                <w:color w:val="auto"/>
                <w:w w:val="82"/>
              </w:rPr>
              <w:t>$</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3,959.1</w:t>
            </w:r>
          </w:p>
        </w:tc>
        <w:tc>
          <w:tcPr>
            <w:tcW w:w="5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3,701.7</w:t>
            </w:r>
          </w:p>
        </w:tc>
        <w:tc>
          <w:tcPr>
            <w:tcW w:w="0" w:type="dxa"/>
            <w:vAlign w:val="bottom"/>
          </w:tcPr>
          <w:p>
            <w:pPr>
              <w:spacing w:after="0"/>
              <w:rPr>
                <w:sz w:val="1"/>
                <w:szCs w:val="1"/>
                <w:color w:val="auto"/>
              </w:rPr>
            </w:pPr>
          </w:p>
        </w:tc>
      </w:tr>
      <w:tr>
        <w:trPr>
          <w:trHeight w:val="277"/>
        </w:trPr>
        <w:tc>
          <w:tcPr>
            <w:tcW w:w="7060" w:type="dxa"/>
            <w:vAlign w:val="bottom"/>
          </w:tcPr>
          <w:p>
            <w:pPr>
              <w:spacing w:after="0"/>
              <w:rPr>
                <w:sz w:val="24"/>
                <w:szCs w:val="24"/>
                <w:color w:val="auto"/>
              </w:rPr>
            </w:pPr>
          </w:p>
        </w:tc>
        <w:tc>
          <w:tcPr>
            <w:tcW w:w="2700" w:type="dxa"/>
            <w:vAlign w:val="bottom"/>
            <w:gridSpan w:val="2"/>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680" w:type="dxa"/>
            <w:vAlign w:val="bottom"/>
            <w:gridSpan w:val="2"/>
          </w:tcPr>
          <w:p>
            <w:pPr>
              <w:jc w:val="center"/>
              <w:ind w:left="2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38" w:lineRule="exact"/>
        <w:rPr>
          <w:sz w:val="20"/>
          <w:szCs w:val="20"/>
          <w:color w:val="auto"/>
        </w:rPr>
      </w:pPr>
    </w:p>
    <w:p>
      <w:pPr>
        <w:jc w:val="center"/>
        <w:ind w:right="3460"/>
        <w:spacing w:after="0"/>
        <w:rPr>
          <w:sz w:val="20"/>
          <w:szCs w:val="20"/>
          <w:color w:val="auto"/>
        </w:rPr>
      </w:pPr>
      <w:r>
        <w:rPr>
          <w:rFonts w:ascii="Courier New" w:cs="Courier New" w:eastAsia="Courier New" w:hAnsi="Courier New"/>
          <w:sz w:val="16"/>
          <w:szCs w:val="16"/>
          <w:color w:val="auto"/>
        </w:rPr>
        <w:t>are an integral part of these balance sheets.</w:t>
      </w:r>
    </w:p>
    <w:p>
      <w:pPr>
        <w:spacing w:after="0" w:line="200" w:lineRule="exact"/>
        <w:rPr>
          <w:sz w:val="20"/>
          <w:szCs w:val="20"/>
          <w:color w:val="auto"/>
        </w:rPr>
      </w:pPr>
    </w:p>
    <w:p>
      <w:pPr>
        <w:spacing w:after="0" w:line="34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440"/>
          </w:cols>
          <w:pgMar w:left="240" w:top="1224" w:right="219" w:bottom="1440" w:gutter="0" w:footer="0" w:header="0"/>
        </w:sectPr>
      </w:pPr>
    </w:p>
    <w:bookmarkStart w:id="4" w:name="page5"/>
    <w:bookmarkEnd w:id="4"/>
    <w:p>
      <w:pPr>
        <w:jc w:val="center"/>
        <w:ind w:right="4240"/>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ind w:left="800"/>
        <w:spacing w:after="0"/>
        <w:rPr>
          <w:sz w:val="20"/>
          <w:szCs w:val="20"/>
          <w:color w:val="auto"/>
        </w:rPr>
      </w:pPr>
      <w:r>
        <w:rPr>
          <w:rFonts w:ascii="Courier New" w:cs="Courier New" w:eastAsia="Courier New" w:hAnsi="Courier New"/>
          <w:sz w:val="16"/>
          <w:szCs w:val="16"/>
          <w:color w:val="auto"/>
        </w:rPr>
        <w:t>CONSOLIDATED STATEMENTS OF OPERATIONS (UNAUDITED)</w:t>
      </w:r>
    </w:p>
    <w:p>
      <w:pPr>
        <w:spacing w:after="0" w:line="38"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 MONTHS</w:t>
            </w:r>
          </w:p>
        </w:tc>
        <w:tc>
          <w:tcPr>
            <w:tcW w:w="1080" w:type="dxa"/>
            <w:vAlign w:val="bottom"/>
            <w:gridSpan w:val="2"/>
          </w:tcPr>
          <w:p>
            <w:pPr>
              <w:jc w:val="right"/>
              <w:ind w:right="458"/>
              <w:spacing w:after="0"/>
              <w:rPr>
                <w:sz w:val="20"/>
                <w:szCs w:val="20"/>
                <w:color w:val="auto"/>
              </w:rPr>
            </w:pPr>
            <w:r>
              <w:rPr>
                <w:rFonts w:ascii="Courier New" w:cs="Courier New" w:eastAsia="Courier New" w:hAnsi="Courier New"/>
                <w:sz w:val="16"/>
                <w:szCs w:val="16"/>
                <w:color w:val="auto"/>
              </w:rPr>
              <w:t>ENDED</w:t>
            </w:r>
          </w:p>
        </w:tc>
        <w:tc>
          <w:tcPr>
            <w:tcW w:w="300" w:type="dxa"/>
            <w:vAlign w:val="bottom"/>
          </w:tcPr>
          <w:p>
            <w:pPr>
              <w:spacing w:after="0"/>
              <w:rPr>
                <w:sz w:val="16"/>
                <w:szCs w:val="16"/>
                <w:color w:val="auto"/>
              </w:rPr>
            </w:pPr>
          </w:p>
        </w:tc>
        <w:tc>
          <w:tcPr>
            <w:tcW w:w="2020" w:type="dxa"/>
            <w:vAlign w:val="bottom"/>
            <w:gridSpan w:val="3"/>
          </w:tcPr>
          <w:p>
            <w:pPr>
              <w:jc w:val="right"/>
              <w:ind w:right="218"/>
              <w:spacing w:after="0"/>
              <w:rPr>
                <w:sz w:val="20"/>
                <w:szCs w:val="20"/>
                <w:color w:val="auto"/>
              </w:rPr>
            </w:pPr>
            <w:r>
              <w:rPr>
                <w:rFonts w:ascii="Courier New" w:cs="Courier New" w:eastAsia="Courier New" w:hAnsi="Courier New"/>
                <w:sz w:val="16"/>
                <w:szCs w:val="16"/>
                <w:color w:val="auto"/>
              </w:rPr>
              <w:t>6 MONTHS ENDED</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20" w:type="dxa"/>
            <w:vAlign w:val="bottom"/>
            <w:gridSpan w:val="2"/>
          </w:tcPr>
          <w:p>
            <w:pPr>
              <w:ind w:left="640"/>
              <w:spacing w:after="0"/>
              <w:rPr>
                <w:sz w:val="20"/>
                <w:szCs w:val="20"/>
                <w:color w:val="auto"/>
              </w:rPr>
            </w:pPr>
            <w:r>
              <w:rPr>
                <w:rFonts w:ascii="Courier New" w:cs="Courier New" w:eastAsia="Courier New" w:hAnsi="Courier New"/>
                <w:sz w:val="16"/>
                <w:szCs w:val="16"/>
                <w:color w:val="auto"/>
                <w:w w:val="98"/>
              </w:rPr>
              <w:t>JUNE 30,</w:t>
            </w: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JUNE</w:t>
            </w:r>
          </w:p>
        </w:tc>
        <w:tc>
          <w:tcPr>
            <w:tcW w:w="9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3300" w:type="dxa"/>
            <w:vAlign w:val="bottom"/>
            <w:gridSpan w:val="4"/>
          </w:tcPr>
          <w:p>
            <w:pPr>
              <w:ind w:left="880"/>
              <w:spacing w:after="0"/>
              <w:rPr>
                <w:sz w:val="20"/>
                <w:szCs w:val="20"/>
                <w:color w:val="auto"/>
              </w:rPr>
            </w:pPr>
            <w:r>
              <w:rPr>
                <w:rFonts w:ascii="Courier New" w:cs="Courier New" w:eastAsia="Courier New" w:hAnsi="Courier New"/>
                <w:sz w:val="16"/>
                <w:szCs w:val="16"/>
                <w:color w:val="auto"/>
              </w:rPr>
              <w:t>----------------------</w:t>
            </w:r>
          </w:p>
        </w:tc>
        <w:tc>
          <w:tcPr>
            <w:tcW w:w="23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2003</w:t>
            </w:r>
          </w:p>
        </w:tc>
        <w:tc>
          <w:tcPr>
            <w:tcW w:w="240" w:type="dxa"/>
            <w:vAlign w:val="bottom"/>
          </w:tcPr>
          <w:p>
            <w:pPr>
              <w:spacing w:after="0"/>
              <w:rPr>
                <w:sz w:val="16"/>
                <w:szCs w:val="16"/>
                <w:color w:val="auto"/>
              </w:rPr>
            </w:pPr>
          </w:p>
        </w:tc>
        <w:tc>
          <w:tcPr>
            <w:tcW w:w="840" w:type="dxa"/>
            <w:vAlign w:val="bottom"/>
          </w:tcPr>
          <w:p>
            <w:pPr>
              <w:jc w:val="right"/>
              <w:ind w:right="358"/>
              <w:spacing w:after="0"/>
              <w:rPr>
                <w:sz w:val="20"/>
                <w:szCs w:val="20"/>
                <w:color w:val="auto"/>
              </w:rPr>
            </w:pPr>
            <w:r>
              <w:rPr>
                <w:rFonts w:ascii="Courier New" w:cs="Courier New" w:eastAsia="Courier New" w:hAnsi="Courier New"/>
                <w:sz w:val="16"/>
                <w:szCs w:val="16"/>
                <w:color w:val="auto"/>
                <w:w w:val="98"/>
              </w:rPr>
              <w:t>2002</w:t>
            </w:r>
          </w:p>
        </w:tc>
        <w:tc>
          <w:tcPr>
            <w:tcW w:w="300" w:type="dxa"/>
            <w:vAlign w:val="bottom"/>
          </w:tcPr>
          <w:p>
            <w:pPr>
              <w:spacing w:after="0"/>
              <w:rPr>
                <w:sz w:val="16"/>
                <w:szCs w:val="16"/>
                <w:color w:val="auto"/>
              </w:rPr>
            </w:pPr>
          </w:p>
        </w:tc>
        <w:tc>
          <w:tcPr>
            <w:tcW w:w="108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2003</w:t>
            </w:r>
          </w:p>
        </w:tc>
        <w:tc>
          <w:tcPr>
            <w:tcW w:w="140" w:type="dxa"/>
            <w:vAlign w:val="bottom"/>
          </w:tcPr>
          <w:p>
            <w:pPr>
              <w:spacing w:after="0"/>
              <w:rPr>
                <w:sz w:val="16"/>
                <w:szCs w:val="16"/>
                <w:color w:val="auto"/>
              </w:rPr>
            </w:pPr>
          </w:p>
        </w:tc>
        <w:tc>
          <w:tcPr>
            <w:tcW w:w="8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9"/>
        </w:trPr>
        <w:tc>
          <w:tcPr>
            <w:tcW w:w="494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$ 3,013.4</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$ 2,602.9</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$ 5,692.1</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$ 4,886.9</w:t>
            </w:r>
          </w:p>
        </w:tc>
        <w:tc>
          <w:tcPr>
            <w:tcW w:w="0" w:type="dxa"/>
            <w:vAlign w:val="bottom"/>
          </w:tcPr>
          <w:p>
            <w:pPr>
              <w:spacing w:after="0"/>
              <w:rPr>
                <w:sz w:val="1"/>
                <w:szCs w:val="1"/>
                <w:color w:val="auto"/>
              </w:rPr>
            </w:pPr>
          </w:p>
        </w:tc>
      </w:tr>
      <w:tr>
        <w:trPr>
          <w:trHeight w:val="292"/>
        </w:trPr>
        <w:tc>
          <w:tcPr>
            <w:tcW w:w="4940" w:type="dxa"/>
            <w:vAlign w:val="bottom"/>
          </w:tcPr>
          <w:p>
            <w:pPr>
              <w:spacing w:after="0"/>
              <w:rPr>
                <w:sz w:val="20"/>
                <w:szCs w:val="20"/>
                <w:color w:val="auto"/>
              </w:rPr>
            </w:pPr>
            <w:r>
              <w:rPr>
                <w:rFonts w:ascii="Courier New" w:cs="Courier New" w:eastAsia="Courier New" w:hAnsi="Courier New"/>
                <w:sz w:val="16"/>
                <w:szCs w:val="16"/>
                <w:color w:val="auto"/>
              </w:rPr>
              <w:t>Cost of services</w:t>
            </w:r>
          </w:p>
        </w:tc>
        <w:tc>
          <w:tcPr>
            <w:tcW w:w="10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2,491.9</w:t>
            </w:r>
          </w:p>
        </w:tc>
        <w:tc>
          <w:tcPr>
            <w:tcW w:w="240" w:type="dxa"/>
            <w:vAlign w:val="bottom"/>
          </w:tcPr>
          <w:p>
            <w:pPr>
              <w:spacing w:after="0"/>
              <w:rPr>
                <w:sz w:val="24"/>
                <w:szCs w:val="24"/>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2,135.3</w:t>
            </w:r>
          </w:p>
        </w:tc>
        <w:tc>
          <w:tcPr>
            <w:tcW w:w="300" w:type="dxa"/>
            <w:vAlign w:val="bottom"/>
          </w:tcPr>
          <w:p>
            <w:pPr>
              <w:spacing w:after="0"/>
              <w:rPr>
                <w:sz w:val="24"/>
                <w:szCs w:val="24"/>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4,704.6</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4,004.5</w:t>
            </w:r>
          </w:p>
        </w:tc>
        <w:tc>
          <w:tcPr>
            <w:tcW w:w="0" w:type="dxa"/>
            <w:vAlign w:val="bottom"/>
          </w:tcPr>
          <w:p>
            <w:pPr>
              <w:spacing w:after="0"/>
              <w:rPr>
                <w:sz w:val="1"/>
                <w:szCs w:val="1"/>
                <w:color w:val="auto"/>
              </w:rPr>
            </w:pPr>
          </w:p>
        </w:tc>
      </w:tr>
      <w:tr>
        <w:trPr>
          <w:trHeight w:val="190"/>
        </w:trPr>
        <w:tc>
          <w:tcPr>
            <w:tcW w:w="494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Gross profit</w:t>
            </w: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9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521.5</w:t>
            </w:r>
          </w:p>
        </w:tc>
        <w:tc>
          <w:tcPr>
            <w:tcW w:w="240" w:type="dxa"/>
            <w:vAlign w:val="bottom"/>
          </w:tcPr>
          <w:p>
            <w:pPr>
              <w:spacing w:after="0"/>
              <w:rPr>
                <w:sz w:val="24"/>
                <w:szCs w:val="24"/>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467.6</w:t>
            </w:r>
          </w:p>
        </w:tc>
        <w:tc>
          <w:tcPr>
            <w:tcW w:w="300" w:type="dxa"/>
            <w:vAlign w:val="bottom"/>
          </w:tcPr>
          <w:p>
            <w:pPr>
              <w:spacing w:after="0"/>
              <w:rPr>
                <w:sz w:val="24"/>
                <w:szCs w:val="24"/>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987.5</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882.4</w:t>
            </w:r>
          </w:p>
        </w:tc>
        <w:tc>
          <w:tcPr>
            <w:tcW w:w="0" w:type="dxa"/>
            <w:vAlign w:val="bottom"/>
          </w:tcPr>
          <w:p>
            <w:pPr>
              <w:spacing w:after="0"/>
              <w:rPr>
                <w:sz w:val="1"/>
                <w:szCs w:val="1"/>
                <w:color w:val="auto"/>
              </w:rPr>
            </w:pPr>
          </w:p>
        </w:tc>
      </w:tr>
      <w:tr>
        <w:trPr>
          <w:trHeight w:val="292"/>
        </w:trPr>
        <w:tc>
          <w:tcPr>
            <w:tcW w:w="4940" w:type="dxa"/>
            <w:vAlign w:val="bottom"/>
          </w:tcPr>
          <w:p>
            <w:pPr>
              <w:spacing w:after="0"/>
              <w:rPr>
                <w:sz w:val="20"/>
                <w:szCs w:val="20"/>
                <w:color w:val="auto"/>
              </w:rPr>
            </w:pPr>
            <w:r>
              <w:rPr>
                <w:rFonts w:ascii="Courier New" w:cs="Courier New" w:eastAsia="Courier New" w:hAnsi="Courier New"/>
                <w:sz w:val="16"/>
                <w:szCs w:val="16"/>
                <w:color w:val="auto"/>
              </w:rPr>
              <w:t>Selling and administrative expenses</w:t>
            </w:r>
          </w:p>
        </w:tc>
        <w:tc>
          <w:tcPr>
            <w:tcW w:w="10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464.5</w:t>
            </w:r>
          </w:p>
        </w:tc>
        <w:tc>
          <w:tcPr>
            <w:tcW w:w="240" w:type="dxa"/>
            <w:vAlign w:val="bottom"/>
          </w:tcPr>
          <w:p>
            <w:pPr>
              <w:spacing w:after="0"/>
              <w:rPr>
                <w:sz w:val="24"/>
                <w:szCs w:val="24"/>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415.8</w:t>
            </w:r>
          </w:p>
        </w:tc>
        <w:tc>
          <w:tcPr>
            <w:tcW w:w="300" w:type="dxa"/>
            <w:vAlign w:val="bottom"/>
          </w:tcPr>
          <w:p>
            <w:pPr>
              <w:spacing w:after="0"/>
              <w:rPr>
                <w:sz w:val="24"/>
                <w:szCs w:val="24"/>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897.5</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811.9</w:t>
            </w:r>
          </w:p>
        </w:tc>
        <w:tc>
          <w:tcPr>
            <w:tcW w:w="0" w:type="dxa"/>
            <w:vAlign w:val="bottom"/>
          </w:tcPr>
          <w:p>
            <w:pPr>
              <w:spacing w:after="0"/>
              <w:rPr>
                <w:sz w:val="1"/>
                <w:szCs w:val="1"/>
                <w:color w:val="auto"/>
              </w:rPr>
            </w:pPr>
          </w:p>
        </w:tc>
      </w:tr>
      <w:tr>
        <w:trPr>
          <w:trHeight w:val="190"/>
        </w:trPr>
        <w:tc>
          <w:tcPr>
            <w:tcW w:w="494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Operating profit</w:t>
            </w: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9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57.0</w:t>
            </w:r>
          </w:p>
        </w:tc>
        <w:tc>
          <w:tcPr>
            <w:tcW w:w="240" w:type="dxa"/>
            <w:vAlign w:val="bottom"/>
          </w:tcPr>
          <w:p>
            <w:pPr>
              <w:spacing w:after="0"/>
              <w:rPr>
                <w:sz w:val="24"/>
                <w:szCs w:val="24"/>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51.8</w:t>
            </w:r>
          </w:p>
        </w:tc>
        <w:tc>
          <w:tcPr>
            <w:tcW w:w="300" w:type="dxa"/>
            <w:vAlign w:val="bottom"/>
          </w:tcPr>
          <w:p>
            <w:pPr>
              <w:spacing w:after="0"/>
              <w:rPr>
                <w:sz w:val="24"/>
                <w:szCs w:val="24"/>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90.0</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70.5</w:t>
            </w:r>
          </w:p>
        </w:tc>
        <w:tc>
          <w:tcPr>
            <w:tcW w:w="0" w:type="dxa"/>
            <w:vAlign w:val="bottom"/>
          </w:tcPr>
          <w:p>
            <w:pPr>
              <w:spacing w:after="0"/>
              <w:rPr>
                <w:sz w:val="1"/>
                <w:szCs w:val="1"/>
                <w:color w:val="auto"/>
              </w:rPr>
            </w:pPr>
          </w:p>
        </w:tc>
      </w:tr>
      <w:tr>
        <w:trPr>
          <w:trHeight w:val="292"/>
        </w:trPr>
        <w:tc>
          <w:tcPr>
            <w:tcW w:w="4940" w:type="dxa"/>
            <w:vAlign w:val="bottom"/>
          </w:tcPr>
          <w:p>
            <w:pPr>
              <w:spacing w:after="0"/>
              <w:rPr>
                <w:sz w:val="20"/>
                <w:szCs w:val="20"/>
                <w:color w:val="auto"/>
              </w:rPr>
            </w:pPr>
            <w:r>
              <w:rPr>
                <w:rFonts w:ascii="Courier New" w:cs="Courier New" w:eastAsia="Courier New" w:hAnsi="Courier New"/>
                <w:sz w:val="16"/>
                <w:szCs w:val="16"/>
                <w:color w:val="auto"/>
              </w:rPr>
              <w:t>Interest and other expense</w:t>
            </w:r>
          </w:p>
        </w:tc>
        <w:tc>
          <w:tcPr>
            <w:tcW w:w="10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9.2</w:t>
            </w:r>
          </w:p>
        </w:tc>
        <w:tc>
          <w:tcPr>
            <w:tcW w:w="240" w:type="dxa"/>
            <w:vAlign w:val="bottom"/>
          </w:tcPr>
          <w:p>
            <w:pPr>
              <w:spacing w:after="0"/>
              <w:rPr>
                <w:sz w:val="24"/>
                <w:szCs w:val="24"/>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9.6</w:t>
            </w:r>
          </w:p>
        </w:tc>
        <w:tc>
          <w:tcPr>
            <w:tcW w:w="300" w:type="dxa"/>
            <w:vAlign w:val="bottom"/>
          </w:tcPr>
          <w:p>
            <w:pPr>
              <w:spacing w:after="0"/>
              <w:rPr>
                <w:sz w:val="24"/>
                <w:szCs w:val="24"/>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17.8</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17.6</w:t>
            </w:r>
          </w:p>
        </w:tc>
        <w:tc>
          <w:tcPr>
            <w:tcW w:w="0" w:type="dxa"/>
            <w:vAlign w:val="bottom"/>
          </w:tcPr>
          <w:p>
            <w:pPr>
              <w:spacing w:after="0"/>
              <w:rPr>
                <w:sz w:val="1"/>
                <w:szCs w:val="1"/>
                <w:color w:val="auto"/>
              </w:rPr>
            </w:pPr>
          </w:p>
        </w:tc>
      </w:tr>
      <w:tr>
        <w:trPr>
          <w:trHeight w:val="190"/>
        </w:trPr>
        <w:tc>
          <w:tcPr>
            <w:tcW w:w="494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Earnings before income taxes</w:t>
            </w: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49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47.8</w:t>
            </w:r>
          </w:p>
        </w:tc>
        <w:tc>
          <w:tcPr>
            <w:tcW w:w="240" w:type="dxa"/>
            <w:vAlign w:val="bottom"/>
          </w:tcPr>
          <w:p>
            <w:pPr>
              <w:spacing w:after="0"/>
              <w:rPr>
                <w:sz w:val="24"/>
                <w:szCs w:val="24"/>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42.2</w:t>
            </w:r>
          </w:p>
        </w:tc>
        <w:tc>
          <w:tcPr>
            <w:tcW w:w="300" w:type="dxa"/>
            <w:vAlign w:val="bottom"/>
          </w:tcPr>
          <w:p>
            <w:pPr>
              <w:spacing w:after="0"/>
              <w:rPr>
                <w:sz w:val="24"/>
                <w:szCs w:val="24"/>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72.2</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52.9</w:t>
            </w:r>
          </w:p>
        </w:tc>
        <w:tc>
          <w:tcPr>
            <w:tcW w:w="0" w:type="dxa"/>
            <w:vAlign w:val="bottom"/>
          </w:tcPr>
          <w:p>
            <w:pPr>
              <w:spacing w:after="0"/>
              <w:rPr>
                <w:sz w:val="1"/>
                <w:szCs w:val="1"/>
                <w:color w:val="auto"/>
              </w:rPr>
            </w:pPr>
          </w:p>
        </w:tc>
      </w:tr>
      <w:tr>
        <w:trPr>
          <w:trHeight w:val="292"/>
        </w:trPr>
        <w:tc>
          <w:tcPr>
            <w:tcW w:w="49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0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18.7</w:t>
            </w:r>
          </w:p>
        </w:tc>
        <w:tc>
          <w:tcPr>
            <w:tcW w:w="240" w:type="dxa"/>
            <w:vAlign w:val="bottom"/>
          </w:tcPr>
          <w:p>
            <w:pPr>
              <w:spacing w:after="0"/>
              <w:rPr>
                <w:sz w:val="24"/>
                <w:szCs w:val="24"/>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16.5</w:t>
            </w:r>
          </w:p>
        </w:tc>
        <w:tc>
          <w:tcPr>
            <w:tcW w:w="300" w:type="dxa"/>
            <w:vAlign w:val="bottom"/>
          </w:tcPr>
          <w:p>
            <w:pPr>
              <w:spacing w:after="0"/>
              <w:rPr>
                <w:sz w:val="24"/>
                <w:szCs w:val="24"/>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28.2</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20.3</w:t>
            </w:r>
          </w:p>
        </w:tc>
        <w:tc>
          <w:tcPr>
            <w:tcW w:w="0" w:type="dxa"/>
            <w:vAlign w:val="bottom"/>
          </w:tcPr>
          <w:p>
            <w:pPr>
              <w:spacing w:after="0"/>
              <w:rPr>
                <w:sz w:val="1"/>
                <w:szCs w:val="1"/>
                <w:color w:val="auto"/>
              </w:rPr>
            </w:pPr>
          </w:p>
        </w:tc>
      </w:tr>
      <w:tr>
        <w:trPr>
          <w:trHeight w:val="190"/>
        </w:trPr>
        <w:tc>
          <w:tcPr>
            <w:tcW w:w="494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Net earnings</w:t>
            </w: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940" w:type="dxa"/>
            <w:vAlign w:val="bottom"/>
            <w:vMerge w:val="continue"/>
          </w:tcPr>
          <w:p>
            <w:pPr>
              <w:spacing w:after="0"/>
              <w:rPr>
                <w:sz w:val="16"/>
                <w:szCs w:val="16"/>
                <w:color w:val="auto"/>
              </w:rPr>
            </w:pPr>
          </w:p>
        </w:tc>
        <w:tc>
          <w:tcPr>
            <w:tcW w:w="10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29.1</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25.7</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44.0</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32.6</w:t>
            </w: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Net earnings per share</w:t>
            </w:r>
          </w:p>
        </w:tc>
        <w:tc>
          <w:tcPr>
            <w:tcW w:w="10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.38</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.34</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.57</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4940" w:type="dxa"/>
            <w:vAlign w:val="bottom"/>
          </w:tcPr>
          <w:p>
            <w:pPr>
              <w:spacing w:after="0"/>
              <w:rPr>
                <w:sz w:val="20"/>
                <w:szCs w:val="20"/>
                <w:color w:val="auto"/>
              </w:rPr>
            </w:pPr>
            <w:r>
              <w:rPr>
                <w:rFonts w:ascii="Courier New" w:cs="Courier New" w:eastAsia="Courier New" w:hAnsi="Courier New"/>
                <w:sz w:val="16"/>
                <w:szCs w:val="16"/>
                <w:color w:val="auto"/>
              </w:rPr>
              <w:t>Net earnings per share -- diluted</w:t>
            </w:r>
          </w:p>
        </w:tc>
        <w:tc>
          <w:tcPr>
            <w:tcW w:w="1040" w:type="dxa"/>
            <w:vAlign w:val="bottom"/>
          </w:tcPr>
          <w:p>
            <w:pPr>
              <w:ind w:left="88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.37</w:t>
            </w:r>
          </w:p>
        </w:tc>
        <w:tc>
          <w:tcPr>
            <w:tcW w:w="24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.33</w:t>
            </w:r>
          </w:p>
        </w:tc>
        <w:tc>
          <w:tcPr>
            <w:tcW w:w="3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.56</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81"/>
        </w:trPr>
        <w:tc>
          <w:tcPr>
            <w:tcW w:w="494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w:t>
            </w:r>
          </w:p>
        </w:tc>
        <w:tc>
          <w:tcPr>
            <w:tcW w:w="10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77.5</w:t>
            </w:r>
          </w:p>
        </w:tc>
        <w:tc>
          <w:tcPr>
            <w:tcW w:w="240" w:type="dxa"/>
            <w:vAlign w:val="bottom"/>
          </w:tcPr>
          <w:p>
            <w:pPr>
              <w:spacing w:after="0"/>
              <w:rPr>
                <w:sz w:val="24"/>
                <w:szCs w:val="24"/>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75.9</w:t>
            </w:r>
          </w:p>
        </w:tc>
        <w:tc>
          <w:tcPr>
            <w:tcW w:w="300" w:type="dxa"/>
            <w:vAlign w:val="bottom"/>
          </w:tcPr>
          <w:p>
            <w:pPr>
              <w:spacing w:after="0"/>
              <w:rPr>
                <w:sz w:val="24"/>
                <w:szCs w:val="24"/>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77.4</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76.0</w:t>
            </w: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220" w:type="dxa"/>
            <w:vAlign w:val="bottom"/>
            <w:gridSpan w:val="2"/>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494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 diluted</w:t>
            </w:r>
          </w:p>
        </w:tc>
        <w:tc>
          <w:tcPr>
            <w:tcW w:w="1040" w:type="dxa"/>
            <w:vAlign w:val="bottom"/>
          </w:tcPr>
          <w:p>
            <w:pPr>
              <w:spacing w:after="0"/>
              <w:rPr>
                <w:sz w:val="24"/>
                <w:szCs w:val="24"/>
                <w:color w:val="auto"/>
              </w:rPr>
            </w:pPr>
          </w:p>
        </w:tc>
        <w:tc>
          <w:tcPr>
            <w:tcW w:w="11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78.3</w:t>
            </w:r>
          </w:p>
        </w:tc>
        <w:tc>
          <w:tcPr>
            <w:tcW w:w="240" w:type="dxa"/>
            <w:vAlign w:val="bottom"/>
          </w:tcPr>
          <w:p>
            <w:pPr>
              <w:spacing w:after="0"/>
              <w:rPr>
                <w:sz w:val="24"/>
                <w:szCs w:val="24"/>
                <w:color w:val="auto"/>
              </w:rPr>
            </w:pPr>
          </w:p>
        </w:tc>
        <w:tc>
          <w:tcPr>
            <w:tcW w:w="8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77.5</w:t>
            </w:r>
          </w:p>
        </w:tc>
        <w:tc>
          <w:tcPr>
            <w:tcW w:w="300" w:type="dxa"/>
            <w:vAlign w:val="bottom"/>
          </w:tcPr>
          <w:p>
            <w:pPr>
              <w:spacing w:after="0"/>
              <w:rPr>
                <w:sz w:val="24"/>
                <w:szCs w:val="24"/>
                <w:color w:val="auto"/>
              </w:rPr>
            </w:pPr>
          </w:p>
        </w:tc>
        <w:tc>
          <w:tcPr>
            <w:tcW w:w="10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78.2</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77.6</w:t>
            </w:r>
          </w:p>
        </w:tc>
        <w:tc>
          <w:tcPr>
            <w:tcW w:w="0" w:type="dxa"/>
            <w:vAlign w:val="bottom"/>
          </w:tcPr>
          <w:p>
            <w:pPr>
              <w:spacing w:after="0"/>
              <w:rPr>
                <w:sz w:val="1"/>
                <w:szCs w:val="1"/>
                <w:color w:val="auto"/>
              </w:rPr>
            </w:pPr>
          </w:p>
        </w:tc>
      </w:tr>
      <w:tr>
        <w:trPr>
          <w:trHeight w:val="277"/>
        </w:trPr>
        <w:tc>
          <w:tcPr>
            <w:tcW w:w="4940" w:type="dxa"/>
            <w:vAlign w:val="bottom"/>
          </w:tcPr>
          <w:p>
            <w:pPr>
              <w:spacing w:after="0"/>
              <w:rPr>
                <w:sz w:val="24"/>
                <w:szCs w:val="24"/>
                <w:color w:val="auto"/>
              </w:rPr>
            </w:pPr>
          </w:p>
        </w:tc>
        <w:tc>
          <w:tcPr>
            <w:tcW w:w="2220" w:type="dxa"/>
            <w:vAlign w:val="bottom"/>
            <w:gridSpan w:val="2"/>
          </w:tcPr>
          <w:p>
            <w:pPr>
              <w:ind w:left="880"/>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38"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6"/>
          <w:szCs w:val="16"/>
          <w:color w:val="auto"/>
        </w:rPr>
        <w:t>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60"/>
          </w:cols>
          <w:pgMar w:left="1020" w:top="466" w:right="319" w:bottom="1440" w:gutter="0" w:footer="0" w:header="0"/>
        </w:sectPr>
      </w:pPr>
    </w:p>
    <w:bookmarkStart w:id="5" w:name="page6"/>
    <w:bookmarkEnd w:id="5"/>
    <w:p>
      <w:pPr>
        <w:jc w:val="center"/>
        <w:ind w:right="2860"/>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3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560" w:type="dxa"/>
            <w:vAlign w:val="bottom"/>
            <w:gridSpan w:val="3"/>
          </w:tcPr>
          <w:p>
            <w:pPr>
              <w:jc w:val="right"/>
              <w:ind w:right="698"/>
              <w:spacing w:after="0"/>
              <w:rPr>
                <w:sz w:val="20"/>
                <w:szCs w:val="20"/>
                <w:color w:val="auto"/>
              </w:rPr>
            </w:pPr>
            <w:r>
              <w:rPr>
                <w:rFonts w:ascii="Courier New" w:cs="Courier New" w:eastAsia="Courier New" w:hAnsi="Courier New"/>
                <w:sz w:val="16"/>
                <w:szCs w:val="16"/>
                <w:color w:val="auto"/>
              </w:rPr>
              <w:t>6 MONTHS ENDED</w:t>
            </w: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5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JUNE 30,</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spacing w:after="0"/>
              <w:rPr>
                <w:sz w:val="16"/>
                <w:szCs w:val="16"/>
                <w:color w:val="auto"/>
              </w:rPr>
            </w:pPr>
          </w:p>
        </w:tc>
        <w:tc>
          <w:tcPr>
            <w:tcW w:w="40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660" w:type="dxa"/>
            <w:vAlign w:val="bottom"/>
            <w:vMerge w:val="restart"/>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520" w:type="dxa"/>
            <w:vAlign w:val="bottom"/>
          </w:tcPr>
          <w:p>
            <w:pPr>
              <w:spacing w:after="0"/>
              <w:rPr>
                <w:sz w:val="16"/>
                <w:szCs w:val="16"/>
                <w:color w:val="auto"/>
              </w:rPr>
            </w:pPr>
          </w:p>
        </w:tc>
        <w:tc>
          <w:tcPr>
            <w:tcW w:w="1040" w:type="dxa"/>
            <w:vAlign w:val="bottom"/>
          </w:tcPr>
          <w:p>
            <w:pPr>
              <w:jc w:val="right"/>
              <w:ind w:right="558"/>
              <w:spacing w:after="0"/>
              <w:rPr>
                <w:sz w:val="20"/>
                <w:szCs w:val="20"/>
                <w:color w:val="auto"/>
              </w:rPr>
            </w:pPr>
            <w:r>
              <w:rPr>
                <w:rFonts w:ascii="Courier New" w:cs="Courier New" w:eastAsia="Courier New" w:hAnsi="Courier New"/>
                <w:sz w:val="16"/>
                <w:szCs w:val="16"/>
                <w:color w:val="auto"/>
                <w:w w:val="98"/>
              </w:rPr>
              <w:t>2003</w:t>
            </w:r>
          </w:p>
        </w:tc>
        <w:tc>
          <w:tcPr>
            <w:tcW w:w="540" w:type="dxa"/>
            <w:vAlign w:val="bottom"/>
          </w:tcPr>
          <w:p>
            <w:pPr>
              <w:spacing w:after="0"/>
              <w:rPr>
                <w:sz w:val="16"/>
                <w:szCs w:val="16"/>
                <w:color w:val="auto"/>
              </w:rPr>
            </w:pPr>
          </w:p>
        </w:tc>
        <w:tc>
          <w:tcPr>
            <w:tcW w:w="980" w:type="dxa"/>
            <w:vAlign w:val="bottom"/>
          </w:tcPr>
          <w:p>
            <w:pPr>
              <w:jc w:val="right"/>
              <w:ind w:right="39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77"/>
        </w:trPr>
        <w:tc>
          <w:tcPr>
            <w:tcW w:w="6660" w:type="dxa"/>
            <w:vAlign w:val="bottom"/>
            <w:vMerge w:val="continue"/>
          </w:tcPr>
          <w:p>
            <w:pPr>
              <w:spacing w:after="0"/>
              <w:rPr>
                <w:sz w:val="24"/>
                <w:szCs w:val="24"/>
                <w:color w:val="auto"/>
              </w:rPr>
            </w:pPr>
          </w:p>
        </w:tc>
        <w:tc>
          <w:tcPr>
            <w:tcW w:w="256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660" w:type="dxa"/>
            <w:vAlign w:val="bottom"/>
          </w:tcPr>
          <w:p>
            <w:pPr>
              <w:ind w:left="300"/>
              <w:spacing w:after="0"/>
              <w:rPr>
                <w:sz w:val="20"/>
                <w:szCs w:val="20"/>
                <w:color w:val="auto"/>
              </w:rPr>
            </w:pPr>
            <w:r>
              <w:rPr>
                <w:rFonts w:ascii="Courier New" w:cs="Courier New" w:eastAsia="Courier New" w:hAnsi="Courier New"/>
                <w:sz w:val="16"/>
                <w:szCs w:val="16"/>
                <w:color w:val="auto"/>
              </w:rPr>
              <w:t>Net earnings</w:t>
            </w:r>
          </w:p>
        </w:tc>
        <w:tc>
          <w:tcPr>
            <w:tcW w:w="1520" w:type="dxa"/>
            <w:vAlign w:val="bottom"/>
          </w:tcPr>
          <w:p>
            <w:pPr>
              <w:ind w:left="1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44.0</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32.6</w:t>
            </w:r>
          </w:p>
        </w:tc>
        <w:tc>
          <w:tcPr>
            <w:tcW w:w="0" w:type="dxa"/>
            <w:vAlign w:val="bottom"/>
          </w:tcPr>
          <w:p>
            <w:pPr>
              <w:spacing w:after="0"/>
              <w:rPr>
                <w:sz w:val="1"/>
                <w:szCs w:val="1"/>
                <w:color w:val="auto"/>
              </w:rPr>
            </w:pPr>
          </w:p>
        </w:tc>
      </w:tr>
      <w:tr>
        <w:trPr>
          <w:trHeight w:val="190"/>
        </w:trPr>
        <w:tc>
          <w:tcPr>
            <w:tcW w:w="6660" w:type="dxa"/>
            <w:vAlign w:val="bottom"/>
          </w:tcPr>
          <w:p>
            <w:pPr>
              <w:ind w:left="500"/>
              <w:spacing w:after="0"/>
              <w:rPr>
                <w:sz w:val="20"/>
                <w:szCs w:val="20"/>
                <w:color w:val="auto"/>
              </w:rPr>
            </w:pPr>
            <w:r>
              <w:rPr>
                <w:rFonts w:ascii="Courier New" w:cs="Courier New" w:eastAsia="Courier New" w:hAnsi="Courier New"/>
                <w:sz w:val="16"/>
                <w:szCs w:val="16"/>
                <w:color w:val="auto"/>
              </w:rPr>
              <w:t>Adjustments to reconcile net earnings to net cash</w:t>
            </w:r>
          </w:p>
        </w:tc>
        <w:tc>
          <w:tcPr>
            <w:tcW w:w="1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ind w:left="500"/>
              <w:spacing w:after="0"/>
              <w:rPr>
                <w:sz w:val="20"/>
                <w:szCs w:val="20"/>
                <w:color w:val="auto"/>
              </w:rPr>
            </w:pPr>
            <w:r>
              <w:rPr>
                <w:rFonts w:ascii="Courier New" w:cs="Courier New" w:eastAsia="Courier New" w:hAnsi="Courier New"/>
                <w:sz w:val="16"/>
                <w:szCs w:val="16"/>
                <w:color w:val="auto"/>
              </w:rPr>
              <w:t>provided by operating activities:</w:t>
            </w:r>
          </w:p>
        </w:tc>
        <w:tc>
          <w:tcPr>
            <w:tcW w:w="1520" w:type="dxa"/>
            <w:vAlign w:val="bottom"/>
          </w:tcPr>
          <w:p>
            <w:pPr>
              <w:spacing w:after="0"/>
              <w:rPr>
                <w:sz w:val="16"/>
                <w:szCs w:val="16"/>
                <w:color w:val="auto"/>
              </w:rPr>
            </w:pPr>
          </w:p>
        </w:tc>
        <w:tc>
          <w:tcPr>
            <w:tcW w:w="10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31.4</w:t>
            </w:r>
          </w:p>
        </w:tc>
        <w:tc>
          <w:tcPr>
            <w:tcW w:w="540" w:type="dxa"/>
            <w:vAlign w:val="bottom"/>
          </w:tcPr>
          <w:p>
            <w:pPr>
              <w:spacing w:after="0"/>
              <w:rPr>
                <w:sz w:val="16"/>
                <w:szCs w:val="16"/>
                <w:color w:val="auto"/>
              </w:rPr>
            </w:pPr>
          </w:p>
        </w:tc>
        <w:tc>
          <w:tcPr>
            <w:tcW w:w="9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32.8</w:t>
            </w:r>
          </w:p>
        </w:tc>
        <w:tc>
          <w:tcPr>
            <w:tcW w:w="0" w:type="dxa"/>
            <w:vAlign w:val="bottom"/>
          </w:tcPr>
          <w:p>
            <w:pPr>
              <w:spacing w:after="0"/>
              <w:rPr>
                <w:sz w:val="1"/>
                <w:szCs w:val="1"/>
                <w:color w:val="auto"/>
              </w:rPr>
            </w:pPr>
          </w:p>
        </w:tc>
      </w:tr>
      <w:tr>
        <w:trPr>
          <w:trHeight w:val="190"/>
        </w:trPr>
        <w:tc>
          <w:tcPr>
            <w:tcW w:w="6660" w:type="dxa"/>
            <w:vAlign w:val="bottom"/>
          </w:tcPr>
          <w:p>
            <w:pPr>
              <w:ind w:left="700"/>
              <w:spacing w:after="0"/>
              <w:rPr>
                <w:sz w:val="20"/>
                <w:szCs w:val="20"/>
                <w:color w:val="auto"/>
              </w:rPr>
            </w:pPr>
            <w:r>
              <w:rPr>
                <w:rFonts w:ascii="Courier New" w:cs="Courier New" w:eastAsia="Courier New" w:hAnsi="Courier New"/>
                <w:sz w:val="16"/>
                <w:szCs w:val="16"/>
                <w:color w:val="auto"/>
              </w:rPr>
              <w:t>Depreciation and amortization</w:t>
            </w:r>
          </w:p>
        </w:tc>
        <w:tc>
          <w:tcPr>
            <w:tcW w:w="1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ind w:left="700"/>
              <w:spacing w:after="0"/>
              <w:rPr>
                <w:sz w:val="20"/>
                <w:szCs w:val="20"/>
                <w:color w:val="auto"/>
              </w:rPr>
            </w:pPr>
            <w:r>
              <w:rPr>
                <w:rFonts w:ascii="Courier New" w:cs="Courier New" w:eastAsia="Courier New" w:hAnsi="Courier New"/>
                <w:sz w:val="16"/>
                <w:szCs w:val="16"/>
                <w:color w:val="auto"/>
              </w:rPr>
              <w:t>Amortization of discount on convertible debentures</w:t>
            </w:r>
          </w:p>
        </w:tc>
        <w:tc>
          <w:tcPr>
            <w:tcW w:w="152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3.8</w:t>
            </w: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190"/>
        </w:trPr>
        <w:tc>
          <w:tcPr>
            <w:tcW w:w="6660" w:type="dxa"/>
            <w:vAlign w:val="bottom"/>
          </w:tcPr>
          <w:p>
            <w:pPr>
              <w:ind w:left="700"/>
              <w:spacing w:after="0"/>
              <w:rPr>
                <w:sz w:val="20"/>
                <w:szCs w:val="20"/>
                <w:color w:val="auto"/>
              </w:rPr>
            </w:pPr>
            <w:r>
              <w:rPr>
                <w:rFonts w:ascii="Courier New" w:cs="Courier New" w:eastAsia="Courier New" w:hAnsi="Courier New"/>
                <w:sz w:val="16"/>
                <w:szCs w:val="16"/>
                <w:color w:val="auto"/>
              </w:rPr>
              <w:t>Deferred income taxes</w:t>
            </w:r>
          </w:p>
        </w:tc>
        <w:tc>
          <w:tcPr>
            <w:tcW w:w="152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4.7</w:t>
            </w: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90"/>
        </w:trPr>
        <w:tc>
          <w:tcPr>
            <w:tcW w:w="6660" w:type="dxa"/>
            <w:vAlign w:val="bottom"/>
          </w:tcPr>
          <w:p>
            <w:pPr>
              <w:ind w:left="700"/>
              <w:spacing w:after="0"/>
              <w:rPr>
                <w:sz w:val="20"/>
                <w:szCs w:val="20"/>
                <w:color w:val="auto"/>
              </w:rPr>
            </w:pPr>
            <w:r>
              <w:rPr>
                <w:rFonts w:ascii="Courier New" w:cs="Courier New" w:eastAsia="Courier New" w:hAnsi="Courier New"/>
                <w:sz w:val="16"/>
                <w:szCs w:val="16"/>
                <w:color w:val="auto"/>
              </w:rPr>
              <w:t>Provision for doubtful accounts</w:t>
            </w:r>
          </w:p>
        </w:tc>
        <w:tc>
          <w:tcPr>
            <w:tcW w:w="152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8.0</w:t>
            </w: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9.1</w:t>
            </w:r>
          </w:p>
        </w:tc>
        <w:tc>
          <w:tcPr>
            <w:tcW w:w="0" w:type="dxa"/>
            <w:vAlign w:val="bottom"/>
          </w:tcPr>
          <w:p>
            <w:pPr>
              <w:spacing w:after="0"/>
              <w:rPr>
                <w:sz w:val="1"/>
                <w:szCs w:val="1"/>
                <w:color w:val="auto"/>
              </w:rPr>
            </w:pPr>
          </w:p>
        </w:tc>
      </w:tr>
      <w:tr>
        <w:trPr>
          <w:trHeight w:val="190"/>
        </w:trPr>
        <w:tc>
          <w:tcPr>
            <w:tcW w:w="6660" w:type="dxa"/>
            <w:vAlign w:val="bottom"/>
          </w:tcPr>
          <w:p>
            <w:pPr>
              <w:ind w:left="70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520" w:type="dxa"/>
            <w:vAlign w:val="bottom"/>
          </w:tcPr>
          <w:p>
            <w:pPr>
              <w:spacing w:after="0"/>
              <w:rPr>
                <w:sz w:val="16"/>
                <w:szCs w:val="16"/>
                <w:color w:val="auto"/>
              </w:rPr>
            </w:pPr>
          </w:p>
        </w:tc>
        <w:tc>
          <w:tcPr>
            <w:tcW w:w="10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(76.5)</w:t>
            </w:r>
          </w:p>
        </w:tc>
        <w:tc>
          <w:tcPr>
            <w:tcW w:w="540" w:type="dxa"/>
            <w:vAlign w:val="bottom"/>
          </w:tcPr>
          <w:p>
            <w:pPr>
              <w:spacing w:after="0"/>
              <w:rPr>
                <w:sz w:val="16"/>
                <w:szCs w:val="16"/>
                <w:color w:val="auto"/>
              </w:rPr>
            </w:pPr>
          </w:p>
        </w:tc>
        <w:tc>
          <w:tcPr>
            <w:tcW w:w="9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(146.4)</w:t>
            </w:r>
          </w:p>
        </w:tc>
        <w:tc>
          <w:tcPr>
            <w:tcW w:w="0" w:type="dxa"/>
            <w:vAlign w:val="bottom"/>
          </w:tcPr>
          <w:p>
            <w:pPr>
              <w:spacing w:after="0"/>
              <w:rPr>
                <w:sz w:val="1"/>
                <w:szCs w:val="1"/>
                <w:color w:val="auto"/>
              </w:rPr>
            </w:pPr>
          </w:p>
        </w:tc>
      </w:tr>
      <w:tr>
        <w:trPr>
          <w:trHeight w:val="190"/>
        </w:trPr>
        <w:tc>
          <w:tcPr>
            <w:tcW w:w="6660" w:type="dxa"/>
            <w:vAlign w:val="bottom"/>
          </w:tcPr>
          <w:p>
            <w:pPr>
              <w:ind w:left="980"/>
              <w:spacing w:after="0"/>
              <w:rPr>
                <w:sz w:val="20"/>
                <w:szCs w:val="20"/>
                <w:color w:val="auto"/>
              </w:rPr>
            </w:pPr>
            <w:r>
              <w:rPr>
                <w:rFonts w:ascii="Courier New" w:cs="Courier New" w:eastAsia="Courier New" w:hAnsi="Courier New"/>
                <w:sz w:val="16"/>
                <w:szCs w:val="16"/>
                <w:color w:val="auto"/>
              </w:rPr>
              <w:t>Accounts receivable</w:t>
            </w:r>
          </w:p>
        </w:tc>
        <w:tc>
          <w:tcPr>
            <w:tcW w:w="1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ind w:left="980"/>
              <w:spacing w:after="0"/>
              <w:rPr>
                <w:sz w:val="20"/>
                <w:szCs w:val="20"/>
                <w:color w:val="auto"/>
              </w:rPr>
            </w:pPr>
            <w:r>
              <w:rPr>
                <w:rFonts w:ascii="Courier New" w:cs="Courier New" w:eastAsia="Courier New" w:hAnsi="Courier New"/>
                <w:sz w:val="16"/>
                <w:szCs w:val="16"/>
                <w:color w:val="auto"/>
              </w:rPr>
              <w:t>Other assets</w:t>
            </w:r>
          </w:p>
        </w:tc>
        <w:tc>
          <w:tcPr>
            <w:tcW w:w="152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(25.8)</w:t>
            </w:r>
          </w:p>
        </w:tc>
        <w:tc>
          <w:tcPr>
            <w:tcW w:w="5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w:t>
            </w:r>
          </w:p>
        </w:tc>
        <w:tc>
          <w:tcPr>
            <w:tcW w:w="0" w:type="dxa"/>
            <w:vAlign w:val="bottom"/>
          </w:tcPr>
          <w:p>
            <w:pPr>
              <w:spacing w:after="0"/>
              <w:rPr>
                <w:sz w:val="1"/>
                <w:szCs w:val="1"/>
                <w:color w:val="auto"/>
              </w:rPr>
            </w:pPr>
          </w:p>
        </w:tc>
      </w:tr>
      <w:tr>
        <w:trPr>
          <w:trHeight w:val="190"/>
        </w:trPr>
        <w:tc>
          <w:tcPr>
            <w:tcW w:w="6660" w:type="dxa"/>
            <w:vAlign w:val="bottom"/>
          </w:tcPr>
          <w:p>
            <w:pPr>
              <w:ind w:left="980"/>
              <w:spacing w:after="0"/>
              <w:rPr>
                <w:sz w:val="20"/>
                <w:szCs w:val="20"/>
                <w:color w:val="auto"/>
              </w:rPr>
            </w:pPr>
            <w:r>
              <w:rPr>
                <w:rFonts w:ascii="Courier New" w:cs="Courier New" w:eastAsia="Courier New" w:hAnsi="Courier New"/>
                <w:sz w:val="16"/>
                <w:szCs w:val="16"/>
                <w:color w:val="auto"/>
              </w:rPr>
              <w:t>Other liabilities</w:t>
            </w:r>
          </w:p>
        </w:tc>
        <w:tc>
          <w:tcPr>
            <w:tcW w:w="152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28.1</w:t>
            </w: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108.8</w:t>
            </w:r>
          </w:p>
        </w:tc>
        <w:tc>
          <w:tcPr>
            <w:tcW w:w="0" w:type="dxa"/>
            <w:vAlign w:val="bottom"/>
          </w:tcPr>
          <w:p>
            <w:pPr>
              <w:spacing w:after="0"/>
              <w:rPr>
                <w:sz w:val="1"/>
                <w:szCs w:val="1"/>
                <w:color w:val="auto"/>
              </w:rPr>
            </w:pPr>
          </w:p>
        </w:tc>
      </w:tr>
      <w:tr>
        <w:trPr>
          <w:trHeight w:val="190"/>
        </w:trPr>
        <w:tc>
          <w:tcPr>
            <w:tcW w:w="6660" w:type="dxa"/>
            <w:vAlign w:val="bottom"/>
            <w:vMerge w:val="restart"/>
          </w:tcPr>
          <w:p>
            <w:pPr>
              <w:spacing w:after="0"/>
              <w:rPr>
                <w:sz w:val="20"/>
                <w:szCs w:val="20"/>
                <w:color w:val="auto"/>
              </w:rPr>
            </w:pPr>
            <w:r>
              <w:rPr>
                <w:rFonts w:ascii="Courier New" w:cs="Courier New" w:eastAsia="Courier New" w:hAnsi="Courier New"/>
                <w:sz w:val="16"/>
                <w:szCs w:val="16"/>
                <w:color w:val="auto"/>
              </w:rPr>
              <w:t>Cash provided by operating activities</w:t>
            </w:r>
          </w:p>
        </w:tc>
        <w:tc>
          <w:tcPr>
            <w:tcW w:w="1520" w:type="dxa"/>
            <w:vAlign w:val="bottom"/>
          </w:tcPr>
          <w:p>
            <w:pPr>
              <w:ind w:left="1040"/>
              <w:spacing w:after="0"/>
              <w:rPr>
                <w:sz w:val="20"/>
                <w:szCs w:val="20"/>
                <w:color w:val="auto"/>
              </w:rPr>
            </w:pPr>
            <w:r>
              <w:rPr>
                <w:rFonts w:ascii="Courier New" w:cs="Courier New" w:eastAsia="Courier New" w:hAnsi="Courier New"/>
                <w:sz w:val="7"/>
                <w:szCs w:val="7"/>
                <w:color w:val="auto"/>
                <w:w w:val="78"/>
              </w:rPr>
              <w:t>--------------</w:t>
            </w:r>
          </w:p>
        </w:tc>
        <w:tc>
          <w:tcPr>
            <w:tcW w:w="10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17.7</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38.1</w:t>
            </w:r>
          </w:p>
        </w:tc>
        <w:tc>
          <w:tcPr>
            <w:tcW w:w="0" w:type="dxa"/>
            <w:vAlign w:val="bottom"/>
          </w:tcPr>
          <w:p>
            <w:pPr>
              <w:spacing w:after="0"/>
              <w:rPr>
                <w:sz w:val="1"/>
                <w:szCs w:val="1"/>
                <w:color w:val="auto"/>
              </w:rPr>
            </w:pPr>
          </w:p>
        </w:tc>
      </w:tr>
      <w:tr>
        <w:trPr>
          <w:trHeight w:val="277"/>
        </w:trPr>
        <w:tc>
          <w:tcPr>
            <w:tcW w:w="6660" w:type="dxa"/>
            <w:vAlign w:val="bottom"/>
          </w:tcPr>
          <w:p>
            <w:pPr>
              <w:spacing w:after="0"/>
              <w:rPr>
                <w:sz w:val="24"/>
                <w:szCs w:val="24"/>
                <w:color w:val="auto"/>
              </w:rPr>
            </w:pPr>
          </w:p>
        </w:tc>
        <w:tc>
          <w:tcPr>
            <w:tcW w:w="256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66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520" w:type="dxa"/>
            <w:vAlign w:val="bottom"/>
          </w:tcPr>
          <w:p>
            <w:pPr>
              <w:spacing w:after="0"/>
              <w:rPr>
                <w:sz w:val="24"/>
                <w:szCs w:val="24"/>
                <w:color w:val="auto"/>
              </w:rPr>
            </w:pPr>
          </w:p>
        </w:tc>
        <w:tc>
          <w:tcPr>
            <w:tcW w:w="10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(23.8)</w:t>
            </w:r>
          </w:p>
        </w:tc>
        <w:tc>
          <w:tcPr>
            <w:tcW w:w="540" w:type="dxa"/>
            <w:vAlign w:val="bottom"/>
          </w:tcPr>
          <w:p>
            <w:pPr>
              <w:spacing w:after="0"/>
              <w:rPr>
                <w:sz w:val="24"/>
                <w:szCs w:val="24"/>
                <w:color w:val="auto"/>
              </w:rPr>
            </w:pPr>
          </w:p>
        </w:tc>
        <w:tc>
          <w:tcPr>
            <w:tcW w:w="9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(31.0)</w:t>
            </w: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Capital expenditures</w:t>
            </w:r>
          </w:p>
        </w:tc>
        <w:tc>
          <w:tcPr>
            <w:tcW w:w="1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152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(2.5)</w:t>
            </w:r>
          </w:p>
        </w:tc>
        <w:tc>
          <w:tcPr>
            <w:tcW w:w="5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(29.6)</w:t>
            </w: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the sale of property and equipment</w:t>
            </w:r>
          </w:p>
        </w:tc>
        <w:tc>
          <w:tcPr>
            <w:tcW w:w="152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2.5</w:t>
            </w: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90"/>
        </w:trPr>
        <w:tc>
          <w:tcPr>
            <w:tcW w:w="6660" w:type="dxa"/>
            <w:vAlign w:val="bottom"/>
            <w:vMerge w:val="restart"/>
          </w:tcPr>
          <w:p>
            <w:pPr>
              <w:spacing w:after="0"/>
              <w:rPr>
                <w:sz w:val="20"/>
                <w:szCs w:val="20"/>
                <w:color w:val="auto"/>
              </w:rPr>
            </w:pPr>
            <w:r>
              <w:rPr>
                <w:rFonts w:ascii="Courier New" w:cs="Courier New" w:eastAsia="Courier New" w:hAnsi="Courier New"/>
                <w:sz w:val="16"/>
                <w:szCs w:val="16"/>
                <w:color w:val="auto"/>
              </w:rPr>
              <w:t>Cash used by investing activities</w:t>
            </w:r>
          </w:p>
        </w:tc>
        <w:tc>
          <w:tcPr>
            <w:tcW w:w="1520" w:type="dxa"/>
            <w:vAlign w:val="bottom"/>
          </w:tcPr>
          <w:p>
            <w:pPr>
              <w:ind w:left="1040"/>
              <w:spacing w:after="0"/>
              <w:rPr>
                <w:sz w:val="20"/>
                <w:szCs w:val="20"/>
                <w:color w:val="auto"/>
              </w:rPr>
            </w:pPr>
            <w:r>
              <w:rPr>
                <w:rFonts w:ascii="Courier New" w:cs="Courier New" w:eastAsia="Courier New" w:hAnsi="Courier New"/>
                <w:sz w:val="7"/>
                <w:szCs w:val="7"/>
                <w:color w:val="auto"/>
                <w:w w:val="78"/>
              </w:rPr>
              <w:t>--------------</w:t>
            </w:r>
          </w:p>
        </w:tc>
        <w:tc>
          <w:tcPr>
            <w:tcW w:w="10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(23.8)</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(59.1)</w:t>
            </w:r>
          </w:p>
        </w:tc>
        <w:tc>
          <w:tcPr>
            <w:tcW w:w="0" w:type="dxa"/>
            <w:vAlign w:val="bottom"/>
          </w:tcPr>
          <w:p>
            <w:pPr>
              <w:spacing w:after="0"/>
              <w:rPr>
                <w:sz w:val="1"/>
                <w:szCs w:val="1"/>
                <w:color w:val="auto"/>
              </w:rPr>
            </w:pPr>
          </w:p>
        </w:tc>
      </w:tr>
      <w:tr>
        <w:trPr>
          <w:trHeight w:val="277"/>
        </w:trPr>
        <w:tc>
          <w:tcPr>
            <w:tcW w:w="6660" w:type="dxa"/>
            <w:vAlign w:val="bottom"/>
          </w:tcPr>
          <w:p>
            <w:pPr>
              <w:spacing w:after="0"/>
              <w:rPr>
                <w:sz w:val="24"/>
                <w:szCs w:val="24"/>
                <w:color w:val="auto"/>
              </w:rPr>
            </w:pPr>
          </w:p>
        </w:tc>
        <w:tc>
          <w:tcPr>
            <w:tcW w:w="256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66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520" w:type="dxa"/>
            <w:vAlign w:val="bottom"/>
          </w:tcPr>
          <w:p>
            <w:pPr>
              <w:spacing w:after="0"/>
              <w:rPr>
                <w:sz w:val="24"/>
                <w:szCs w:val="24"/>
                <w:color w:val="auto"/>
              </w:rPr>
            </w:pPr>
          </w:p>
        </w:tc>
        <w:tc>
          <w:tcPr>
            <w:tcW w:w="10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(7.8)</w:t>
            </w:r>
          </w:p>
        </w:tc>
        <w:tc>
          <w:tcPr>
            <w:tcW w:w="540" w:type="dxa"/>
            <w:vAlign w:val="bottom"/>
          </w:tcPr>
          <w:p>
            <w:pPr>
              <w:spacing w:after="0"/>
              <w:rPr>
                <w:sz w:val="24"/>
                <w:szCs w:val="24"/>
                <w:color w:val="auto"/>
              </w:rPr>
            </w:pPr>
          </w:p>
        </w:tc>
        <w:tc>
          <w:tcPr>
            <w:tcW w:w="9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21.1</w:t>
            </w: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Net change in short-term borrowings</w:t>
            </w:r>
          </w:p>
        </w:tc>
        <w:tc>
          <w:tcPr>
            <w:tcW w:w="1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long-term debt</w:t>
            </w:r>
          </w:p>
        </w:tc>
        <w:tc>
          <w:tcPr>
            <w:tcW w:w="152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26.5</w:t>
            </w: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364.3</w:t>
            </w: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Repayment of long-term debt</w:t>
            </w:r>
          </w:p>
        </w:tc>
        <w:tc>
          <w:tcPr>
            <w:tcW w:w="152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(63.2)</w:t>
            </w:r>
          </w:p>
        </w:tc>
        <w:tc>
          <w:tcPr>
            <w:tcW w:w="5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(368.1)</w:t>
            </w: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Proceeds from stock option and purchase plans</w:t>
            </w:r>
          </w:p>
        </w:tc>
        <w:tc>
          <w:tcPr>
            <w:tcW w:w="1520" w:type="dxa"/>
            <w:vAlign w:val="bottom"/>
          </w:tcPr>
          <w:p>
            <w:pPr>
              <w:spacing w:after="0"/>
              <w:rPr>
                <w:sz w:val="16"/>
                <w:szCs w:val="16"/>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13.9</w:t>
            </w: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26.1</w:t>
            </w: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Repurchases of common stock</w:t>
            </w:r>
          </w:p>
        </w:tc>
        <w:tc>
          <w:tcPr>
            <w:tcW w:w="1520" w:type="dxa"/>
            <w:vAlign w:val="bottom"/>
          </w:tcPr>
          <w:p>
            <w:pPr>
              <w:spacing w:after="0"/>
              <w:rPr>
                <w:sz w:val="16"/>
                <w:szCs w:val="16"/>
                <w:color w:val="auto"/>
              </w:rPr>
            </w:pPr>
          </w:p>
        </w:tc>
        <w:tc>
          <w:tcPr>
            <w:tcW w:w="104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(30.7)</w:t>
            </w: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Dividends paid</w:t>
            </w:r>
          </w:p>
        </w:tc>
        <w:tc>
          <w:tcPr>
            <w:tcW w:w="1520" w:type="dxa"/>
            <w:vAlign w:val="bottom"/>
          </w:tcPr>
          <w:p>
            <w:pPr>
              <w:spacing w:after="0"/>
              <w:rPr>
                <w:sz w:val="16"/>
                <w:szCs w:val="16"/>
                <w:color w:val="auto"/>
              </w:rPr>
            </w:pPr>
          </w:p>
        </w:tc>
        <w:tc>
          <w:tcPr>
            <w:tcW w:w="10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(7.8)</w:t>
            </w:r>
          </w:p>
        </w:tc>
        <w:tc>
          <w:tcPr>
            <w:tcW w:w="540" w:type="dxa"/>
            <w:vAlign w:val="bottom"/>
          </w:tcPr>
          <w:p>
            <w:pPr>
              <w:spacing w:after="0"/>
              <w:rPr>
                <w:sz w:val="16"/>
                <w:szCs w:val="16"/>
                <w:color w:val="auto"/>
              </w:rPr>
            </w:pPr>
          </w:p>
        </w:tc>
        <w:tc>
          <w:tcPr>
            <w:tcW w:w="9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w:t>
            </w:r>
          </w:p>
        </w:tc>
        <w:tc>
          <w:tcPr>
            <w:tcW w:w="0" w:type="dxa"/>
            <w:vAlign w:val="bottom"/>
          </w:tcPr>
          <w:p>
            <w:pPr>
              <w:spacing w:after="0"/>
              <w:rPr>
                <w:sz w:val="1"/>
                <w:szCs w:val="1"/>
                <w:color w:val="auto"/>
              </w:rPr>
            </w:pPr>
          </w:p>
        </w:tc>
      </w:tr>
      <w:tr>
        <w:trPr>
          <w:trHeight w:val="190"/>
        </w:trPr>
        <w:tc>
          <w:tcPr>
            <w:tcW w:w="6660" w:type="dxa"/>
            <w:vAlign w:val="bottom"/>
            <w:vMerge w:val="restart"/>
          </w:tcPr>
          <w:p>
            <w:pPr>
              <w:spacing w:after="0"/>
              <w:rPr>
                <w:sz w:val="20"/>
                <w:szCs w:val="20"/>
                <w:color w:val="auto"/>
              </w:rPr>
            </w:pPr>
            <w:r>
              <w:rPr>
                <w:rFonts w:ascii="Courier New" w:cs="Courier New" w:eastAsia="Courier New" w:hAnsi="Courier New"/>
                <w:sz w:val="16"/>
                <w:szCs w:val="16"/>
                <w:color w:val="auto"/>
              </w:rPr>
              <w:t>Cash (used) provided by financing activities</w:t>
            </w:r>
          </w:p>
        </w:tc>
        <w:tc>
          <w:tcPr>
            <w:tcW w:w="1520" w:type="dxa"/>
            <w:vAlign w:val="bottom"/>
          </w:tcPr>
          <w:p>
            <w:pPr>
              <w:ind w:left="1040"/>
              <w:spacing w:after="0"/>
              <w:rPr>
                <w:sz w:val="20"/>
                <w:szCs w:val="20"/>
                <w:color w:val="auto"/>
              </w:rPr>
            </w:pPr>
            <w:r>
              <w:rPr>
                <w:rFonts w:ascii="Courier New" w:cs="Courier New" w:eastAsia="Courier New" w:hAnsi="Courier New"/>
                <w:sz w:val="7"/>
                <w:szCs w:val="7"/>
                <w:color w:val="auto"/>
                <w:w w:val="78"/>
              </w:rPr>
              <w:t>--------------</w:t>
            </w:r>
          </w:p>
        </w:tc>
        <w:tc>
          <w:tcPr>
            <w:tcW w:w="10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(38.4)</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5.1</w:t>
            </w:r>
          </w:p>
        </w:tc>
        <w:tc>
          <w:tcPr>
            <w:tcW w:w="0" w:type="dxa"/>
            <w:vAlign w:val="bottom"/>
          </w:tcPr>
          <w:p>
            <w:pPr>
              <w:spacing w:after="0"/>
              <w:rPr>
                <w:sz w:val="1"/>
                <w:szCs w:val="1"/>
                <w:color w:val="auto"/>
              </w:rPr>
            </w:pPr>
          </w:p>
        </w:tc>
      </w:tr>
      <w:tr>
        <w:trPr>
          <w:trHeight w:val="190"/>
        </w:trPr>
        <w:tc>
          <w:tcPr>
            <w:tcW w:w="6660" w:type="dxa"/>
            <w:vAlign w:val="bottom"/>
            <w:vMerge w:val="restart"/>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520" w:type="dxa"/>
            <w:vAlign w:val="bottom"/>
          </w:tcPr>
          <w:p>
            <w:pPr>
              <w:ind w:left="1040"/>
              <w:spacing w:after="0"/>
              <w:rPr>
                <w:sz w:val="20"/>
                <w:szCs w:val="20"/>
                <w:color w:val="auto"/>
              </w:rPr>
            </w:pPr>
            <w:r>
              <w:rPr>
                <w:rFonts w:ascii="Courier New" w:cs="Courier New" w:eastAsia="Courier New" w:hAnsi="Courier New"/>
                <w:sz w:val="7"/>
                <w:szCs w:val="7"/>
                <w:color w:val="auto"/>
                <w:w w:val="78"/>
              </w:rPr>
              <w:t>--------------</w:t>
            </w:r>
          </w:p>
        </w:tc>
        <w:tc>
          <w:tcPr>
            <w:tcW w:w="10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12.6</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19.1</w:t>
            </w:r>
          </w:p>
        </w:tc>
        <w:tc>
          <w:tcPr>
            <w:tcW w:w="0" w:type="dxa"/>
            <w:vAlign w:val="bottom"/>
          </w:tcPr>
          <w:p>
            <w:pPr>
              <w:spacing w:after="0"/>
              <w:rPr>
                <w:sz w:val="1"/>
                <w:szCs w:val="1"/>
                <w:color w:val="auto"/>
              </w:rPr>
            </w:pPr>
          </w:p>
        </w:tc>
      </w:tr>
      <w:tr>
        <w:trPr>
          <w:trHeight w:val="190"/>
        </w:trPr>
        <w:tc>
          <w:tcPr>
            <w:tcW w:w="6660" w:type="dxa"/>
            <w:vAlign w:val="bottom"/>
            <w:vMerge w:val="restart"/>
          </w:tcPr>
          <w:p>
            <w:pPr>
              <w:spacing w:after="0"/>
              <w:rPr>
                <w:sz w:val="20"/>
                <w:szCs w:val="20"/>
                <w:color w:val="auto"/>
              </w:rPr>
            </w:pPr>
            <w:r>
              <w:rPr>
                <w:rFonts w:ascii="Courier New" w:cs="Courier New" w:eastAsia="Courier New" w:hAnsi="Courier New"/>
                <w:sz w:val="16"/>
                <w:szCs w:val="16"/>
                <w:color w:val="auto"/>
              </w:rPr>
              <w:t>Net (decrease) increase in cash and cash equivalents</w:t>
            </w:r>
          </w:p>
        </w:tc>
        <w:tc>
          <w:tcPr>
            <w:tcW w:w="1520" w:type="dxa"/>
            <w:vAlign w:val="bottom"/>
          </w:tcPr>
          <w:p>
            <w:pPr>
              <w:ind w:left="1040"/>
              <w:spacing w:after="0"/>
              <w:rPr>
                <w:sz w:val="20"/>
                <w:szCs w:val="20"/>
                <w:color w:val="auto"/>
              </w:rPr>
            </w:pPr>
            <w:r>
              <w:rPr>
                <w:rFonts w:ascii="Courier New" w:cs="Courier New" w:eastAsia="Courier New" w:hAnsi="Courier New"/>
                <w:sz w:val="7"/>
                <w:szCs w:val="7"/>
                <w:color w:val="auto"/>
                <w:w w:val="78"/>
              </w:rPr>
              <w:t>--------------</w:t>
            </w:r>
          </w:p>
        </w:tc>
        <w:tc>
          <w:tcPr>
            <w:tcW w:w="10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(31.9)</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666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104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292"/>
        </w:trPr>
        <w:tc>
          <w:tcPr>
            <w:tcW w:w="666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year</w:t>
            </w:r>
          </w:p>
        </w:tc>
        <w:tc>
          <w:tcPr>
            <w:tcW w:w="1520" w:type="dxa"/>
            <w:vAlign w:val="bottom"/>
          </w:tcPr>
          <w:p>
            <w:pPr>
              <w:spacing w:after="0"/>
              <w:rPr>
                <w:sz w:val="24"/>
                <w:szCs w:val="24"/>
                <w:color w:val="auto"/>
              </w:rPr>
            </w:pP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284.0</w:t>
            </w:r>
          </w:p>
        </w:tc>
        <w:tc>
          <w:tcPr>
            <w:tcW w:w="540" w:type="dxa"/>
            <w:vAlign w:val="bottom"/>
          </w:tcPr>
          <w:p>
            <w:pPr>
              <w:spacing w:after="0"/>
              <w:rPr>
                <w:sz w:val="24"/>
                <w:szCs w:val="24"/>
                <w:color w:val="auto"/>
              </w:rPr>
            </w:pP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245.8</w:t>
            </w:r>
          </w:p>
        </w:tc>
        <w:tc>
          <w:tcPr>
            <w:tcW w:w="0" w:type="dxa"/>
            <w:vAlign w:val="bottom"/>
          </w:tcPr>
          <w:p>
            <w:pPr>
              <w:spacing w:after="0"/>
              <w:rPr>
                <w:sz w:val="1"/>
                <w:szCs w:val="1"/>
                <w:color w:val="auto"/>
              </w:rPr>
            </w:pPr>
          </w:p>
        </w:tc>
      </w:tr>
      <w:tr>
        <w:trPr>
          <w:trHeight w:val="190"/>
        </w:trPr>
        <w:tc>
          <w:tcPr>
            <w:tcW w:w="666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520" w:type="dxa"/>
            <w:vAlign w:val="bottom"/>
            <w:vMerge w:val="restart"/>
          </w:tcPr>
          <w:p>
            <w:pPr>
              <w:ind w:left="104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w:t>
            </w:r>
          </w:p>
        </w:tc>
        <w:tc>
          <w:tcPr>
            <w:tcW w:w="10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252.1</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249.0</w:t>
            </w:r>
          </w:p>
        </w:tc>
        <w:tc>
          <w:tcPr>
            <w:tcW w:w="0" w:type="dxa"/>
            <w:vAlign w:val="bottom"/>
          </w:tcPr>
          <w:p>
            <w:pPr>
              <w:spacing w:after="0"/>
              <w:rPr>
                <w:sz w:val="1"/>
                <w:szCs w:val="1"/>
                <w:color w:val="auto"/>
              </w:rPr>
            </w:pPr>
          </w:p>
        </w:tc>
      </w:tr>
      <w:tr>
        <w:trPr>
          <w:trHeight w:val="277"/>
        </w:trPr>
        <w:tc>
          <w:tcPr>
            <w:tcW w:w="6660" w:type="dxa"/>
            <w:vAlign w:val="bottom"/>
          </w:tcPr>
          <w:p>
            <w:pPr>
              <w:spacing w:after="0"/>
              <w:rPr>
                <w:sz w:val="24"/>
                <w:szCs w:val="24"/>
                <w:color w:val="auto"/>
              </w:rPr>
            </w:pPr>
          </w:p>
        </w:tc>
        <w:tc>
          <w:tcPr>
            <w:tcW w:w="256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666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520" w:type="dxa"/>
            <w:vAlign w:val="bottom"/>
            <w:vMerge w:val="restart"/>
          </w:tcPr>
          <w:p>
            <w:pPr>
              <w:ind w:left="1120"/>
              <w:spacing w:after="0"/>
              <w:rPr>
                <w:sz w:val="20"/>
                <w:szCs w:val="20"/>
                <w:color w:val="auto"/>
              </w:rPr>
            </w:pPr>
            <w:r>
              <w:rPr>
                <w:rFonts w:ascii="Courier New" w:cs="Courier New" w:eastAsia="Courier New" w:hAnsi="Courier New"/>
                <w:sz w:val="16"/>
                <w:szCs w:val="16"/>
                <w:color w:val="auto"/>
              </w:rPr>
              <w:t>$</w:t>
            </w:r>
          </w:p>
        </w:tc>
        <w:tc>
          <w:tcPr>
            <w:tcW w:w="10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14.2</w:t>
            </w:r>
          </w:p>
        </w:tc>
        <w:tc>
          <w:tcPr>
            <w:tcW w:w="5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98"/>
              <w:spacing w:after="0"/>
              <w:rPr>
                <w:sz w:val="20"/>
                <w:szCs w:val="20"/>
                <w:color w:val="auto"/>
              </w:rPr>
            </w:pPr>
            <w:r>
              <w:rPr>
                <w:rFonts w:ascii="Courier New" w:cs="Courier New" w:eastAsia="Courier New" w:hAnsi="Courier New"/>
                <w:sz w:val="16"/>
                <w:szCs w:val="16"/>
                <w:color w:val="auto"/>
              </w:rPr>
              <w:t>14.4</w:t>
            </w:r>
          </w:p>
        </w:tc>
        <w:tc>
          <w:tcPr>
            <w:tcW w:w="0" w:type="dxa"/>
            <w:vAlign w:val="bottom"/>
          </w:tcPr>
          <w:p>
            <w:pPr>
              <w:spacing w:after="0"/>
              <w:rPr>
                <w:sz w:val="1"/>
                <w:szCs w:val="1"/>
                <w:color w:val="auto"/>
              </w:rPr>
            </w:pPr>
          </w:p>
        </w:tc>
      </w:tr>
      <w:tr>
        <w:trPr>
          <w:trHeight w:val="190"/>
        </w:trPr>
        <w:tc>
          <w:tcPr>
            <w:tcW w:w="6660" w:type="dxa"/>
            <w:vAlign w:val="bottom"/>
          </w:tcPr>
          <w:p>
            <w:pPr>
              <w:ind w:left="100"/>
              <w:spacing w:after="0"/>
              <w:rPr>
                <w:sz w:val="20"/>
                <w:szCs w:val="20"/>
                <w:color w:val="auto"/>
              </w:rPr>
            </w:pPr>
            <w:r>
              <w:rPr>
                <w:rFonts w:ascii="Courier New" w:cs="Courier New" w:eastAsia="Courier New" w:hAnsi="Courier New"/>
                <w:sz w:val="16"/>
                <w:szCs w:val="16"/>
                <w:color w:val="auto"/>
              </w:rPr>
              <w:t>Interest paid</w:t>
            </w:r>
          </w:p>
        </w:tc>
        <w:tc>
          <w:tcPr>
            <w:tcW w:w="15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6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Income taxes paid</w:t>
            </w:r>
          </w:p>
        </w:tc>
        <w:tc>
          <w:tcPr>
            <w:tcW w:w="256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1520" w:type="dxa"/>
            <w:vAlign w:val="bottom"/>
          </w:tcPr>
          <w:p>
            <w:pPr>
              <w:ind w:left="11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35.5</w:t>
            </w:r>
          </w:p>
        </w:tc>
        <w:tc>
          <w:tcPr>
            <w:tcW w:w="5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46.7</w:t>
            </w:r>
          </w:p>
        </w:tc>
        <w:tc>
          <w:tcPr>
            <w:tcW w:w="0" w:type="dxa"/>
            <w:vAlign w:val="bottom"/>
          </w:tcPr>
          <w:p>
            <w:pPr>
              <w:spacing w:after="0"/>
              <w:rPr>
                <w:sz w:val="1"/>
                <w:szCs w:val="1"/>
                <w:color w:val="auto"/>
              </w:rPr>
            </w:pPr>
          </w:p>
        </w:tc>
      </w:tr>
      <w:tr>
        <w:trPr>
          <w:trHeight w:val="277"/>
        </w:trPr>
        <w:tc>
          <w:tcPr>
            <w:tcW w:w="6660" w:type="dxa"/>
            <w:vAlign w:val="bottom"/>
          </w:tcPr>
          <w:p>
            <w:pPr>
              <w:spacing w:after="0"/>
              <w:rPr>
                <w:sz w:val="24"/>
                <w:szCs w:val="24"/>
                <w:color w:val="auto"/>
              </w:rPr>
            </w:pPr>
          </w:p>
        </w:tc>
        <w:tc>
          <w:tcPr>
            <w:tcW w:w="256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38" w:lineRule="exact"/>
        <w:rPr>
          <w:sz w:val="20"/>
          <w:szCs w:val="20"/>
          <w:color w:val="auto"/>
        </w:rPr>
      </w:pPr>
    </w:p>
    <w:p>
      <w:pPr>
        <w:jc w:val="center"/>
        <w:ind w:right="2760"/>
        <w:spacing w:after="0"/>
        <w:rPr>
          <w:sz w:val="20"/>
          <w:szCs w:val="20"/>
          <w:color w:val="auto"/>
        </w:rPr>
      </w:pPr>
      <w:r>
        <w:rPr>
          <w:rFonts w:ascii="Courier New" w:cs="Courier New" w:eastAsia="Courier New" w:hAnsi="Courier New"/>
          <w:sz w:val="16"/>
          <w:szCs w:val="16"/>
          <w:color w:val="auto"/>
        </w:rPr>
        <w:t>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740"/>
          </w:cols>
          <w:pgMar w:left="240" w:top="1413" w:right="919" w:bottom="1440" w:gutter="0" w:footer="0" w:header="0"/>
        </w:sectPr>
      </w:pPr>
    </w:p>
    <w:bookmarkStart w:id="6" w:name="page7"/>
    <w:bookmarkEnd w:id="6"/>
    <w:p>
      <w:pPr>
        <w:jc w:val="center"/>
        <w:ind w:right="3460"/>
        <w:spacing w:after="0"/>
        <w:rPr>
          <w:sz w:val="20"/>
          <w:szCs w:val="20"/>
          <w:color w:val="auto"/>
        </w:rPr>
      </w:pPr>
      <w:r>
        <w:rPr>
          <w:rFonts w:ascii="Courier New" w:cs="Courier New" w:eastAsia="Courier New" w:hAnsi="Courier New"/>
          <w:sz w:val="16"/>
          <w:szCs w:val="16"/>
          <w:color w:val="auto"/>
        </w:rPr>
        <w:t>MANPOWER INC. AND SUBSIDIARIES</w:t>
      </w:r>
    </w:p>
    <w:p>
      <w:pPr>
        <w:spacing w:after="0" w:line="19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NOTES TO CONSOLIDATED FINANCIAL STATEMENTS (UNAUDITED)</w:t>
      </w:r>
    </w:p>
    <w:p>
      <w:pPr>
        <w:spacing w:after="0" w:line="38"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FOR THE SIX MONTHS ENDED JUNE 30, 2003 AND 2002</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358" w:lineRule="exact"/>
        <w:rPr>
          <w:sz w:val="20"/>
          <w:szCs w:val="20"/>
          <w:color w:val="auto"/>
        </w:rPr>
      </w:pPr>
    </w:p>
    <w:p>
      <w:pPr>
        <w:ind w:right="6500" w:firstLine="1"/>
        <w:spacing w:after="0" w:line="502" w:lineRule="auto"/>
        <w:tabs>
          <w:tab w:leader="none" w:pos="39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 and Accounting Policies Basis of Presentation</w:t>
      </w:r>
    </w:p>
    <w:p>
      <w:pPr>
        <w:ind w:right="3460"/>
        <w:spacing w:after="0" w:line="272"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2002 Annual Report to Shareholders.</w:t>
      </w:r>
    </w:p>
    <w:p>
      <w:pPr>
        <w:spacing w:after="0" w:line="79" w:lineRule="exact"/>
        <w:rPr>
          <w:sz w:val="20"/>
          <w:szCs w:val="20"/>
          <w:color w:val="auto"/>
        </w:rPr>
      </w:pPr>
    </w:p>
    <w:p>
      <w:pPr>
        <w:ind w:right="3560"/>
        <w:spacing w:after="0" w:line="314" w:lineRule="auto"/>
        <w:rPr>
          <w:sz w:val="20"/>
          <w:szCs w:val="20"/>
          <w:color w:val="auto"/>
        </w:rPr>
      </w:pPr>
      <w:r>
        <w:rPr>
          <w:rFonts w:ascii="Courier New" w:cs="Courier New" w:eastAsia="Courier New" w:hAnsi="Courier New"/>
          <w:sz w:val="16"/>
          <w:szCs w:val="16"/>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Compensation Plans</w:t>
      </w:r>
    </w:p>
    <w:p>
      <w:pPr>
        <w:spacing w:after="0" w:line="198" w:lineRule="exact"/>
        <w:rPr>
          <w:sz w:val="20"/>
          <w:szCs w:val="20"/>
          <w:color w:val="auto"/>
        </w:rPr>
      </w:pPr>
    </w:p>
    <w:p>
      <w:pPr>
        <w:ind w:right="3560"/>
        <w:spacing w:after="0" w:line="266" w:lineRule="auto"/>
        <w:rPr>
          <w:sz w:val="20"/>
          <w:szCs w:val="20"/>
          <w:color w:val="auto"/>
        </w:rPr>
      </w:pPr>
      <w:r>
        <w:rPr>
          <w:rFonts w:ascii="Courier New" w:cs="Courier New" w:eastAsia="Courier New" w:hAnsi="Courier New"/>
          <w:sz w:val="16"/>
          <w:szCs w:val="16"/>
          <w:color w:val="auto"/>
        </w:rPr>
        <w:t>We account for all of our fixed stock option plans and our 1990 Employee Stock Purchase Plan in accordance with APB Opinion No. 25, "Accounting for Stock Issued to Employees," and related Interpretations. No stock-based employee compensation expense related to stock options is reflected in Net earnings as all options granted under those plans had an exercise price equal to the market value of the underlying common stock on the date of grant. The following table illustrates the effect on Net earnings and Net earnings per share if we had applied the fair value recognition provisions of SFAS No. 123 and 148 to stock-based employee compensation.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2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3 MONTHS ENDED</w:t>
            </w:r>
          </w:p>
        </w:tc>
        <w:tc>
          <w:tcPr>
            <w:tcW w:w="540" w:type="dxa"/>
            <w:vAlign w:val="bottom"/>
          </w:tcPr>
          <w:p>
            <w:pPr>
              <w:spacing w:after="0"/>
              <w:rPr>
                <w:sz w:val="16"/>
                <w:szCs w:val="16"/>
                <w:color w:val="auto"/>
              </w:rPr>
            </w:pPr>
          </w:p>
        </w:tc>
        <w:tc>
          <w:tcPr>
            <w:tcW w:w="192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6 MONTHS ENDED</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JUNE 30,</w:t>
            </w: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JUNE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2720" w:type="dxa"/>
            <w:vAlign w:val="bottom"/>
            <w:gridSpan w:val="4"/>
          </w:tcPr>
          <w:p>
            <w:pPr>
              <w:ind w:left="240"/>
              <w:spacing w:after="0"/>
              <w:rPr>
                <w:sz w:val="20"/>
                <w:szCs w:val="20"/>
                <w:color w:val="auto"/>
              </w:rPr>
            </w:pPr>
            <w:r>
              <w:rPr>
                <w:rFonts w:ascii="Courier New" w:cs="Courier New" w:eastAsia="Courier New" w:hAnsi="Courier New"/>
                <w:sz w:val="16"/>
                <w:szCs w:val="16"/>
                <w:color w:val="auto"/>
              </w:rPr>
              <w:t>----------------------</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2003</w:t>
            </w:r>
          </w:p>
        </w:tc>
        <w:tc>
          <w:tcPr>
            <w:tcW w:w="400" w:type="dxa"/>
            <w:vAlign w:val="bottom"/>
          </w:tcPr>
          <w:p>
            <w:pPr>
              <w:spacing w:after="0"/>
              <w:rPr>
                <w:sz w:val="16"/>
                <w:szCs w:val="16"/>
                <w:color w:val="auto"/>
              </w:rPr>
            </w:pPr>
          </w:p>
        </w:tc>
        <w:tc>
          <w:tcPr>
            <w:tcW w:w="940" w:type="dxa"/>
            <w:vAlign w:val="bottom"/>
          </w:tcPr>
          <w:p>
            <w:pPr>
              <w:jc w:val="center"/>
              <w:ind w:right="378"/>
              <w:spacing w:after="0"/>
              <w:rPr>
                <w:sz w:val="20"/>
                <w:szCs w:val="20"/>
                <w:color w:val="auto"/>
              </w:rPr>
            </w:pPr>
            <w:r>
              <w:rPr>
                <w:rFonts w:ascii="Courier New" w:cs="Courier New" w:eastAsia="Courier New" w:hAnsi="Courier New"/>
                <w:sz w:val="16"/>
                <w:szCs w:val="16"/>
                <w:color w:val="auto"/>
              </w:rPr>
              <w:t>2002</w:t>
            </w:r>
          </w:p>
        </w:tc>
        <w:tc>
          <w:tcPr>
            <w:tcW w:w="540" w:type="dxa"/>
            <w:vAlign w:val="bottom"/>
          </w:tcPr>
          <w:p>
            <w:pPr>
              <w:spacing w:after="0"/>
              <w:rPr>
                <w:sz w:val="16"/>
                <w:szCs w:val="16"/>
                <w:color w:val="auto"/>
              </w:rPr>
            </w:pPr>
          </w:p>
        </w:tc>
        <w:tc>
          <w:tcPr>
            <w:tcW w:w="88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2003</w:t>
            </w:r>
          </w:p>
        </w:tc>
        <w:tc>
          <w:tcPr>
            <w:tcW w:w="400" w:type="dxa"/>
            <w:vAlign w:val="bottom"/>
          </w:tcPr>
          <w:p>
            <w:pPr>
              <w:spacing w:after="0"/>
              <w:rPr>
                <w:sz w:val="16"/>
                <w:szCs w:val="16"/>
                <w:color w:val="auto"/>
              </w:rPr>
            </w:pPr>
          </w:p>
        </w:tc>
        <w:tc>
          <w:tcPr>
            <w:tcW w:w="6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77"/>
        </w:trPr>
        <w:tc>
          <w:tcPr>
            <w:tcW w:w="586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center"/>
              <w:ind w:lef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earnings, as reported</w:t>
            </w:r>
          </w:p>
        </w:tc>
        <w:tc>
          <w:tcPr>
            <w:tcW w:w="5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29.1</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25.7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44.0</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32.6</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20"/>
                <w:szCs w:val="20"/>
                <w:color w:val="auto"/>
              </w:rPr>
            </w:pPr>
            <w:r>
              <w:rPr>
                <w:rFonts w:ascii="Courier New" w:cs="Courier New" w:eastAsia="Courier New" w:hAnsi="Courier New"/>
                <w:sz w:val="16"/>
                <w:szCs w:val="16"/>
                <w:color w:val="auto"/>
              </w:rPr>
              <w:t>Less:   Total stock-based employee compensation</w:t>
            </w:r>
          </w:p>
        </w:tc>
        <w:tc>
          <w:tcPr>
            <w:tcW w:w="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780"/>
              <w:spacing w:after="0"/>
              <w:rPr>
                <w:sz w:val="20"/>
                <w:szCs w:val="20"/>
                <w:color w:val="auto"/>
              </w:rPr>
            </w:pPr>
            <w:r>
              <w:rPr>
                <w:rFonts w:ascii="Courier New" w:cs="Courier New" w:eastAsia="Courier New" w:hAnsi="Courier New"/>
                <w:sz w:val="16"/>
                <w:szCs w:val="16"/>
                <w:color w:val="auto"/>
              </w:rPr>
              <w:t>expense determined under the fair value</w:t>
            </w:r>
          </w:p>
        </w:tc>
        <w:tc>
          <w:tcPr>
            <w:tcW w:w="500" w:type="dxa"/>
            <w:vAlign w:val="bottom"/>
          </w:tcPr>
          <w:p>
            <w:pPr>
              <w:spacing w:after="0"/>
              <w:rPr>
                <w:sz w:val="16"/>
                <w:szCs w:val="16"/>
                <w:color w:val="auto"/>
              </w:rPr>
            </w:pPr>
          </w:p>
        </w:tc>
        <w:tc>
          <w:tcPr>
            <w:tcW w:w="8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(1.5)</w:t>
            </w:r>
          </w:p>
        </w:tc>
        <w:tc>
          <w:tcPr>
            <w:tcW w:w="400" w:type="dxa"/>
            <w:vAlign w:val="bottom"/>
          </w:tcPr>
          <w:p>
            <w:pPr>
              <w:spacing w:after="0"/>
              <w:rPr>
                <w:sz w:val="16"/>
                <w:szCs w:val="16"/>
                <w:color w:val="auto"/>
              </w:rPr>
            </w:pPr>
          </w:p>
        </w:tc>
        <w:tc>
          <w:tcPr>
            <w:tcW w:w="94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(1.0)</w:t>
            </w:r>
          </w:p>
        </w:tc>
        <w:tc>
          <w:tcPr>
            <w:tcW w:w="540" w:type="dxa"/>
            <w:vAlign w:val="bottom"/>
          </w:tcPr>
          <w:p>
            <w:pPr>
              <w:spacing w:after="0"/>
              <w:rPr>
                <w:sz w:val="16"/>
                <w:szCs w:val="16"/>
                <w:color w:val="auto"/>
              </w:rPr>
            </w:pPr>
          </w:p>
        </w:tc>
        <w:tc>
          <w:tcPr>
            <w:tcW w:w="88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(3.3)</w:t>
            </w:r>
          </w:p>
        </w:tc>
        <w:tc>
          <w:tcPr>
            <w:tcW w:w="40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90"/>
        </w:trPr>
        <w:tc>
          <w:tcPr>
            <w:tcW w:w="5860" w:type="dxa"/>
            <w:vAlign w:val="bottom"/>
          </w:tcPr>
          <w:p>
            <w:pPr>
              <w:ind w:left="780"/>
              <w:spacing w:after="0"/>
              <w:rPr>
                <w:sz w:val="20"/>
                <w:szCs w:val="20"/>
                <w:color w:val="auto"/>
              </w:rPr>
            </w:pPr>
            <w:r>
              <w:rPr>
                <w:rFonts w:ascii="Courier New" w:cs="Courier New" w:eastAsia="Courier New" w:hAnsi="Courier New"/>
                <w:sz w:val="16"/>
                <w:szCs w:val="16"/>
                <w:color w:val="auto"/>
              </w:rPr>
              <w:t>method for all awards, net of related tax effects</w:t>
            </w:r>
          </w:p>
        </w:tc>
        <w:tc>
          <w:tcPr>
            <w:tcW w:w="5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860" w:type="dxa"/>
            <w:vAlign w:val="bottom"/>
            <w:vMerge w:val="restart"/>
          </w:tcPr>
          <w:p>
            <w:pPr>
              <w:spacing w:after="0"/>
              <w:rPr>
                <w:sz w:val="20"/>
                <w:szCs w:val="20"/>
                <w:color w:val="auto"/>
              </w:rPr>
            </w:pPr>
            <w:r>
              <w:rPr>
                <w:rFonts w:ascii="Courier New" w:cs="Courier New" w:eastAsia="Courier New" w:hAnsi="Courier New"/>
                <w:sz w:val="16"/>
                <w:szCs w:val="16"/>
                <w:color w:val="auto"/>
              </w:rPr>
              <w:t>Pro forma net earnings</w:t>
            </w:r>
          </w:p>
        </w:tc>
        <w:tc>
          <w:tcPr>
            <w:tcW w:w="1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center"/>
              <w:ind w:lef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5860" w:type="dxa"/>
            <w:vAlign w:val="bottom"/>
            <w:vMerge w:val="continue"/>
          </w:tcPr>
          <w:p>
            <w:pPr>
              <w:spacing w:after="0"/>
              <w:rPr>
                <w:sz w:val="16"/>
                <w:szCs w:val="16"/>
                <w:color w:val="auto"/>
              </w:rPr>
            </w:pPr>
          </w:p>
        </w:tc>
        <w:tc>
          <w:tcPr>
            <w:tcW w:w="5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27.6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24.7</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40.7</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30.9</w:t>
            </w:r>
          </w:p>
        </w:tc>
        <w:tc>
          <w:tcPr>
            <w:tcW w:w="0" w:type="dxa"/>
            <w:vAlign w:val="bottom"/>
          </w:tcPr>
          <w:p>
            <w:pPr>
              <w:spacing w:after="0"/>
              <w:rPr>
                <w:sz w:val="1"/>
                <w:szCs w:val="1"/>
                <w:color w:val="auto"/>
              </w:rPr>
            </w:pPr>
          </w:p>
        </w:tc>
      </w:tr>
      <w:tr>
        <w:trPr>
          <w:trHeight w:val="277"/>
        </w:trPr>
        <w:tc>
          <w:tcPr>
            <w:tcW w:w="586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center"/>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center"/>
              <w:ind w:left="58"/>
              <w:spacing w:after="0"/>
              <w:rPr>
                <w:sz w:val="20"/>
                <w:szCs w:val="20"/>
                <w:color w:val="auto"/>
              </w:rPr>
            </w:pPr>
            <w:r>
              <w:rPr>
                <w:rFonts w:ascii="Courier New" w:cs="Courier New" w:eastAsia="Courier New" w:hAnsi="Courier New"/>
                <w:sz w:val="16"/>
                <w:szCs w:val="16"/>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earnings per share -- basic:</w:t>
            </w:r>
          </w:p>
        </w:tc>
        <w:tc>
          <w:tcPr>
            <w:tcW w:w="50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.38</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.34</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.57</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.43</w:t>
            </w:r>
          </w:p>
        </w:tc>
        <w:tc>
          <w:tcPr>
            <w:tcW w:w="0" w:type="dxa"/>
            <w:vAlign w:val="bottom"/>
          </w:tcPr>
          <w:p>
            <w:pPr>
              <w:spacing w:after="0"/>
              <w:rPr>
                <w:sz w:val="1"/>
                <w:szCs w:val="1"/>
                <w:color w:val="auto"/>
              </w:rPr>
            </w:pPr>
          </w:p>
        </w:tc>
      </w:tr>
      <w:tr>
        <w:trPr>
          <w:trHeight w:val="190"/>
        </w:trPr>
        <w:tc>
          <w:tcPr>
            <w:tcW w:w="5860" w:type="dxa"/>
            <w:vAlign w:val="bottom"/>
          </w:tcPr>
          <w:p>
            <w:pPr>
              <w:ind w:left="300"/>
              <w:spacing w:after="0"/>
              <w:rPr>
                <w:sz w:val="20"/>
                <w:szCs w:val="20"/>
                <w:color w:val="auto"/>
              </w:rPr>
            </w:pPr>
            <w:r>
              <w:rPr>
                <w:rFonts w:ascii="Courier New" w:cs="Courier New" w:eastAsia="Courier New" w:hAnsi="Courier New"/>
                <w:sz w:val="16"/>
                <w:szCs w:val="16"/>
                <w:color w:val="auto"/>
              </w:rPr>
              <w:t>As reported</w:t>
            </w:r>
          </w:p>
        </w:tc>
        <w:tc>
          <w:tcPr>
            <w:tcW w:w="5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5860" w:type="dxa"/>
            <w:vAlign w:val="bottom"/>
          </w:tcPr>
          <w:p>
            <w:pPr>
              <w:ind w:left="300"/>
              <w:spacing w:after="0"/>
              <w:rPr>
                <w:sz w:val="20"/>
                <w:szCs w:val="20"/>
                <w:color w:val="auto"/>
              </w:rPr>
            </w:pPr>
            <w:r>
              <w:rPr>
                <w:rFonts w:ascii="Courier New" w:cs="Courier New" w:eastAsia="Courier New" w:hAnsi="Courier New"/>
                <w:sz w:val="16"/>
                <w:szCs w:val="16"/>
                <w:color w:val="auto"/>
              </w:rPr>
              <w:t>Pro forma</w:t>
            </w:r>
          </w:p>
        </w:tc>
        <w:tc>
          <w:tcPr>
            <w:tcW w:w="5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.33</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292"/>
        </w:trPr>
        <w:tc>
          <w:tcPr>
            <w:tcW w:w="5860" w:type="dxa"/>
            <w:vAlign w:val="bottom"/>
          </w:tcPr>
          <w:p>
            <w:pPr>
              <w:spacing w:after="0"/>
              <w:rPr>
                <w:sz w:val="20"/>
                <w:szCs w:val="20"/>
                <w:color w:val="auto"/>
              </w:rPr>
            </w:pPr>
            <w:r>
              <w:rPr>
                <w:rFonts w:ascii="Courier New" w:cs="Courier New" w:eastAsia="Courier New" w:hAnsi="Courier New"/>
                <w:sz w:val="16"/>
                <w:szCs w:val="16"/>
                <w:color w:val="auto"/>
              </w:rPr>
              <w:t>Net earnings per share -- diluted:</w:t>
            </w:r>
          </w:p>
        </w:tc>
        <w:tc>
          <w:tcPr>
            <w:tcW w:w="500" w:type="dxa"/>
            <w:vAlign w:val="bottom"/>
            <w:vMerge w:val="restart"/>
          </w:tcPr>
          <w:p>
            <w:pPr>
              <w:ind w:left="340"/>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.37</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.33</w:t>
            </w:r>
          </w:p>
        </w:tc>
        <w:tc>
          <w:tcPr>
            <w:tcW w:w="5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.56</w:t>
            </w:r>
          </w:p>
        </w:tc>
        <w:tc>
          <w:tcPr>
            <w:tcW w:w="4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190"/>
        </w:trPr>
        <w:tc>
          <w:tcPr>
            <w:tcW w:w="5860" w:type="dxa"/>
            <w:vAlign w:val="bottom"/>
          </w:tcPr>
          <w:p>
            <w:pPr>
              <w:ind w:left="400"/>
              <w:spacing w:after="0"/>
              <w:rPr>
                <w:sz w:val="20"/>
                <w:szCs w:val="20"/>
                <w:color w:val="auto"/>
              </w:rPr>
            </w:pPr>
            <w:r>
              <w:rPr>
                <w:rFonts w:ascii="Courier New" w:cs="Courier New" w:eastAsia="Courier New" w:hAnsi="Courier New"/>
                <w:sz w:val="16"/>
                <w:szCs w:val="16"/>
                <w:color w:val="auto"/>
              </w:rPr>
              <w:t>As reported</w:t>
            </w:r>
          </w:p>
        </w:tc>
        <w:tc>
          <w:tcPr>
            <w:tcW w:w="5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5860" w:type="dxa"/>
            <w:vAlign w:val="bottom"/>
          </w:tcPr>
          <w:p>
            <w:pPr>
              <w:ind w:left="400"/>
              <w:spacing w:after="0"/>
              <w:rPr>
                <w:sz w:val="20"/>
                <w:szCs w:val="20"/>
                <w:color w:val="auto"/>
              </w:rPr>
            </w:pPr>
            <w:r>
              <w:rPr>
                <w:rFonts w:ascii="Courier New" w:cs="Courier New" w:eastAsia="Courier New" w:hAnsi="Courier New"/>
                <w:sz w:val="16"/>
                <w:szCs w:val="16"/>
                <w:color w:val="auto"/>
              </w:rPr>
              <w:t>Pro forma</w:t>
            </w:r>
          </w:p>
        </w:tc>
        <w:tc>
          <w:tcPr>
            <w:tcW w:w="50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.36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.32</w:t>
            </w:r>
          </w:p>
        </w:tc>
        <w:tc>
          <w:tcPr>
            <w:tcW w:w="5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.53</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340"/>
          </w:cols>
          <w:pgMar w:left="240" w:top="1224" w:right="319" w:bottom="1440" w:gutter="0" w:footer="0" w:header="0"/>
        </w:sectPr>
      </w:pPr>
    </w:p>
    <w:bookmarkStart w:id="7" w:name="page8"/>
    <w:bookmarkEnd w:id="7"/>
    <w:p>
      <w:pPr>
        <w:ind w:right="2339"/>
        <w:spacing w:after="0" w:line="263" w:lineRule="auto"/>
        <w:rPr>
          <w:sz w:val="20"/>
          <w:szCs w:val="20"/>
          <w:color w:val="auto"/>
        </w:rPr>
      </w:pPr>
      <w:r>
        <w:rPr>
          <w:rFonts w:ascii="Courier New" w:cs="Courier New" w:eastAsia="Courier New" w:hAnsi="Courier New"/>
          <w:sz w:val="16"/>
          <w:szCs w:val="16"/>
          <w:color w:val="auto"/>
        </w:rPr>
        <w:t>On April 29, 2003, our shareholders approved the 2003 Equity Incentive Plan of Manpower Inc. Under this plan, all of our employees and directors are eligible to receive stock options, stock appreciation rights, restricted stock, and deferred stock grants. There are 4.5 million shares of common stock available for grant under this plan. Grants under this plan are determined on a basis consistent with that of previously existing plans. We anticipate that grants to directors will be modified to allow for deferred stock grants, rather than stock options, in lieu of certain cash compensation. Deferred stock grants may be settled in cash, shares of our common stock, or a combination thereof. We will no longer make any grants under our 1994 Executive Stock Option and Restricted Stock Plan.</w:t>
      </w:r>
    </w:p>
    <w:p>
      <w:pPr>
        <w:spacing w:after="0" w:line="289" w:lineRule="exact"/>
        <w:rPr>
          <w:sz w:val="20"/>
          <w:szCs w:val="20"/>
          <w:color w:val="auto"/>
        </w:rPr>
      </w:pPr>
    </w:p>
    <w:p>
      <w:pPr>
        <w:ind w:right="2719"/>
        <w:spacing w:after="0" w:line="376" w:lineRule="auto"/>
        <w:rPr>
          <w:sz w:val="20"/>
          <w:szCs w:val="20"/>
          <w:color w:val="auto"/>
        </w:rPr>
      </w:pPr>
      <w:r>
        <w:rPr>
          <w:rFonts w:ascii="Courier New" w:cs="Courier New" w:eastAsia="Courier New" w:hAnsi="Courier New"/>
          <w:sz w:val="16"/>
          <w:szCs w:val="16"/>
          <w:color w:val="auto"/>
        </w:rPr>
        <w:t>During the second quarter of 2003, we recognized $.2 of expense, net of tax, related to restricted stock grants.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98" w:lineRule="exact"/>
        <w:rPr>
          <w:sz w:val="20"/>
          <w:szCs w:val="20"/>
          <w:color w:val="auto"/>
        </w:rPr>
      </w:pPr>
    </w:p>
    <w:p>
      <w:pPr>
        <w:ind w:right="2339"/>
        <w:spacing w:after="0" w:line="272" w:lineRule="auto"/>
        <w:rPr>
          <w:sz w:val="20"/>
          <w:szCs w:val="20"/>
          <w:color w:val="auto"/>
        </w:rPr>
      </w:pPr>
      <w:r>
        <w:rPr>
          <w:rFonts w:ascii="Courier New" w:cs="Courier New" w:eastAsia="Courier New" w:hAnsi="Courier New"/>
          <w:sz w:val="16"/>
          <w:szCs w:val="16"/>
          <w:color w:val="auto"/>
        </w:rPr>
        <w:t>During April 2003, the Financial Accounting Standards Board ("FASB") issued Statement of Accounting Standards ("SFAS") No. 149, "Amendment of Statement 133 on Derivative Instruments and Hedging Activities," which amends and clarifies financial accounting and reporting for certain derivative instruments. We do not anticipate the adoption of this statement to have a material impact on our consolidated financial statements, as we are not currently a party to derivative financial instruments addressed by this standard.</w:t>
      </w:r>
    </w:p>
    <w:p>
      <w:pPr>
        <w:spacing w:after="0" w:line="79" w:lineRule="exact"/>
        <w:rPr>
          <w:sz w:val="20"/>
          <w:szCs w:val="20"/>
          <w:color w:val="auto"/>
        </w:rPr>
      </w:pPr>
    </w:p>
    <w:p>
      <w:pPr>
        <w:ind w:right="2339"/>
        <w:spacing w:after="0" w:line="272" w:lineRule="auto"/>
        <w:rPr>
          <w:sz w:val="20"/>
          <w:szCs w:val="20"/>
          <w:color w:val="auto"/>
        </w:rPr>
      </w:pPr>
      <w:r>
        <w:rPr>
          <w:rFonts w:ascii="Courier New" w:cs="Courier New" w:eastAsia="Courier New" w:hAnsi="Courier New"/>
          <w:sz w:val="16"/>
          <w:szCs w:val="16"/>
          <w:color w:val="auto"/>
        </w:rPr>
        <w:t>During May 2003, the FASB issued SFAS No. 150, "Accounting for Certain Financial Instruments with Characteristics of both Liabilities and Equity," which establishes standards for the classification and measurement of certain financial instruments with characteristics of both liabilities and equity. We do not anticipate the adoption of this statement to have a material impact on our consolidated financial statements, as we are not currently a party to such instruments addressed by this standard.</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Income Taxes</w:t>
      </w:r>
    </w:p>
    <w:p>
      <w:pPr>
        <w:spacing w:after="0" w:line="198" w:lineRule="exact"/>
        <w:rPr>
          <w:sz w:val="20"/>
          <w:szCs w:val="20"/>
          <w:color w:val="auto"/>
        </w:rPr>
      </w:pPr>
    </w:p>
    <w:p>
      <w:pPr>
        <w:ind w:right="2339"/>
        <w:spacing w:after="0" w:line="269" w:lineRule="auto"/>
        <w:rPr>
          <w:sz w:val="20"/>
          <w:szCs w:val="20"/>
          <w:color w:val="auto"/>
        </w:rPr>
      </w:pPr>
      <w:r>
        <w:rPr>
          <w:rFonts w:ascii="Courier New" w:cs="Courier New" w:eastAsia="Courier New" w:hAnsi="Courier New"/>
          <w:sz w:val="16"/>
          <w:szCs w:val="16"/>
          <w:color w:val="auto"/>
        </w:rPr>
        <w:t>We provided for income taxes during the first six months of 2003 at a rate of 39.0%, based on our current estimate of the annual effective tax rate. This rate is higher than the U.S. Federal statutory rate of 35% due primarily to the impact of higher foreign income tax rates, valuation reserves recorded against foreign net operating losses and U.S. taxes on foreign earnings. For the year ended December 31, 2002 we provided for income taxes at a rate of 39.8%. The estimated effective tax rate for 2003 is lower than the 2002 rate due to estimated changes in the mix of taxable income between countries.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1224"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rPr>
              <w:t>(3) Earnings Per Share</w:t>
            </w:r>
          </w:p>
        </w:tc>
        <w:tc>
          <w:tcPr>
            <w:tcW w:w="2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6800" w:type="dxa"/>
            <w:vAlign w:val="bottom"/>
            <w:gridSpan w:val="3"/>
          </w:tcPr>
          <w:p>
            <w:pPr>
              <w:spacing w:after="0"/>
              <w:rPr>
                <w:sz w:val="20"/>
                <w:szCs w:val="20"/>
                <w:color w:val="auto"/>
              </w:rPr>
            </w:pPr>
            <w:r>
              <w:rPr>
                <w:rFonts w:ascii="Courier New" w:cs="Courier New" w:eastAsia="Courier New" w:hAnsi="Courier New"/>
                <w:sz w:val="16"/>
                <w:szCs w:val="16"/>
                <w:color w:val="auto"/>
              </w:rPr>
              <w:t>The calculations of Net earnings per share and Net earnings per share</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diluted</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rPr>
              <w:t>are as follows:</w:t>
            </w:r>
          </w:p>
        </w:tc>
        <w:tc>
          <w:tcPr>
            <w:tcW w:w="2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1"/>
        </w:trPr>
        <w:tc>
          <w:tcPr>
            <w:tcW w:w="2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20" w:type="dxa"/>
            <w:vAlign w:val="bottom"/>
            <w:gridSpan w:val="3"/>
          </w:tcPr>
          <w:p>
            <w:pPr>
              <w:jc w:val="right"/>
              <w:ind w:right="458"/>
              <w:spacing w:after="0"/>
              <w:rPr>
                <w:sz w:val="20"/>
                <w:szCs w:val="20"/>
                <w:color w:val="auto"/>
              </w:rPr>
            </w:pPr>
            <w:r>
              <w:rPr>
                <w:rFonts w:ascii="Courier New" w:cs="Courier New" w:eastAsia="Courier New" w:hAnsi="Courier New"/>
                <w:sz w:val="16"/>
                <w:szCs w:val="16"/>
                <w:color w:val="auto"/>
              </w:rPr>
              <w:t>3 MONTHS ENDED</w:t>
            </w:r>
          </w:p>
        </w:tc>
        <w:tc>
          <w:tcPr>
            <w:tcW w:w="440" w:type="dxa"/>
            <w:vAlign w:val="bottom"/>
          </w:tcPr>
          <w:p>
            <w:pPr>
              <w:spacing w:after="0"/>
              <w:rPr>
                <w:sz w:val="24"/>
                <w:szCs w:val="24"/>
                <w:color w:val="auto"/>
              </w:rPr>
            </w:pPr>
          </w:p>
        </w:tc>
        <w:tc>
          <w:tcPr>
            <w:tcW w:w="2080" w:type="dxa"/>
            <w:vAlign w:val="bottom"/>
            <w:gridSpan w:val="3"/>
          </w:tcPr>
          <w:p>
            <w:pPr>
              <w:jc w:val="right"/>
              <w:ind w:right="318"/>
              <w:spacing w:after="0"/>
              <w:rPr>
                <w:sz w:val="20"/>
                <w:szCs w:val="20"/>
                <w:color w:val="auto"/>
              </w:rPr>
            </w:pPr>
            <w:r>
              <w:rPr>
                <w:rFonts w:ascii="Courier New" w:cs="Courier New" w:eastAsia="Courier New" w:hAnsi="Courier New"/>
                <w:sz w:val="16"/>
                <w:szCs w:val="16"/>
                <w:color w:val="auto"/>
              </w:rPr>
              <w:t>6 MONTHS ENDED</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8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80" w:type="dxa"/>
            <w:vAlign w:val="bottom"/>
            <w:gridSpan w:val="3"/>
          </w:tcPr>
          <w:p>
            <w:pPr>
              <w:jc w:val="right"/>
              <w:ind w:right="618"/>
              <w:spacing w:after="0"/>
              <w:rPr>
                <w:sz w:val="20"/>
                <w:szCs w:val="20"/>
                <w:color w:val="auto"/>
              </w:rPr>
            </w:pPr>
            <w:r>
              <w:rPr>
                <w:rFonts w:ascii="Courier New" w:cs="Courier New" w:eastAsia="Courier New" w:hAnsi="Courier New"/>
                <w:sz w:val="16"/>
                <w:szCs w:val="16"/>
                <w:color w:val="auto"/>
              </w:rPr>
              <w:t>JUNE 30,</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300" w:type="dxa"/>
            <w:vAlign w:val="bottom"/>
            <w:gridSpan w:val="3"/>
            <w:vMerge w:val="restart"/>
          </w:tcPr>
          <w:p>
            <w:pPr>
              <w:ind w:left="640"/>
              <w:spacing w:after="0"/>
              <w:rPr>
                <w:sz w:val="20"/>
                <w:szCs w:val="20"/>
                <w:color w:val="auto"/>
              </w:rPr>
            </w:pPr>
            <w:r>
              <w:rPr>
                <w:rFonts w:ascii="Courier New" w:cs="Courier New" w:eastAsia="Courier New" w:hAnsi="Courier New"/>
                <w:sz w:val="13"/>
                <w:szCs w:val="13"/>
                <w:color w:val="auto"/>
                <w:w w:val="73"/>
              </w:rPr>
              <w:t>------------------------</w:t>
            </w:r>
            <w:r>
              <w:rPr>
                <w:rFonts w:ascii="Courier New" w:cs="Courier New" w:eastAsia="Courier New" w:hAnsi="Courier New"/>
                <w:sz w:val="23"/>
                <w:szCs w:val="23"/>
                <w:color w:val="auto"/>
                <w:w w:val="73"/>
                <w:vertAlign w:val="subscript"/>
              </w:rPr>
              <w:t>2003</w:t>
            </w:r>
          </w:p>
        </w:tc>
        <w:tc>
          <w:tcPr>
            <w:tcW w:w="8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w w:val="98"/>
              </w:rPr>
              <w:t>2002</w:t>
            </w:r>
          </w:p>
        </w:tc>
        <w:tc>
          <w:tcPr>
            <w:tcW w:w="25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6"/>
                <w:szCs w:val="16"/>
                <w:color w:val="auto"/>
              </w:rPr>
            </w:pPr>
          </w:p>
        </w:tc>
        <w:tc>
          <w:tcPr>
            <w:tcW w:w="8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77"/>
        </w:trPr>
        <w:tc>
          <w:tcPr>
            <w:tcW w:w="2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2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2900" w:type="dxa"/>
            <w:vAlign w:val="bottom"/>
          </w:tcPr>
          <w:p>
            <w:pPr>
              <w:ind w:left="400"/>
              <w:spacing w:after="0"/>
              <w:rPr>
                <w:sz w:val="20"/>
                <w:szCs w:val="20"/>
                <w:color w:val="auto"/>
              </w:rPr>
            </w:pPr>
            <w:r>
              <w:rPr>
                <w:rFonts w:ascii="Courier New" w:cs="Courier New" w:eastAsia="Courier New" w:hAnsi="Courier New"/>
                <w:sz w:val="16"/>
                <w:szCs w:val="16"/>
                <w:color w:val="auto"/>
              </w:rPr>
              <w:t>Net earnings per share:</w:t>
            </w:r>
          </w:p>
        </w:tc>
        <w:tc>
          <w:tcPr>
            <w:tcW w:w="2680" w:type="dxa"/>
            <w:vAlign w:val="bottom"/>
          </w:tcPr>
          <w:p>
            <w:pPr>
              <w:spacing w:after="0"/>
              <w:rPr>
                <w:sz w:val="24"/>
                <w:szCs w:val="24"/>
                <w:color w:val="auto"/>
              </w:rPr>
            </w:pPr>
          </w:p>
        </w:tc>
        <w:tc>
          <w:tcPr>
            <w:tcW w:w="122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w:t>
            </w:r>
          </w:p>
        </w:tc>
        <w:tc>
          <w:tcPr>
            <w:tcW w:w="6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w w:val="98"/>
              </w:rPr>
              <w:t>29.1</w:t>
            </w:r>
          </w:p>
        </w:tc>
        <w:tc>
          <w:tcPr>
            <w:tcW w:w="480" w:type="dxa"/>
            <w:vAlign w:val="bottom"/>
            <w:vMerge w:val="restart"/>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25.7</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44.0</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32.6</w:t>
            </w:r>
          </w:p>
        </w:tc>
        <w:tc>
          <w:tcPr>
            <w:tcW w:w="0" w:type="dxa"/>
            <w:vAlign w:val="bottom"/>
          </w:tcPr>
          <w:p>
            <w:pPr>
              <w:spacing w:after="0"/>
              <w:rPr>
                <w:sz w:val="1"/>
                <w:szCs w:val="1"/>
                <w:color w:val="auto"/>
              </w:rPr>
            </w:pPr>
          </w:p>
        </w:tc>
      </w:tr>
      <w:tr>
        <w:trPr>
          <w:trHeight w:val="190"/>
        </w:trPr>
        <w:tc>
          <w:tcPr>
            <w:tcW w:w="55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Net earnings available to common shareholders</w:t>
            </w:r>
          </w:p>
        </w:tc>
        <w:tc>
          <w:tcPr>
            <w:tcW w:w="1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5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122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77.5</w:t>
            </w:r>
          </w:p>
        </w:tc>
        <w:tc>
          <w:tcPr>
            <w:tcW w:w="48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75.9</w:t>
            </w:r>
          </w:p>
        </w:tc>
        <w:tc>
          <w:tcPr>
            <w:tcW w:w="4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77.4</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76.0</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20" w:type="dxa"/>
            <w:vAlign w:val="bottom"/>
            <w:vMerge w:val="restart"/>
          </w:tcPr>
          <w:p>
            <w:pPr>
              <w:ind w:left="64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w:t>
            </w:r>
          </w:p>
        </w:tc>
        <w:tc>
          <w:tcPr>
            <w:tcW w:w="6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.38</w:t>
            </w:r>
          </w:p>
        </w:tc>
        <w:tc>
          <w:tcPr>
            <w:tcW w:w="13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.43</w:t>
            </w:r>
          </w:p>
        </w:tc>
        <w:tc>
          <w:tcPr>
            <w:tcW w:w="0" w:type="dxa"/>
            <w:vAlign w:val="bottom"/>
          </w:tcPr>
          <w:p>
            <w:pPr>
              <w:spacing w:after="0"/>
              <w:rPr>
                <w:sz w:val="1"/>
                <w:szCs w:val="1"/>
                <w:color w:val="auto"/>
              </w:rPr>
            </w:pPr>
          </w:p>
        </w:tc>
      </w:tr>
      <w:tr>
        <w:trPr>
          <w:trHeight w:val="277"/>
        </w:trPr>
        <w:tc>
          <w:tcPr>
            <w:tcW w:w="2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2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81"/>
        </w:trPr>
        <w:tc>
          <w:tcPr>
            <w:tcW w:w="2900" w:type="dxa"/>
            <w:vAlign w:val="bottom"/>
          </w:tcPr>
          <w:p>
            <w:pPr>
              <w:ind w:left="400"/>
              <w:spacing w:after="0"/>
              <w:rPr>
                <w:sz w:val="20"/>
                <w:szCs w:val="20"/>
                <w:color w:val="auto"/>
              </w:rPr>
            </w:pPr>
            <w:r>
              <w:rPr>
                <w:rFonts w:ascii="Courier New" w:cs="Courier New" w:eastAsia="Courier New" w:hAnsi="Courier New"/>
                <w:sz w:val="16"/>
                <w:szCs w:val="16"/>
                <w:color w:val="auto"/>
              </w:rPr>
              <w:t>Net earnings per share --</w:t>
            </w:r>
          </w:p>
        </w:tc>
        <w:tc>
          <w:tcPr>
            <w:tcW w:w="2680" w:type="dxa"/>
            <w:vAlign w:val="bottom"/>
          </w:tcPr>
          <w:p>
            <w:pPr>
              <w:ind w:left="60"/>
              <w:spacing w:after="0"/>
              <w:rPr>
                <w:sz w:val="20"/>
                <w:szCs w:val="20"/>
                <w:color w:val="auto"/>
              </w:rPr>
            </w:pPr>
            <w:r>
              <w:rPr>
                <w:rFonts w:ascii="Courier New" w:cs="Courier New" w:eastAsia="Courier New" w:hAnsi="Courier New"/>
                <w:sz w:val="16"/>
                <w:szCs w:val="16"/>
                <w:color w:val="auto"/>
              </w:rPr>
              <w:t>diluted:</w:t>
            </w:r>
          </w:p>
        </w:tc>
        <w:tc>
          <w:tcPr>
            <w:tcW w:w="1220" w:type="dxa"/>
            <w:vAlign w:val="bottom"/>
            <w:vMerge w:val="restart"/>
          </w:tcPr>
          <w:p>
            <w:pPr>
              <w:ind w:left="740"/>
              <w:spacing w:after="0"/>
              <w:rPr>
                <w:sz w:val="20"/>
                <w:szCs w:val="20"/>
                <w:color w:val="auto"/>
              </w:rPr>
            </w:pPr>
            <w:r>
              <w:rPr>
                <w:rFonts w:ascii="Courier New" w:cs="Courier New" w:eastAsia="Courier New" w:hAnsi="Courier New"/>
                <w:sz w:val="16"/>
                <w:szCs w:val="16"/>
                <w:color w:val="auto"/>
              </w:rPr>
              <w:t>$</w:t>
            </w:r>
          </w:p>
        </w:tc>
        <w:tc>
          <w:tcPr>
            <w:tcW w:w="6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w w:val="98"/>
              </w:rPr>
              <w:t>29.1</w:t>
            </w:r>
          </w:p>
        </w:tc>
        <w:tc>
          <w:tcPr>
            <w:tcW w:w="480" w:type="dxa"/>
            <w:vAlign w:val="bottom"/>
            <w:vMerge w:val="restart"/>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25.7</w:t>
            </w:r>
          </w:p>
        </w:tc>
        <w:tc>
          <w:tcPr>
            <w:tcW w:w="4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44.0</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32.6</w:t>
            </w:r>
          </w:p>
        </w:tc>
        <w:tc>
          <w:tcPr>
            <w:tcW w:w="0" w:type="dxa"/>
            <w:vAlign w:val="bottom"/>
          </w:tcPr>
          <w:p>
            <w:pPr>
              <w:spacing w:after="0"/>
              <w:rPr>
                <w:sz w:val="1"/>
                <w:szCs w:val="1"/>
                <w:color w:val="auto"/>
              </w:rPr>
            </w:pPr>
          </w:p>
        </w:tc>
      </w:tr>
      <w:tr>
        <w:trPr>
          <w:trHeight w:val="277"/>
        </w:trPr>
        <w:tc>
          <w:tcPr>
            <w:tcW w:w="55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Net earnings available to common shareholders</w:t>
            </w:r>
          </w:p>
        </w:tc>
        <w:tc>
          <w:tcPr>
            <w:tcW w:w="122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440" w:type="dxa"/>
            <w:vAlign w:val="bottom"/>
            <w:vMerge w:val="continue"/>
          </w:tcPr>
          <w:p>
            <w:pPr>
              <w:spacing w:after="0"/>
              <w:rPr>
                <w:sz w:val="24"/>
                <w:szCs w:val="24"/>
                <w:color w:val="auto"/>
              </w:rPr>
            </w:pPr>
          </w:p>
        </w:tc>
        <w:tc>
          <w:tcPr>
            <w:tcW w:w="900" w:type="dxa"/>
            <w:vAlign w:val="bottom"/>
            <w:vMerge w:val="continue"/>
          </w:tcPr>
          <w:p>
            <w:pPr>
              <w:spacing w:after="0"/>
              <w:rPr>
                <w:sz w:val="24"/>
                <w:szCs w:val="24"/>
                <w:color w:val="auto"/>
              </w:rPr>
            </w:pPr>
          </w:p>
        </w:tc>
        <w:tc>
          <w:tcPr>
            <w:tcW w:w="340" w:type="dxa"/>
            <w:vAlign w:val="bottom"/>
            <w:vMerge w:val="continue"/>
          </w:tcPr>
          <w:p>
            <w:pPr>
              <w:spacing w:after="0"/>
              <w:rPr>
                <w:sz w:val="24"/>
                <w:szCs w:val="24"/>
                <w:color w:val="auto"/>
              </w:rPr>
            </w:pPr>
          </w:p>
        </w:tc>
        <w:tc>
          <w:tcPr>
            <w:tcW w:w="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55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1220" w:type="dxa"/>
            <w:vAlign w:val="bottom"/>
          </w:tcPr>
          <w:p>
            <w:pPr>
              <w:spacing w:after="0"/>
              <w:rPr>
                <w:sz w:val="24"/>
                <w:szCs w:val="24"/>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77.5</w:t>
            </w:r>
          </w:p>
        </w:tc>
        <w:tc>
          <w:tcPr>
            <w:tcW w:w="480" w:type="dxa"/>
            <w:vAlign w:val="bottom"/>
          </w:tcPr>
          <w:p>
            <w:pPr>
              <w:spacing w:after="0"/>
              <w:rPr>
                <w:sz w:val="24"/>
                <w:szCs w:val="24"/>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75.9</w:t>
            </w:r>
          </w:p>
        </w:tc>
        <w:tc>
          <w:tcPr>
            <w:tcW w:w="440" w:type="dxa"/>
            <w:vAlign w:val="bottom"/>
          </w:tcPr>
          <w:p>
            <w:pPr>
              <w:spacing w:after="0"/>
              <w:rPr>
                <w:sz w:val="24"/>
                <w:szCs w:val="24"/>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77.4</w:t>
            </w:r>
          </w:p>
        </w:tc>
        <w:tc>
          <w:tcPr>
            <w:tcW w:w="340" w:type="dxa"/>
            <w:vAlign w:val="bottom"/>
          </w:tcPr>
          <w:p>
            <w:pPr>
              <w:spacing w:after="0"/>
              <w:rPr>
                <w:sz w:val="24"/>
                <w:szCs w:val="24"/>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76.0</w:t>
            </w:r>
          </w:p>
        </w:tc>
        <w:tc>
          <w:tcPr>
            <w:tcW w:w="0" w:type="dxa"/>
            <w:vAlign w:val="bottom"/>
          </w:tcPr>
          <w:p>
            <w:pPr>
              <w:spacing w:after="0"/>
              <w:rPr>
                <w:sz w:val="1"/>
                <w:szCs w:val="1"/>
                <w:color w:val="auto"/>
              </w:rPr>
            </w:pPr>
          </w:p>
        </w:tc>
      </w:tr>
      <w:tr>
        <w:trPr>
          <w:trHeight w:val="190"/>
        </w:trPr>
        <w:tc>
          <w:tcPr>
            <w:tcW w:w="55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Effect of dilutive stock options</w:t>
            </w:r>
          </w:p>
        </w:tc>
        <w:tc>
          <w:tcPr>
            <w:tcW w:w="122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w:t>
            </w:r>
          </w:p>
        </w:tc>
        <w:tc>
          <w:tcPr>
            <w:tcW w:w="48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1.6</w:t>
            </w:r>
          </w:p>
        </w:tc>
        <w:tc>
          <w:tcPr>
            <w:tcW w:w="4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20" w:type="dxa"/>
            <w:vAlign w:val="bottom"/>
          </w:tcPr>
          <w:p>
            <w:pPr>
              <w:ind w:left="640"/>
              <w:spacing w:after="0"/>
              <w:rPr>
                <w:sz w:val="20"/>
                <w:szCs w:val="20"/>
                <w:color w:val="auto"/>
              </w:rPr>
            </w:pPr>
            <w:r>
              <w:rPr>
                <w:rFonts w:ascii="Courier New" w:cs="Courier New" w:eastAsia="Courier New" w:hAnsi="Courier New"/>
                <w:sz w:val="12"/>
                <w:szCs w:val="12"/>
                <w:color w:val="auto"/>
                <w:w w:val="70"/>
              </w:rPr>
              <w:t>-----------</w:t>
            </w:r>
          </w:p>
        </w:tc>
        <w:tc>
          <w:tcPr>
            <w:tcW w:w="6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w w:val="98"/>
              </w:rPr>
              <w:t>78.3</w:t>
            </w:r>
          </w:p>
        </w:tc>
        <w:tc>
          <w:tcPr>
            <w:tcW w:w="13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77.5</w:t>
            </w:r>
          </w:p>
        </w:tc>
        <w:tc>
          <w:tcPr>
            <w:tcW w:w="44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78.2</w:t>
            </w:r>
          </w:p>
        </w:tc>
        <w:tc>
          <w:tcPr>
            <w:tcW w:w="340" w:type="dxa"/>
            <w:vAlign w:val="bottom"/>
          </w:tcPr>
          <w:p>
            <w:pPr>
              <w:spacing w:after="0"/>
              <w:rPr>
                <w:sz w:val="16"/>
                <w:szCs w:val="16"/>
                <w:color w:val="auto"/>
              </w:rPr>
            </w:pP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77.6</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20" w:type="dxa"/>
            <w:vAlign w:val="bottom"/>
            <w:vMerge w:val="restart"/>
          </w:tcPr>
          <w:p>
            <w:pPr>
              <w:ind w:left="64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7"/>
                <w:szCs w:val="17"/>
                <w:color w:val="auto"/>
                <w:w w:val="70"/>
                <w:vertAlign w:val="subscript"/>
              </w:rPr>
              <w:t>$</w:t>
            </w:r>
          </w:p>
        </w:tc>
        <w:tc>
          <w:tcPr>
            <w:tcW w:w="6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.37</w:t>
            </w:r>
          </w:p>
        </w:tc>
        <w:tc>
          <w:tcPr>
            <w:tcW w:w="13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.33</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277"/>
        </w:trPr>
        <w:tc>
          <w:tcPr>
            <w:tcW w:w="29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82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360"/>
        <w:spacing w:after="0" w:line="272" w:lineRule="auto"/>
        <w:rPr>
          <w:sz w:val="20"/>
          <w:szCs w:val="20"/>
          <w:color w:val="auto"/>
        </w:rPr>
      </w:pPr>
      <w:r>
        <w:rPr>
          <w:rFonts w:ascii="Courier New" w:cs="Courier New" w:eastAsia="Courier New" w:hAnsi="Courier New"/>
          <w:sz w:val="16"/>
          <w:szCs w:val="16"/>
          <w:color w:val="auto"/>
        </w:rPr>
        <w:t>The calculation of Net earnings per share -- diluted does not include certain stock option grants because the exercise price for these options is greater than the average market price of the common shares during the period. There were 683,000 and 12,000 of such shares excluded from the calculation for the three months ended June 30, 2003 and 2002, respectively, and 2,405,000 and 50,000 of such shares excluded from the calculation for the six months ended June 30, 2003 and 2002, respectively.</w:t>
      </w:r>
    </w:p>
    <w:p>
      <w:pPr>
        <w:spacing w:after="0" w:line="79" w:lineRule="exact"/>
        <w:rPr>
          <w:sz w:val="20"/>
          <w:szCs w:val="20"/>
          <w:color w:val="auto"/>
        </w:rPr>
      </w:pPr>
    </w:p>
    <w:p>
      <w:pPr>
        <w:ind w:right="3540"/>
        <w:spacing w:after="0" w:line="269" w:lineRule="auto"/>
        <w:rPr>
          <w:sz w:val="20"/>
          <w:szCs w:val="20"/>
          <w:color w:val="auto"/>
        </w:rPr>
      </w:pPr>
      <w:r>
        <w:rPr>
          <w:rFonts w:ascii="Courier New" w:cs="Courier New" w:eastAsia="Courier New" w:hAnsi="Courier New"/>
          <w:sz w:val="16"/>
          <w:szCs w:val="16"/>
          <w:color w:val="auto"/>
        </w:rPr>
        <w:t>In addition, there were 6.1 million shares of common stock that were contingently issuable under our Debentures for both the three and six month periods ended June 30, 2003 and 2002. Such shares are excluded from the calculation of Net earnings per share -- diluted based upon the terms of the Debentures and our intent to settle any potential "put" of the Debentures in cash. In the event of a significant change in the economic environment, we may choose to settle a future "put" with common stock, which would have a dilutive effect on existing shareholders.</w:t>
      </w:r>
    </w:p>
    <w:p>
      <w:pPr>
        <w:spacing w:after="0" w:line="81" w:lineRule="exact"/>
        <w:rPr>
          <w:sz w:val="20"/>
          <w:szCs w:val="20"/>
          <w:color w:val="auto"/>
        </w:rPr>
      </w:pPr>
    </w:p>
    <w:p>
      <w:pPr>
        <w:ind w:right="3360"/>
        <w:spacing w:after="0" w:line="269" w:lineRule="auto"/>
        <w:rPr>
          <w:sz w:val="20"/>
          <w:szCs w:val="20"/>
          <w:color w:val="auto"/>
        </w:rPr>
      </w:pPr>
      <w:r>
        <w:rPr>
          <w:rFonts w:ascii="Courier New" w:cs="Courier New" w:eastAsia="Courier New" w:hAnsi="Courier New"/>
          <w:sz w:val="16"/>
          <w:szCs w:val="16"/>
          <w:color w:val="auto"/>
        </w:rPr>
        <w:t>The contingently issuable shares under the Debentures will be included in the calculation of Net earnings per share -- diluted when the shares become issuable under the conversion feature of the Debentures. This will occur when the average share price is 110% of the accreted value of the Debentures at the beginning of the conversion period, as defined by the agreement or in certain other circumstances. Given the accreted value of the Debentures at the beginning of the current conversion period, the average share price, during the period, will have to be approximately $46 per share for the shares to be issuable.</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Accounts Receivable Securitization</w:t>
      </w:r>
    </w:p>
    <w:p>
      <w:pPr>
        <w:spacing w:after="0" w:line="198" w:lineRule="exact"/>
        <w:rPr>
          <w:sz w:val="20"/>
          <w:szCs w:val="20"/>
          <w:color w:val="auto"/>
        </w:rPr>
      </w:pPr>
    </w:p>
    <w:p>
      <w:pPr>
        <w:ind w:right="3360"/>
        <w:spacing w:after="0" w:line="276" w:lineRule="auto"/>
        <w:rPr>
          <w:sz w:val="20"/>
          <w:szCs w:val="20"/>
          <w:color w:val="auto"/>
        </w:rPr>
      </w:pPr>
      <w:r>
        <w:rPr>
          <w:rFonts w:ascii="Courier New" w:cs="Courier New" w:eastAsia="Courier New" w:hAnsi="Courier New"/>
          <w:sz w:val="16"/>
          <w:szCs w:val="16"/>
          <w:color w:val="auto"/>
        </w:rPr>
        <w:t>During March 2003, our Japanese subsidiary had transferred their interests in Yen3,006.0 ($25.5) of their accounts receivable under a securitization agreement and during June 2003, they terminated this agreement and replaced it with an overdraft facility. Upon termination, we were required to repay the entire amount initially transferred, which is included in repayments of long-term debt on our consolidated statements of cash flows for 2003.</w:t>
      </w:r>
    </w:p>
    <w:p>
      <w:pPr>
        <w:spacing w:after="0" w:line="76" w:lineRule="exact"/>
        <w:rPr>
          <w:sz w:val="20"/>
          <w:szCs w:val="20"/>
          <w:color w:val="auto"/>
        </w:rPr>
      </w:pPr>
    </w:p>
    <w:p>
      <w:pPr>
        <w:jc w:val="both"/>
        <w:ind w:right="3640"/>
        <w:spacing w:after="0" w:line="314" w:lineRule="auto"/>
        <w:rPr>
          <w:sz w:val="20"/>
          <w:szCs w:val="20"/>
          <w:color w:val="auto"/>
        </w:rPr>
      </w:pPr>
      <w:r>
        <w:rPr>
          <w:rFonts w:ascii="Courier New" w:cs="Courier New" w:eastAsia="Courier New" w:hAnsi="Courier New"/>
          <w:sz w:val="16"/>
          <w:szCs w:val="16"/>
          <w:color w:val="auto"/>
        </w:rPr>
        <w:t>During July 2003, we amended our Receivables Facility in the United States to expire in July 2004. All other terms remain unchanged and as of June 30, 2003 there were no amounts advanced under this agreement.</w:t>
      </w:r>
    </w:p>
    <w:p>
      <w:pPr>
        <w:spacing w:after="0" w:line="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240"/>
          </w:cols>
          <w:pgMar w:left="240" w:top="1224" w:right="419" w:bottom="0"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right="3360"/>
        <w:spacing w:after="0" w:line="282" w:lineRule="auto"/>
        <w:rPr>
          <w:sz w:val="20"/>
          <w:szCs w:val="20"/>
          <w:color w:val="auto"/>
        </w:rPr>
      </w:pPr>
      <w:r>
        <w:rPr>
          <w:rFonts w:ascii="Courier New" w:cs="Courier New" w:eastAsia="Courier New" w:hAnsi="Courier New"/>
          <w:sz w:val="16"/>
          <w:szCs w:val="16"/>
          <w:color w:val="auto"/>
        </w:rPr>
        <w:t>During March 2003, we repaid Yen4,000.0 (approximately $34.0) that was outstanding under our Five-year Facility as of December 31, 2002. In connection with this repayment, we also terminated our interest rate swap agreement with a notional value of Yen4,000.0, which was scheduled to expire in June 2003, for a nominal amount.</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Shareholders' Equity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 (loss)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80" w:type="dxa"/>
            <w:vAlign w:val="bottom"/>
            <w:gridSpan w:val="3"/>
          </w:tcPr>
          <w:p>
            <w:pPr>
              <w:jc w:val="right"/>
              <w:ind w:right="418"/>
              <w:spacing w:after="0"/>
              <w:rPr>
                <w:sz w:val="20"/>
                <w:szCs w:val="20"/>
                <w:color w:val="auto"/>
              </w:rPr>
            </w:pPr>
            <w:r>
              <w:rPr>
                <w:rFonts w:ascii="Courier New" w:cs="Courier New" w:eastAsia="Courier New" w:hAnsi="Courier New"/>
                <w:sz w:val="16"/>
                <w:szCs w:val="16"/>
                <w:color w:val="auto"/>
              </w:rPr>
              <w:t>3 MONTHS ENDED</w:t>
            </w:r>
          </w:p>
        </w:tc>
        <w:tc>
          <w:tcPr>
            <w:tcW w:w="480" w:type="dxa"/>
            <w:vAlign w:val="bottom"/>
          </w:tcPr>
          <w:p>
            <w:pPr>
              <w:spacing w:after="0"/>
              <w:rPr>
                <w:sz w:val="16"/>
                <w:szCs w:val="16"/>
                <w:color w:val="auto"/>
              </w:rPr>
            </w:pPr>
          </w:p>
        </w:tc>
        <w:tc>
          <w:tcPr>
            <w:tcW w:w="1980" w:type="dxa"/>
            <w:vAlign w:val="bottom"/>
            <w:gridSpan w:val="3"/>
          </w:tcPr>
          <w:p>
            <w:pPr>
              <w:jc w:val="right"/>
              <w:ind w:right="218"/>
              <w:spacing w:after="0"/>
              <w:rPr>
                <w:sz w:val="20"/>
                <w:szCs w:val="20"/>
                <w:color w:val="auto"/>
              </w:rPr>
            </w:pPr>
            <w:r>
              <w:rPr>
                <w:rFonts w:ascii="Courier New" w:cs="Courier New" w:eastAsia="Courier New" w:hAnsi="Courier New"/>
                <w:sz w:val="16"/>
                <w:szCs w:val="16"/>
                <w:color w:val="auto"/>
              </w:rPr>
              <w:t>6 MONTHS ENDED</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20" w:type="dxa"/>
            <w:vAlign w:val="bottom"/>
          </w:tcPr>
          <w:p>
            <w:pPr>
              <w:ind w:left="640"/>
              <w:spacing w:after="0"/>
              <w:rPr>
                <w:sz w:val="20"/>
                <w:szCs w:val="20"/>
                <w:color w:val="auto"/>
              </w:rPr>
            </w:pPr>
            <w:r>
              <w:rPr>
                <w:rFonts w:ascii="Courier New" w:cs="Courier New" w:eastAsia="Courier New" w:hAnsi="Courier New"/>
                <w:sz w:val="3"/>
                <w:szCs w:val="3"/>
                <w:color w:val="auto"/>
                <w:w w:val="86"/>
              </w:rPr>
              <w:t>-----------------------</w:t>
            </w:r>
          </w:p>
        </w:tc>
        <w:tc>
          <w:tcPr>
            <w:tcW w:w="80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w w:val="98"/>
              </w:rPr>
              <w:t>2003</w:t>
            </w:r>
          </w:p>
        </w:tc>
        <w:tc>
          <w:tcPr>
            <w:tcW w:w="480" w:type="dxa"/>
            <w:vAlign w:val="bottom"/>
          </w:tcPr>
          <w:p>
            <w:pPr>
              <w:spacing w:after="0"/>
              <w:rPr>
                <w:sz w:val="16"/>
                <w:szCs w:val="16"/>
                <w:color w:val="auto"/>
              </w:rPr>
            </w:pPr>
          </w:p>
        </w:tc>
        <w:tc>
          <w:tcPr>
            <w:tcW w:w="80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w w:val="98"/>
              </w:rPr>
              <w:t>2002</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2003</w:t>
            </w:r>
          </w:p>
        </w:tc>
        <w:tc>
          <w:tcPr>
            <w:tcW w:w="480" w:type="dxa"/>
            <w:vAlign w:val="bottom"/>
          </w:tcPr>
          <w:p>
            <w:pPr>
              <w:spacing w:after="0"/>
              <w:rPr>
                <w:sz w:val="16"/>
                <w:szCs w:val="16"/>
                <w:color w:val="auto"/>
              </w:rPr>
            </w:pPr>
          </w:p>
        </w:tc>
        <w:tc>
          <w:tcPr>
            <w:tcW w:w="600" w:type="dxa"/>
            <w:vAlign w:val="bottom"/>
          </w:tcPr>
          <w:p>
            <w:pPr>
              <w:jc w:val="right"/>
              <w:ind w:right="118"/>
              <w:spacing w:after="0"/>
              <w:rPr>
                <w:sz w:val="20"/>
                <w:szCs w:val="20"/>
                <w:color w:val="auto"/>
              </w:rPr>
            </w:pPr>
            <w:r>
              <w:rPr>
                <w:rFonts w:ascii="Courier New" w:cs="Courier New" w:eastAsia="Courier New" w:hAnsi="Courier New"/>
                <w:sz w:val="16"/>
                <w:szCs w:val="16"/>
                <w:color w:val="auto"/>
                <w:w w:val="98"/>
              </w:rPr>
              <w:t>2002</w:t>
            </w:r>
          </w:p>
        </w:tc>
        <w:tc>
          <w:tcPr>
            <w:tcW w:w="0" w:type="dxa"/>
            <w:vAlign w:val="bottom"/>
          </w:tcPr>
          <w:p>
            <w:pPr>
              <w:spacing w:after="0"/>
              <w:rPr>
                <w:sz w:val="1"/>
                <w:szCs w:val="1"/>
                <w:color w:val="auto"/>
              </w:rPr>
            </w:pPr>
          </w:p>
        </w:tc>
      </w:tr>
      <w:tr>
        <w:trPr>
          <w:trHeight w:val="277"/>
        </w:trPr>
        <w:tc>
          <w:tcPr>
            <w:tcW w:w="2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2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81"/>
        </w:trPr>
        <w:tc>
          <w:tcPr>
            <w:tcW w:w="2700" w:type="dxa"/>
            <w:vAlign w:val="bottom"/>
          </w:tcPr>
          <w:p>
            <w:pPr>
              <w:spacing w:after="0"/>
              <w:rPr>
                <w:sz w:val="20"/>
                <w:szCs w:val="20"/>
                <w:color w:val="auto"/>
              </w:rPr>
            </w:pPr>
            <w:r>
              <w:rPr>
                <w:rFonts w:ascii="Courier New" w:cs="Courier New" w:eastAsia="Courier New" w:hAnsi="Courier New"/>
                <w:sz w:val="16"/>
                <w:szCs w:val="16"/>
                <w:color w:val="auto"/>
              </w:rPr>
              <w:t>Net earnings</w:t>
            </w: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20" w:type="dxa"/>
            <w:vAlign w:val="bottom"/>
          </w:tcPr>
          <w:p>
            <w:pPr>
              <w:ind w:left="74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29.1</w:t>
            </w: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25.7</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44.0</w:t>
            </w: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32.6</w:t>
            </w:r>
          </w:p>
        </w:tc>
        <w:tc>
          <w:tcPr>
            <w:tcW w:w="0" w:type="dxa"/>
            <w:vAlign w:val="bottom"/>
          </w:tcPr>
          <w:p>
            <w:pPr>
              <w:spacing w:after="0"/>
              <w:rPr>
                <w:sz w:val="1"/>
                <w:szCs w:val="1"/>
                <w:color w:val="auto"/>
              </w:rPr>
            </w:pPr>
          </w:p>
        </w:tc>
      </w:tr>
      <w:tr>
        <w:trPr>
          <w:trHeight w:val="190"/>
        </w:trPr>
        <w:tc>
          <w:tcPr>
            <w:tcW w:w="3500" w:type="dxa"/>
            <w:vAlign w:val="bottom"/>
            <w:gridSpan w:val="2"/>
          </w:tcPr>
          <w:p>
            <w:pPr>
              <w:spacing w:after="0"/>
              <w:rPr>
                <w:sz w:val="20"/>
                <w:szCs w:val="20"/>
                <w:color w:val="auto"/>
              </w:rPr>
            </w:pPr>
            <w:r>
              <w:rPr>
                <w:rFonts w:ascii="Courier New" w:cs="Courier New" w:eastAsia="Courier New" w:hAnsi="Courier New"/>
                <w:sz w:val="16"/>
                <w:szCs w:val="16"/>
                <w:color w:val="auto"/>
              </w:rPr>
              <w:t>Other comprehensive income (loss):</w:t>
            </w:r>
          </w:p>
        </w:tc>
        <w:tc>
          <w:tcPr>
            <w:tcW w:w="16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44.9</w:t>
            </w:r>
          </w:p>
        </w:tc>
        <w:tc>
          <w:tcPr>
            <w:tcW w:w="480" w:type="dxa"/>
            <w:vAlign w:val="bottom"/>
          </w:tcPr>
          <w:p>
            <w:pPr>
              <w:spacing w:after="0"/>
              <w:rPr>
                <w:sz w:val="16"/>
                <w:szCs w:val="16"/>
                <w:color w:val="auto"/>
              </w:rPr>
            </w:pPr>
          </w:p>
        </w:tc>
        <w:tc>
          <w:tcPr>
            <w:tcW w:w="8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50.0</w:t>
            </w:r>
          </w:p>
        </w:tc>
        <w:tc>
          <w:tcPr>
            <w:tcW w:w="480" w:type="dxa"/>
            <w:vAlign w:val="bottom"/>
          </w:tcPr>
          <w:p>
            <w:pPr>
              <w:spacing w:after="0"/>
              <w:rPr>
                <w:sz w:val="16"/>
                <w:szCs w:val="16"/>
                <w:color w:val="auto"/>
              </w:rPr>
            </w:pP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55.2</w:t>
            </w:r>
          </w:p>
        </w:tc>
        <w:tc>
          <w:tcPr>
            <w:tcW w:w="480" w:type="dxa"/>
            <w:vAlign w:val="bottom"/>
          </w:tcPr>
          <w:p>
            <w:pPr>
              <w:spacing w:after="0"/>
              <w:rPr>
                <w:sz w:val="16"/>
                <w:szCs w:val="16"/>
                <w:color w:val="auto"/>
              </w:rPr>
            </w:pPr>
          </w:p>
        </w:tc>
        <w:tc>
          <w:tcPr>
            <w:tcW w:w="60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36.5</w:t>
            </w:r>
          </w:p>
        </w:tc>
        <w:tc>
          <w:tcPr>
            <w:tcW w:w="0" w:type="dxa"/>
            <w:vAlign w:val="bottom"/>
          </w:tcPr>
          <w:p>
            <w:pPr>
              <w:spacing w:after="0"/>
              <w:rPr>
                <w:sz w:val="1"/>
                <w:szCs w:val="1"/>
                <w:color w:val="auto"/>
              </w:rPr>
            </w:pPr>
          </w:p>
        </w:tc>
      </w:tr>
      <w:tr>
        <w:trPr>
          <w:trHeight w:val="190"/>
        </w:trPr>
        <w:tc>
          <w:tcPr>
            <w:tcW w:w="51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Foreign currency translation adjustments</w:t>
            </w:r>
          </w:p>
        </w:tc>
        <w:tc>
          <w:tcPr>
            <w:tcW w:w="10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200"/>
              <w:spacing w:after="0"/>
              <w:rPr>
                <w:sz w:val="20"/>
                <w:szCs w:val="20"/>
                <w:color w:val="auto"/>
              </w:rPr>
            </w:pPr>
            <w:r>
              <w:rPr>
                <w:rFonts w:ascii="Courier New" w:cs="Courier New" w:eastAsia="Courier New" w:hAnsi="Courier New"/>
                <w:sz w:val="16"/>
                <w:szCs w:val="16"/>
                <w:color w:val="auto"/>
              </w:rPr>
              <w:t>Unrealized gain (loss) on</w:t>
            </w:r>
          </w:p>
        </w:tc>
        <w:tc>
          <w:tcPr>
            <w:tcW w:w="800" w:type="dxa"/>
            <w:vAlign w:val="bottom"/>
          </w:tcPr>
          <w:p>
            <w:pPr>
              <w:spacing w:after="0"/>
              <w:rPr>
                <w:sz w:val="16"/>
                <w:szCs w:val="16"/>
                <w:color w:val="auto"/>
              </w:rPr>
            </w:pPr>
          </w:p>
        </w:tc>
        <w:tc>
          <w:tcPr>
            <w:tcW w:w="168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net of tax</w:t>
            </w:r>
          </w:p>
        </w:tc>
        <w:tc>
          <w:tcPr>
            <w:tcW w:w="1020" w:type="dxa"/>
            <w:vAlign w:val="bottom"/>
          </w:tcPr>
          <w:p>
            <w:pPr>
              <w:spacing w:after="0"/>
              <w:rPr>
                <w:sz w:val="16"/>
                <w:szCs w:val="16"/>
                <w:color w:val="auto"/>
              </w:rPr>
            </w:pPr>
          </w:p>
        </w:tc>
        <w:tc>
          <w:tcPr>
            <w:tcW w:w="8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2.0</w:t>
            </w:r>
          </w:p>
        </w:tc>
        <w:tc>
          <w:tcPr>
            <w:tcW w:w="480" w:type="dxa"/>
            <w:vAlign w:val="bottom"/>
          </w:tcPr>
          <w:p>
            <w:pPr>
              <w:spacing w:after="0"/>
              <w:rPr>
                <w:sz w:val="16"/>
                <w:szCs w:val="16"/>
                <w:color w:val="auto"/>
              </w:rPr>
            </w:pP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(.8)</w:t>
            </w:r>
          </w:p>
        </w:tc>
        <w:tc>
          <w:tcPr>
            <w:tcW w:w="480" w:type="dxa"/>
            <w:vAlign w:val="bottom"/>
          </w:tcPr>
          <w:p>
            <w:pPr>
              <w:spacing w:after="0"/>
              <w:rPr>
                <w:sz w:val="16"/>
                <w:szCs w:val="16"/>
                <w:color w:val="auto"/>
              </w:rPr>
            </w:pP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2.3</w:t>
            </w:r>
          </w:p>
        </w:tc>
        <w:tc>
          <w:tcPr>
            <w:tcW w:w="4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(2.8)</w:t>
            </w:r>
          </w:p>
        </w:tc>
        <w:tc>
          <w:tcPr>
            <w:tcW w:w="0" w:type="dxa"/>
            <w:vAlign w:val="bottom"/>
          </w:tcPr>
          <w:p>
            <w:pPr>
              <w:spacing w:after="0"/>
              <w:rPr>
                <w:sz w:val="1"/>
                <w:szCs w:val="1"/>
                <w:color w:val="auto"/>
              </w:rPr>
            </w:pPr>
          </w:p>
        </w:tc>
      </w:tr>
      <w:tr>
        <w:trPr>
          <w:trHeight w:val="190"/>
        </w:trPr>
        <w:tc>
          <w:tcPr>
            <w:tcW w:w="35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available for sale securities --</w:t>
            </w:r>
          </w:p>
        </w:tc>
        <w:tc>
          <w:tcPr>
            <w:tcW w:w="16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18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Unrealized gain (loss) on derivative</w:t>
            </w:r>
          </w:p>
        </w:tc>
        <w:tc>
          <w:tcPr>
            <w:tcW w:w="1020" w:type="dxa"/>
            <w:vAlign w:val="bottom"/>
          </w:tcPr>
          <w:p>
            <w:pPr>
              <w:spacing w:after="0"/>
              <w:rPr>
                <w:sz w:val="16"/>
                <w:szCs w:val="16"/>
                <w:color w:val="auto"/>
              </w:rPr>
            </w:pPr>
          </w:p>
        </w:tc>
        <w:tc>
          <w:tcPr>
            <w:tcW w:w="8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4.0</w:t>
            </w:r>
          </w:p>
        </w:tc>
        <w:tc>
          <w:tcPr>
            <w:tcW w:w="480" w:type="dxa"/>
            <w:vAlign w:val="bottom"/>
          </w:tcPr>
          <w:p>
            <w:pPr>
              <w:spacing w:after="0"/>
              <w:rPr>
                <w:sz w:val="16"/>
                <w:szCs w:val="16"/>
                <w:color w:val="auto"/>
              </w:rPr>
            </w:pPr>
          </w:p>
        </w:tc>
        <w:tc>
          <w:tcPr>
            <w:tcW w:w="8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(2.6)</w:t>
            </w:r>
          </w:p>
        </w:tc>
        <w:tc>
          <w:tcPr>
            <w:tcW w:w="480" w:type="dxa"/>
            <w:vAlign w:val="bottom"/>
          </w:tcPr>
          <w:p>
            <w:pPr>
              <w:spacing w:after="0"/>
              <w:rPr>
                <w:sz w:val="16"/>
                <w:szCs w:val="16"/>
                <w:color w:val="auto"/>
              </w:rPr>
            </w:pPr>
          </w:p>
        </w:tc>
        <w:tc>
          <w:tcPr>
            <w:tcW w:w="9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1.2</w:t>
            </w:r>
          </w:p>
        </w:tc>
        <w:tc>
          <w:tcPr>
            <w:tcW w:w="48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90"/>
        </w:trPr>
        <w:tc>
          <w:tcPr>
            <w:tcW w:w="2700" w:type="dxa"/>
            <w:vAlign w:val="bottom"/>
          </w:tcPr>
          <w:p>
            <w:pPr>
              <w:ind w:left="300"/>
              <w:spacing w:after="0"/>
              <w:rPr>
                <w:sz w:val="20"/>
                <w:szCs w:val="20"/>
                <w:color w:val="auto"/>
              </w:rPr>
            </w:pPr>
            <w:r>
              <w:rPr>
                <w:rFonts w:ascii="Courier New" w:cs="Courier New" w:eastAsia="Courier New" w:hAnsi="Courier New"/>
                <w:sz w:val="16"/>
                <w:szCs w:val="16"/>
                <w:color w:val="auto"/>
              </w:rPr>
              <w:t>financial instruments --</w:t>
            </w:r>
          </w:p>
        </w:tc>
        <w:tc>
          <w:tcPr>
            <w:tcW w:w="24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net of tax</w:t>
            </w:r>
          </w:p>
        </w:tc>
        <w:tc>
          <w:tcPr>
            <w:tcW w:w="10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500" w:type="dxa"/>
            <w:vAlign w:val="bottom"/>
            <w:gridSpan w:val="2"/>
            <w:vMerge w:val="restart"/>
          </w:tcPr>
          <w:p>
            <w:pPr>
              <w:ind w:left="300"/>
              <w:spacing w:after="0"/>
              <w:rPr>
                <w:sz w:val="20"/>
                <w:szCs w:val="20"/>
                <w:color w:val="auto"/>
              </w:rPr>
            </w:pPr>
            <w:r>
              <w:rPr>
                <w:rFonts w:ascii="Courier New" w:cs="Courier New" w:eastAsia="Courier New" w:hAnsi="Courier New"/>
                <w:sz w:val="16"/>
                <w:szCs w:val="16"/>
                <w:color w:val="auto"/>
              </w:rPr>
              <w:t>Comprehensive income (loss)</w:t>
            </w:r>
          </w:p>
        </w:tc>
        <w:tc>
          <w:tcPr>
            <w:tcW w:w="1680" w:type="dxa"/>
            <w:vAlign w:val="bottom"/>
          </w:tcPr>
          <w:p>
            <w:pPr>
              <w:spacing w:after="0"/>
              <w:rPr>
                <w:sz w:val="16"/>
                <w:szCs w:val="16"/>
                <w:color w:val="auto"/>
              </w:rPr>
            </w:pPr>
          </w:p>
        </w:tc>
        <w:tc>
          <w:tcPr>
            <w:tcW w:w="1020" w:type="dxa"/>
            <w:vAlign w:val="bottom"/>
            <w:vMerge w:val="restart"/>
          </w:tcPr>
          <w:p>
            <w:pPr>
              <w:ind w:left="640"/>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w:t>
            </w:r>
          </w:p>
        </w:tc>
        <w:tc>
          <w:tcPr>
            <w:tcW w:w="800" w:type="dxa"/>
            <w:vAlign w:val="bottom"/>
            <w:vMerge w:val="restart"/>
          </w:tcPr>
          <w:p>
            <w:pPr>
              <w:jc w:val="right"/>
              <w:ind w:right="218"/>
              <w:spacing w:after="0"/>
              <w:rPr>
                <w:sz w:val="20"/>
                <w:szCs w:val="20"/>
                <w:color w:val="auto"/>
              </w:rPr>
            </w:pPr>
            <w:r>
              <w:rPr>
                <w:rFonts w:ascii="Courier New" w:cs="Courier New" w:eastAsia="Courier New" w:hAnsi="Courier New"/>
                <w:sz w:val="16"/>
                <w:szCs w:val="16"/>
                <w:color w:val="auto"/>
              </w:rPr>
              <w:t>80.0</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72.3</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102.7</w:t>
            </w:r>
          </w:p>
        </w:tc>
        <w:tc>
          <w:tcPr>
            <w:tcW w:w="4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65.3</w:t>
            </w:r>
          </w:p>
        </w:tc>
        <w:tc>
          <w:tcPr>
            <w:tcW w:w="0" w:type="dxa"/>
            <w:vAlign w:val="bottom"/>
          </w:tcPr>
          <w:p>
            <w:pPr>
              <w:spacing w:after="0"/>
              <w:rPr>
                <w:sz w:val="1"/>
                <w:szCs w:val="1"/>
                <w:color w:val="auto"/>
              </w:rPr>
            </w:pPr>
          </w:p>
        </w:tc>
      </w:tr>
      <w:tr>
        <w:trPr>
          <w:trHeight w:val="277"/>
        </w:trPr>
        <w:tc>
          <w:tcPr>
            <w:tcW w:w="2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2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440"/>
        <w:spacing w:after="0" w:line="314" w:lineRule="auto"/>
        <w:rPr>
          <w:sz w:val="20"/>
          <w:szCs w:val="20"/>
          <w:color w:val="auto"/>
        </w:rPr>
      </w:pPr>
      <w:r>
        <w:rPr>
          <w:rFonts w:ascii="Courier New" w:cs="Courier New" w:eastAsia="Courier New" w:hAnsi="Courier New"/>
          <w:sz w:val="16"/>
          <w:szCs w:val="16"/>
          <w:color w:val="auto"/>
        </w:rPr>
        <w:t>On April 29, 2003, the Board of Directors declared a cash dividend of $.10 per share, which was paid on June 16, 2003 to shareholders of record on June 3, 2003.</w:t>
      </w:r>
    </w:p>
    <w:p>
      <w:pPr>
        <w:spacing w:after="0" w:line="47" w:lineRule="exact"/>
        <w:rPr>
          <w:sz w:val="20"/>
          <w:szCs w:val="20"/>
          <w:color w:val="auto"/>
        </w:rPr>
      </w:pPr>
    </w:p>
    <w:p>
      <w:pPr>
        <w:ind w:left="500" w:hanging="499"/>
        <w:spacing w:after="0"/>
        <w:tabs>
          <w:tab w:leader="none" w:pos="5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Interest and Other Expense (Income)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and other expense (income) consists of the following:</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180" w:type="dxa"/>
            <w:vAlign w:val="bottom"/>
            <w:gridSpan w:val="3"/>
          </w:tcPr>
          <w:p>
            <w:pPr>
              <w:jc w:val="center"/>
              <w:ind w:right="318"/>
              <w:spacing w:after="0"/>
              <w:rPr>
                <w:sz w:val="20"/>
                <w:szCs w:val="20"/>
                <w:color w:val="auto"/>
              </w:rPr>
            </w:pPr>
            <w:r>
              <w:rPr>
                <w:rFonts w:ascii="Courier New" w:cs="Courier New" w:eastAsia="Courier New" w:hAnsi="Courier New"/>
                <w:sz w:val="16"/>
                <w:szCs w:val="16"/>
                <w:color w:val="auto"/>
              </w:rPr>
              <w:t>3 MONTHS ENDED</w:t>
            </w:r>
          </w:p>
        </w:tc>
        <w:tc>
          <w:tcPr>
            <w:tcW w:w="400" w:type="dxa"/>
            <w:vAlign w:val="bottom"/>
          </w:tcPr>
          <w:p>
            <w:pPr>
              <w:spacing w:after="0"/>
              <w:rPr>
                <w:sz w:val="16"/>
                <w:szCs w:val="16"/>
                <w:color w:val="auto"/>
              </w:rPr>
            </w:pPr>
          </w:p>
        </w:tc>
        <w:tc>
          <w:tcPr>
            <w:tcW w:w="2060" w:type="dxa"/>
            <w:vAlign w:val="bottom"/>
            <w:gridSpan w:val="3"/>
          </w:tcPr>
          <w:p>
            <w:pPr>
              <w:jc w:val="right"/>
              <w:ind w:right="318"/>
              <w:spacing w:after="0"/>
              <w:rPr>
                <w:sz w:val="20"/>
                <w:szCs w:val="20"/>
                <w:color w:val="auto"/>
              </w:rPr>
            </w:pPr>
            <w:r>
              <w:rPr>
                <w:rFonts w:ascii="Courier New" w:cs="Courier New" w:eastAsia="Courier New" w:hAnsi="Courier New"/>
                <w:sz w:val="16"/>
                <w:szCs w:val="16"/>
                <w:color w:val="auto"/>
              </w:rPr>
              <w:t>6 MONTHS ENDED</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340" w:type="dxa"/>
            <w:vAlign w:val="bottom"/>
            <w:gridSpan w:val="2"/>
          </w:tcPr>
          <w:p>
            <w:pPr>
              <w:jc w:val="center"/>
              <w:ind w:left="358"/>
              <w:spacing w:after="0"/>
              <w:rPr>
                <w:sz w:val="20"/>
                <w:szCs w:val="20"/>
                <w:color w:val="auto"/>
              </w:rPr>
            </w:pPr>
            <w:r>
              <w:rPr>
                <w:rFonts w:ascii="Courier New" w:cs="Courier New" w:eastAsia="Courier New" w:hAnsi="Courier New"/>
                <w:sz w:val="16"/>
                <w:szCs w:val="16"/>
                <w:color w:val="auto"/>
              </w:rPr>
              <w:t>JUNE 30,</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2120" w:type="dxa"/>
            <w:vAlign w:val="bottom"/>
          </w:tcPr>
          <w:p>
            <w:pPr>
              <w:ind w:left="1840"/>
              <w:spacing w:after="0"/>
              <w:rPr>
                <w:sz w:val="20"/>
                <w:szCs w:val="20"/>
                <w:color w:val="auto"/>
              </w:rPr>
            </w:pPr>
            <w:r>
              <w:rPr>
                <w:rFonts w:ascii="Courier New" w:cs="Courier New" w:eastAsia="Courier New" w:hAnsi="Courier New"/>
                <w:sz w:val="2"/>
                <w:szCs w:val="2"/>
                <w:color w:val="auto"/>
                <w:w w:val="90"/>
              </w:rPr>
              <w:t>------------------------</w:t>
            </w:r>
          </w:p>
        </w:tc>
        <w:tc>
          <w:tcPr>
            <w:tcW w:w="84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w w:val="98"/>
              </w:rPr>
              <w:t>2003</w:t>
            </w:r>
          </w:p>
        </w:tc>
        <w:tc>
          <w:tcPr>
            <w:tcW w:w="500" w:type="dxa"/>
            <w:vAlign w:val="bottom"/>
          </w:tcPr>
          <w:p>
            <w:pPr>
              <w:spacing w:after="0"/>
              <w:rPr>
                <w:sz w:val="16"/>
                <w:szCs w:val="16"/>
                <w:color w:val="auto"/>
              </w:rPr>
            </w:pPr>
          </w:p>
        </w:tc>
        <w:tc>
          <w:tcPr>
            <w:tcW w:w="84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2002</w:t>
            </w:r>
          </w:p>
        </w:tc>
        <w:tc>
          <w:tcPr>
            <w:tcW w:w="24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2003</w:t>
            </w:r>
          </w:p>
        </w:tc>
        <w:tc>
          <w:tcPr>
            <w:tcW w:w="500" w:type="dxa"/>
            <w:vAlign w:val="bottom"/>
          </w:tcPr>
          <w:p>
            <w:pPr>
              <w:spacing w:after="0"/>
              <w:rPr>
                <w:sz w:val="16"/>
                <w:szCs w:val="16"/>
                <w:color w:val="auto"/>
              </w:rPr>
            </w:pPr>
          </w:p>
        </w:tc>
        <w:tc>
          <w:tcPr>
            <w:tcW w:w="680" w:type="dxa"/>
            <w:vAlign w:val="bottom"/>
          </w:tcPr>
          <w:p>
            <w:pPr>
              <w:jc w:val="right"/>
              <w:ind w:right="218"/>
              <w:spacing w:after="0"/>
              <w:rPr>
                <w:sz w:val="20"/>
                <w:szCs w:val="20"/>
                <w:color w:val="auto"/>
              </w:rPr>
            </w:pPr>
            <w:r>
              <w:rPr>
                <w:rFonts w:ascii="Courier New" w:cs="Courier New" w:eastAsia="Courier New" w:hAnsi="Courier New"/>
                <w:sz w:val="16"/>
                <w:szCs w:val="16"/>
                <w:color w:val="auto"/>
                <w:w w:val="93"/>
              </w:rPr>
              <w:t>2002</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4"/>
                <w:szCs w:val="24"/>
                <w:color w:val="auto"/>
              </w:rPr>
            </w:pPr>
          </w:p>
        </w:tc>
        <w:tc>
          <w:tcPr>
            <w:tcW w:w="2960" w:type="dxa"/>
            <w:vAlign w:val="bottom"/>
            <w:gridSpan w:val="2"/>
          </w:tcPr>
          <w:p>
            <w:pPr>
              <w:ind w:left="18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81"/>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2120" w:type="dxa"/>
            <w:vAlign w:val="bottom"/>
          </w:tcPr>
          <w:p>
            <w:pPr>
              <w:ind w:left="19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10.4</w:t>
            </w:r>
          </w:p>
        </w:tc>
        <w:tc>
          <w:tcPr>
            <w:tcW w:w="5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10.5</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20.4</w:t>
            </w:r>
          </w:p>
        </w:tc>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20.4</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212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(2.1)</w:t>
            </w:r>
          </w:p>
        </w:tc>
        <w:tc>
          <w:tcPr>
            <w:tcW w:w="500" w:type="dxa"/>
            <w:vAlign w:val="bottom"/>
          </w:tcPr>
          <w:p>
            <w:pPr>
              <w:spacing w:after="0"/>
              <w:rPr>
                <w:sz w:val="16"/>
                <w:szCs w:val="16"/>
                <w:color w:val="auto"/>
              </w:rPr>
            </w:pPr>
          </w:p>
        </w:tc>
        <w:tc>
          <w:tcPr>
            <w:tcW w:w="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w:t>
            </w:r>
          </w:p>
        </w:tc>
        <w:tc>
          <w:tcPr>
            <w:tcW w:w="4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(4.5)</w:t>
            </w:r>
          </w:p>
        </w:tc>
        <w:tc>
          <w:tcPr>
            <w:tcW w:w="5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20"/>
                <w:szCs w:val="20"/>
                <w:color w:val="auto"/>
              </w:rPr>
            </w:pPr>
            <w:r>
              <w:rPr>
                <w:rFonts w:ascii="Courier New" w:cs="Courier New" w:eastAsia="Courier New" w:hAnsi="Courier New"/>
                <w:sz w:val="16"/>
                <w:szCs w:val="16"/>
                <w:color w:val="auto"/>
              </w:rPr>
              <w:t>Foreign exchange gains</w:t>
            </w:r>
          </w:p>
        </w:tc>
        <w:tc>
          <w:tcPr>
            <w:tcW w:w="2120" w:type="dxa"/>
            <w:vAlign w:val="bottom"/>
          </w:tcPr>
          <w:p>
            <w:pPr>
              <w:spacing w:after="0"/>
              <w:rPr>
                <w:sz w:val="16"/>
                <w:szCs w:val="16"/>
                <w:color w:val="auto"/>
              </w:rPr>
            </w:pPr>
          </w:p>
        </w:tc>
        <w:tc>
          <w:tcPr>
            <w:tcW w:w="84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(.3)</w:t>
            </w:r>
          </w:p>
        </w:tc>
        <w:tc>
          <w:tcPr>
            <w:tcW w:w="500" w:type="dxa"/>
            <w:vAlign w:val="bottom"/>
          </w:tcPr>
          <w:p>
            <w:pPr>
              <w:spacing w:after="0"/>
              <w:rPr>
                <w:sz w:val="16"/>
                <w:szCs w:val="16"/>
                <w:color w:val="auto"/>
              </w:rPr>
            </w:pPr>
          </w:p>
        </w:tc>
        <w:tc>
          <w:tcPr>
            <w:tcW w:w="8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w:t>
            </w:r>
          </w:p>
        </w:tc>
        <w:tc>
          <w:tcPr>
            <w:tcW w:w="400" w:type="dxa"/>
            <w:vAlign w:val="bottom"/>
          </w:tcPr>
          <w:p>
            <w:pPr>
              <w:spacing w:after="0"/>
              <w:rPr>
                <w:sz w:val="16"/>
                <w:szCs w:val="16"/>
                <w:color w:val="auto"/>
              </w:rPr>
            </w:pPr>
          </w:p>
        </w:tc>
        <w:tc>
          <w:tcPr>
            <w:tcW w:w="8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(1.5)</w:t>
            </w:r>
          </w:p>
        </w:tc>
        <w:tc>
          <w:tcPr>
            <w:tcW w:w="5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20"/>
                <w:szCs w:val="20"/>
                <w:color w:val="auto"/>
              </w:rPr>
            </w:pPr>
            <w:r>
              <w:rPr>
                <w:rFonts w:ascii="Courier New" w:cs="Courier New" w:eastAsia="Courier New" w:hAnsi="Courier New"/>
                <w:sz w:val="16"/>
                <w:szCs w:val="16"/>
                <w:color w:val="auto"/>
              </w:rPr>
              <w:t>Miscellaneous, net</w:t>
            </w:r>
          </w:p>
        </w:tc>
        <w:tc>
          <w:tcPr>
            <w:tcW w:w="2120" w:type="dxa"/>
            <w:vAlign w:val="bottom"/>
          </w:tcPr>
          <w:p>
            <w:pPr>
              <w:spacing w:after="0"/>
              <w:rPr>
                <w:sz w:val="16"/>
                <w:szCs w:val="16"/>
                <w:color w:val="auto"/>
              </w:rPr>
            </w:pP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1.2</w:t>
            </w:r>
          </w:p>
        </w:tc>
        <w:tc>
          <w:tcPr>
            <w:tcW w:w="500" w:type="dxa"/>
            <w:vAlign w:val="bottom"/>
          </w:tcPr>
          <w:p>
            <w:pPr>
              <w:spacing w:after="0"/>
              <w:rPr>
                <w:sz w:val="16"/>
                <w:szCs w:val="16"/>
                <w:color w:val="auto"/>
              </w:rPr>
            </w:pP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2.1</w:t>
            </w:r>
          </w:p>
        </w:tc>
        <w:tc>
          <w:tcPr>
            <w:tcW w:w="400" w:type="dxa"/>
            <w:vAlign w:val="bottom"/>
          </w:tcPr>
          <w:p>
            <w:pPr>
              <w:spacing w:after="0"/>
              <w:rPr>
                <w:sz w:val="16"/>
                <w:szCs w:val="16"/>
                <w:color w:val="auto"/>
              </w:rPr>
            </w:pP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3.4</w:t>
            </w:r>
          </w:p>
        </w:tc>
        <w:tc>
          <w:tcPr>
            <w:tcW w:w="500" w:type="dxa"/>
            <w:vAlign w:val="bottom"/>
          </w:tcPr>
          <w:p>
            <w:pPr>
              <w:spacing w:after="0"/>
              <w:rPr>
                <w:sz w:val="16"/>
                <w:szCs w:val="16"/>
                <w:color w:val="auto"/>
              </w:rPr>
            </w:pP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2.6</w:t>
            </w:r>
          </w:p>
        </w:tc>
        <w:tc>
          <w:tcPr>
            <w:tcW w:w="0" w:type="dxa"/>
            <w:vAlign w:val="bottom"/>
          </w:tcPr>
          <w:p>
            <w:pPr>
              <w:spacing w:after="0"/>
              <w:rPr>
                <w:sz w:val="1"/>
                <w:szCs w:val="1"/>
                <w:color w:val="auto"/>
              </w:rPr>
            </w:pPr>
          </w:p>
        </w:tc>
      </w:tr>
      <w:tr>
        <w:trPr>
          <w:trHeight w:val="190"/>
        </w:trPr>
        <w:tc>
          <w:tcPr>
            <w:tcW w:w="3980" w:type="dxa"/>
            <w:vAlign w:val="bottom"/>
            <w:vMerge w:val="restart"/>
          </w:tcPr>
          <w:p>
            <w:pPr>
              <w:spacing w:after="0"/>
              <w:rPr>
                <w:sz w:val="20"/>
                <w:szCs w:val="20"/>
                <w:color w:val="auto"/>
              </w:rPr>
            </w:pPr>
            <w:r>
              <w:rPr>
                <w:rFonts w:ascii="Courier New" w:cs="Courier New" w:eastAsia="Courier New" w:hAnsi="Courier New"/>
                <w:sz w:val="16"/>
                <w:szCs w:val="16"/>
                <w:color w:val="auto"/>
              </w:rPr>
              <w:t>Total</w:t>
            </w:r>
          </w:p>
        </w:tc>
        <w:tc>
          <w:tcPr>
            <w:tcW w:w="2120" w:type="dxa"/>
            <w:vAlign w:val="bottom"/>
            <w:vMerge w:val="restart"/>
          </w:tcPr>
          <w:p>
            <w:pPr>
              <w:ind w:left="1840"/>
              <w:spacing w:after="0"/>
              <w:rPr>
                <w:sz w:val="20"/>
                <w:szCs w:val="20"/>
                <w:color w:val="auto"/>
              </w:rPr>
            </w:pPr>
            <w:r>
              <w:rPr>
                <w:rFonts w:ascii="Courier New" w:cs="Courier New" w:eastAsia="Courier New" w:hAnsi="Courier New"/>
                <w:sz w:val="4"/>
                <w:szCs w:val="4"/>
                <w:color w:val="auto"/>
                <w:w w:val="95"/>
              </w:rPr>
              <w:t>----------</w:t>
            </w:r>
            <w:r>
              <w:rPr>
                <w:rFonts w:ascii="Courier New" w:cs="Courier New" w:eastAsia="Courier New" w:hAnsi="Courier New"/>
                <w:sz w:val="8"/>
                <w:szCs w:val="8"/>
                <w:color w:val="auto"/>
                <w:w w:val="95"/>
                <w:vertAlign w:val="subscript"/>
              </w:rPr>
              <w:t>$</w:t>
            </w:r>
          </w:p>
        </w:tc>
        <w:tc>
          <w:tcPr>
            <w:tcW w:w="8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9.2</w:t>
            </w:r>
          </w:p>
        </w:tc>
        <w:tc>
          <w:tcPr>
            <w:tcW w:w="13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3980" w:type="dxa"/>
            <w:vAlign w:val="bottom"/>
            <w:vMerge w:val="continue"/>
          </w:tcPr>
          <w:p>
            <w:pPr>
              <w:spacing w:after="0"/>
              <w:rPr>
                <w:sz w:val="16"/>
                <w:szCs w:val="16"/>
                <w:color w:val="auto"/>
              </w:rPr>
            </w:pPr>
          </w:p>
        </w:tc>
        <w:tc>
          <w:tcPr>
            <w:tcW w:w="21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5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9.6</w:t>
            </w:r>
          </w:p>
        </w:tc>
        <w:tc>
          <w:tcPr>
            <w:tcW w:w="4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17.8</w:t>
            </w:r>
          </w:p>
        </w:tc>
        <w:tc>
          <w:tcPr>
            <w:tcW w:w="5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17.6</w:t>
            </w:r>
          </w:p>
        </w:tc>
        <w:tc>
          <w:tcPr>
            <w:tcW w:w="0" w:type="dxa"/>
            <w:vAlign w:val="bottom"/>
          </w:tcPr>
          <w:p>
            <w:pPr>
              <w:spacing w:after="0"/>
              <w:rPr>
                <w:sz w:val="1"/>
                <w:szCs w:val="1"/>
                <w:color w:val="auto"/>
              </w:rPr>
            </w:pPr>
          </w:p>
        </w:tc>
      </w:tr>
      <w:tr>
        <w:trPr>
          <w:trHeight w:val="277"/>
        </w:trPr>
        <w:tc>
          <w:tcPr>
            <w:tcW w:w="3980" w:type="dxa"/>
            <w:vAlign w:val="bottom"/>
          </w:tcPr>
          <w:p>
            <w:pPr>
              <w:spacing w:after="0"/>
              <w:rPr>
                <w:sz w:val="24"/>
                <w:szCs w:val="24"/>
                <w:color w:val="auto"/>
              </w:rPr>
            </w:pPr>
          </w:p>
        </w:tc>
        <w:tc>
          <w:tcPr>
            <w:tcW w:w="2960" w:type="dxa"/>
            <w:vAlign w:val="bottom"/>
            <w:gridSpan w:val="2"/>
          </w:tcPr>
          <w:p>
            <w:pPr>
              <w:ind w:left="1840"/>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w:t>
            </w:r>
          </w:p>
        </w:tc>
        <w:tc>
          <w:tcPr>
            <w:tcW w:w="12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140"/>
          </w:cols>
          <w:pgMar w:left="240" w:top="845" w:right="51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(8) Segment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80" w:type="dxa"/>
            <w:vAlign w:val="bottom"/>
            <w:gridSpan w:val="3"/>
          </w:tcPr>
          <w:p>
            <w:pPr>
              <w:jc w:val="right"/>
              <w:ind w:right="718"/>
              <w:spacing w:after="0"/>
              <w:rPr>
                <w:sz w:val="20"/>
                <w:szCs w:val="20"/>
                <w:color w:val="auto"/>
              </w:rPr>
            </w:pPr>
            <w:r>
              <w:rPr>
                <w:rFonts w:ascii="Courier New" w:cs="Courier New" w:eastAsia="Courier New" w:hAnsi="Courier New"/>
                <w:sz w:val="16"/>
                <w:szCs w:val="16"/>
                <w:color w:val="auto"/>
              </w:rPr>
              <w:t>3 MONTHS ENDED</w:t>
            </w:r>
          </w:p>
        </w:tc>
        <w:tc>
          <w:tcPr>
            <w:tcW w:w="3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 MONTHS</w:t>
            </w:r>
          </w:p>
        </w:tc>
        <w:tc>
          <w:tcPr>
            <w:tcW w:w="1140" w:type="dxa"/>
            <w:vAlign w:val="bottom"/>
            <w:gridSpan w:val="2"/>
          </w:tcPr>
          <w:p>
            <w:pPr>
              <w:jc w:val="right"/>
              <w:ind w:right="518"/>
              <w:spacing w:after="0"/>
              <w:rPr>
                <w:sz w:val="20"/>
                <w:szCs w:val="20"/>
                <w:color w:val="auto"/>
              </w:rPr>
            </w:pPr>
            <w:r>
              <w:rPr>
                <w:rFonts w:ascii="Courier New" w:cs="Courier New" w:eastAsia="Courier New" w:hAnsi="Courier New"/>
                <w:sz w:val="16"/>
                <w:szCs w:val="16"/>
                <w:color w:val="auto"/>
              </w:rPr>
              <w:t>ENDED</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80" w:type="dxa"/>
            <w:vAlign w:val="bottom"/>
            <w:gridSpan w:val="2"/>
          </w:tcPr>
          <w:p>
            <w:pPr>
              <w:ind w:left="700"/>
              <w:spacing w:after="0"/>
              <w:rPr>
                <w:sz w:val="20"/>
                <w:szCs w:val="20"/>
                <w:color w:val="auto"/>
              </w:rPr>
            </w:pPr>
            <w:r>
              <w:rPr>
                <w:rFonts w:ascii="Courier New" w:cs="Courier New" w:eastAsia="Courier New" w:hAnsi="Courier New"/>
                <w:sz w:val="16"/>
                <w:szCs w:val="16"/>
                <w:color w:val="auto"/>
                <w:w w:val="98"/>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3560" w:type="dxa"/>
            <w:vAlign w:val="bottom"/>
            <w:gridSpan w:val="4"/>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266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center"/>
              <w:ind w:right="318"/>
              <w:spacing w:after="0"/>
              <w:rPr>
                <w:sz w:val="20"/>
                <w:szCs w:val="20"/>
                <w:color w:val="auto"/>
              </w:rPr>
            </w:pPr>
            <w:r>
              <w:rPr>
                <w:rFonts w:ascii="Courier New" w:cs="Courier New" w:eastAsia="Courier New" w:hAnsi="Courier New"/>
                <w:sz w:val="16"/>
                <w:szCs w:val="16"/>
                <w:color w:val="auto"/>
              </w:rPr>
              <w:t>2003</w:t>
            </w:r>
          </w:p>
        </w:tc>
        <w:tc>
          <w:tcPr>
            <w:tcW w:w="440" w:type="dxa"/>
            <w:vAlign w:val="bottom"/>
          </w:tcPr>
          <w:p>
            <w:pPr>
              <w:spacing w:after="0"/>
              <w:rPr>
                <w:sz w:val="16"/>
                <w:szCs w:val="16"/>
                <w:color w:val="auto"/>
              </w:rPr>
            </w:pPr>
          </w:p>
        </w:tc>
        <w:tc>
          <w:tcPr>
            <w:tcW w:w="94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2002</w:t>
            </w:r>
          </w:p>
        </w:tc>
        <w:tc>
          <w:tcPr>
            <w:tcW w:w="380" w:type="dxa"/>
            <w:vAlign w:val="bottom"/>
          </w:tcPr>
          <w:p>
            <w:pPr>
              <w:spacing w:after="0"/>
              <w:rPr>
                <w:sz w:val="16"/>
                <w:szCs w:val="16"/>
                <w:color w:val="auto"/>
              </w:rPr>
            </w:pP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6"/>
                <w:szCs w:val="16"/>
                <w:color w:val="auto"/>
              </w:rPr>
            </w:pPr>
          </w:p>
        </w:tc>
        <w:tc>
          <w:tcPr>
            <w:tcW w:w="800" w:type="dxa"/>
            <w:vAlign w:val="bottom"/>
          </w:tcPr>
          <w:p>
            <w:pPr>
              <w:jc w:val="right"/>
              <w:ind w:right="318"/>
              <w:spacing w:after="0"/>
              <w:rPr>
                <w:sz w:val="20"/>
                <w:szCs w:val="20"/>
                <w:color w:val="auto"/>
              </w:rPr>
            </w:pPr>
            <w:r>
              <w:rPr>
                <w:rFonts w:ascii="Courier New" w:cs="Courier New" w:eastAsia="Courier New" w:hAnsi="Courier New"/>
                <w:sz w:val="16"/>
                <w:szCs w:val="16"/>
                <w:color w:val="auto"/>
                <w:w w:val="98"/>
              </w:rPr>
              <w:t>2002</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4"/>
                <w:szCs w:val="24"/>
                <w:color w:val="auto"/>
              </w:rPr>
            </w:pPr>
          </w:p>
        </w:tc>
        <w:tc>
          <w:tcPr>
            <w:tcW w:w="2180" w:type="dxa"/>
            <w:vAlign w:val="bottom"/>
            <w:gridSpan w:val="2"/>
          </w:tcPr>
          <w:p>
            <w:pPr>
              <w:jc w:val="center"/>
              <w:ind w:left="7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482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483.9</w:t>
            </w:r>
          </w:p>
        </w:tc>
        <w:tc>
          <w:tcPr>
            <w:tcW w:w="4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474.9</w:t>
            </w:r>
          </w:p>
        </w:tc>
        <w:tc>
          <w:tcPr>
            <w:tcW w:w="38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947.4</w:t>
            </w:r>
          </w:p>
        </w:tc>
        <w:tc>
          <w:tcPr>
            <w:tcW w:w="34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903.6</w:t>
            </w: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United States (a)</w:t>
            </w:r>
          </w:p>
        </w:tc>
        <w:tc>
          <w:tcPr>
            <w:tcW w:w="11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France</w:t>
            </w:r>
          </w:p>
        </w:tc>
        <w:tc>
          <w:tcPr>
            <w:tcW w:w="118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1,172.0</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943.3</w:t>
            </w:r>
          </w:p>
        </w:tc>
        <w:tc>
          <w:tcPr>
            <w:tcW w:w="38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2,126.6</w:t>
            </w:r>
          </w:p>
        </w:tc>
        <w:tc>
          <w:tcPr>
            <w:tcW w:w="3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1,710.4</w:t>
            </w: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EMEA</w:t>
            </w:r>
          </w:p>
        </w:tc>
        <w:tc>
          <w:tcPr>
            <w:tcW w:w="118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951.2</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830.1</w:t>
            </w:r>
          </w:p>
        </w:tc>
        <w:tc>
          <w:tcPr>
            <w:tcW w:w="38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1,837.6</w:t>
            </w:r>
          </w:p>
        </w:tc>
        <w:tc>
          <w:tcPr>
            <w:tcW w:w="3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1,594.3</w:t>
            </w: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Other Operations</w:t>
            </w:r>
          </w:p>
        </w:tc>
        <w:tc>
          <w:tcPr>
            <w:tcW w:w="118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406.3</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354.6</w:t>
            </w:r>
          </w:p>
        </w:tc>
        <w:tc>
          <w:tcPr>
            <w:tcW w:w="38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780.5</w:t>
            </w:r>
          </w:p>
        </w:tc>
        <w:tc>
          <w:tcPr>
            <w:tcW w:w="3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678.6</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180" w:type="dxa"/>
            <w:vAlign w:val="bottom"/>
            <w:gridSpan w:val="2"/>
          </w:tcPr>
          <w:p>
            <w:pPr>
              <w:jc w:val="center"/>
              <w:ind w:left="7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3,013.4</w:t>
            </w:r>
          </w:p>
        </w:tc>
        <w:tc>
          <w:tcPr>
            <w:tcW w:w="4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2,602.9</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5,692.1</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4,886.9</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4"/>
                <w:szCs w:val="24"/>
                <w:color w:val="auto"/>
              </w:rPr>
            </w:pPr>
          </w:p>
        </w:tc>
        <w:tc>
          <w:tcPr>
            <w:tcW w:w="2180" w:type="dxa"/>
            <w:vAlign w:val="bottom"/>
            <w:gridSpan w:val="2"/>
          </w:tcPr>
          <w:p>
            <w:pPr>
              <w:jc w:val="center"/>
              <w:ind w:left="7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81"/>
        </w:trPr>
        <w:tc>
          <w:tcPr>
            <w:tcW w:w="4820" w:type="dxa"/>
            <w:vAlign w:val="bottom"/>
          </w:tcPr>
          <w:p>
            <w:pPr>
              <w:spacing w:after="0"/>
              <w:rPr>
                <w:sz w:val="20"/>
                <w:szCs w:val="20"/>
                <w:color w:val="auto"/>
              </w:rPr>
            </w:pPr>
            <w:r>
              <w:rPr>
                <w:rFonts w:ascii="Courier New" w:cs="Courier New" w:eastAsia="Courier New" w:hAnsi="Courier New"/>
                <w:sz w:val="16"/>
                <w:szCs w:val="16"/>
                <w:color w:val="auto"/>
              </w:rPr>
              <w:t>Operating unit profit:</w:t>
            </w:r>
          </w:p>
        </w:tc>
        <w:tc>
          <w:tcPr>
            <w:tcW w:w="11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10.3</w:t>
            </w:r>
          </w:p>
        </w:tc>
        <w:tc>
          <w:tcPr>
            <w:tcW w:w="440" w:type="dxa"/>
            <w:vAlign w:val="bottom"/>
            <w:vMerge w:val="restart"/>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8.3</w:t>
            </w:r>
          </w:p>
        </w:tc>
        <w:tc>
          <w:tcPr>
            <w:tcW w:w="38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w:t>
            </w:r>
          </w:p>
        </w:tc>
        <w:tc>
          <w:tcPr>
            <w:tcW w:w="1140" w:type="dxa"/>
            <w:vAlign w:val="bottom"/>
            <w:vMerge w:val="restart"/>
          </w:tcPr>
          <w:p>
            <w:pPr>
              <w:jc w:val="right"/>
              <w:ind w:right="258"/>
              <w:spacing w:after="0"/>
              <w:rPr>
                <w:sz w:val="20"/>
                <w:szCs w:val="20"/>
                <w:color w:val="auto"/>
              </w:rPr>
            </w:pPr>
            <w:r>
              <w:rPr>
                <w:rFonts w:ascii="Courier New" w:cs="Courier New" w:eastAsia="Courier New" w:hAnsi="Courier New"/>
                <w:sz w:val="16"/>
                <w:szCs w:val="16"/>
                <w:color w:val="auto"/>
              </w:rPr>
              <w:t>13.0</w:t>
            </w:r>
          </w:p>
        </w:tc>
        <w:tc>
          <w:tcPr>
            <w:tcW w:w="34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w:t>
            </w:r>
          </w:p>
        </w:tc>
        <w:tc>
          <w:tcPr>
            <w:tcW w:w="80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United States</w:t>
            </w:r>
          </w:p>
        </w:tc>
        <w:tc>
          <w:tcPr>
            <w:tcW w:w="11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France</w:t>
            </w:r>
          </w:p>
        </w:tc>
        <w:tc>
          <w:tcPr>
            <w:tcW w:w="118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41.9</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32.7</w:t>
            </w:r>
          </w:p>
        </w:tc>
        <w:tc>
          <w:tcPr>
            <w:tcW w:w="38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68.8</w:t>
            </w:r>
          </w:p>
        </w:tc>
        <w:tc>
          <w:tcPr>
            <w:tcW w:w="3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54.9</w:t>
            </w: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EMEA</w:t>
            </w:r>
          </w:p>
        </w:tc>
        <w:tc>
          <w:tcPr>
            <w:tcW w:w="118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7.6</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16.7</w:t>
            </w:r>
          </w:p>
        </w:tc>
        <w:tc>
          <w:tcPr>
            <w:tcW w:w="38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17.4</w:t>
            </w:r>
          </w:p>
        </w:tc>
        <w:tc>
          <w:tcPr>
            <w:tcW w:w="3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27.7</w:t>
            </w: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Other Operations</w:t>
            </w:r>
          </w:p>
        </w:tc>
        <w:tc>
          <w:tcPr>
            <w:tcW w:w="118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6.5</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1.6</w:t>
            </w:r>
          </w:p>
        </w:tc>
        <w:tc>
          <w:tcPr>
            <w:tcW w:w="38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8.9</w:t>
            </w:r>
          </w:p>
        </w:tc>
        <w:tc>
          <w:tcPr>
            <w:tcW w:w="3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2180" w:type="dxa"/>
            <w:vAlign w:val="bottom"/>
            <w:gridSpan w:val="2"/>
          </w:tcPr>
          <w:p>
            <w:pPr>
              <w:jc w:val="center"/>
              <w:ind w:left="7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8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Corporate expenses</w:t>
            </w:r>
          </w:p>
        </w:tc>
        <w:tc>
          <w:tcPr>
            <w:tcW w:w="118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66.3</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59.3</w:t>
            </w:r>
          </w:p>
        </w:tc>
        <w:tc>
          <w:tcPr>
            <w:tcW w:w="38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108.1</w:t>
            </w:r>
          </w:p>
        </w:tc>
        <w:tc>
          <w:tcPr>
            <w:tcW w:w="3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85.8</w:t>
            </w:r>
          </w:p>
        </w:tc>
        <w:tc>
          <w:tcPr>
            <w:tcW w:w="0" w:type="dxa"/>
            <w:vAlign w:val="bottom"/>
          </w:tcPr>
          <w:p>
            <w:pPr>
              <w:spacing w:after="0"/>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9.3</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7.4</w:t>
            </w:r>
          </w:p>
        </w:tc>
        <w:tc>
          <w:tcPr>
            <w:tcW w:w="38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18.1</w:t>
            </w:r>
          </w:p>
        </w:tc>
        <w:tc>
          <w:tcPr>
            <w:tcW w:w="3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15.2</w:t>
            </w: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Amortization of other intangible assets</w:t>
            </w:r>
          </w:p>
        </w:tc>
        <w:tc>
          <w:tcPr>
            <w:tcW w:w="1180" w:type="dxa"/>
            <w:vAlign w:val="bottom"/>
          </w:tcPr>
          <w:p>
            <w:pPr>
              <w:spacing w:after="0"/>
              <w:rPr>
                <w:sz w:val="16"/>
                <w:szCs w:val="16"/>
                <w:color w:val="auto"/>
              </w:rPr>
            </w:pPr>
          </w:p>
        </w:tc>
        <w:tc>
          <w:tcPr>
            <w:tcW w:w="100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w:t>
            </w:r>
          </w:p>
        </w:tc>
        <w:tc>
          <w:tcPr>
            <w:tcW w:w="380" w:type="dxa"/>
            <w:vAlign w:val="bottom"/>
          </w:tcPr>
          <w:p>
            <w:pPr>
              <w:spacing w:after="0"/>
              <w:rPr>
                <w:sz w:val="16"/>
                <w:szCs w:val="16"/>
                <w:color w:val="auto"/>
              </w:rPr>
            </w:pPr>
          </w:p>
        </w:tc>
        <w:tc>
          <w:tcPr>
            <w:tcW w:w="114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90"/>
        </w:trPr>
        <w:tc>
          <w:tcPr>
            <w:tcW w:w="4820" w:type="dxa"/>
            <w:vAlign w:val="bottom"/>
          </w:tcPr>
          <w:p>
            <w:pPr>
              <w:ind w:left="100"/>
              <w:spacing w:after="0"/>
              <w:rPr>
                <w:sz w:val="20"/>
                <w:szCs w:val="20"/>
                <w:color w:val="auto"/>
              </w:rPr>
            </w:pPr>
            <w:r>
              <w:rPr>
                <w:rFonts w:ascii="Courier New" w:cs="Courier New" w:eastAsia="Courier New" w:hAnsi="Courier New"/>
                <w:sz w:val="16"/>
                <w:szCs w:val="16"/>
                <w:color w:val="auto"/>
              </w:rPr>
              <w:t>Interest and other expense</w:t>
            </w:r>
          </w:p>
        </w:tc>
        <w:tc>
          <w:tcPr>
            <w:tcW w:w="118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9.2</w:t>
            </w:r>
          </w:p>
        </w:tc>
        <w:tc>
          <w:tcPr>
            <w:tcW w:w="440" w:type="dxa"/>
            <w:vAlign w:val="bottom"/>
          </w:tcPr>
          <w:p>
            <w:pPr>
              <w:spacing w:after="0"/>
              <w:rPr>
                <w:sz w:val="16"/>
                <w:szCs w:val="16"/>
                <w:color w:val="auto"/>
              </w:rPr>
            </w:pP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9.6</w:t>
            </w:r>
          </w:p>
        </w:tc>
        <w:tc>
          <w:tcPr>
            <w:tcW w:w="380" w:type="dxa"/>
            <w:vAlign w:val="bottom"/>
          </w:tcPr>
          <w:p>
            <w:pPr>
              <w:spacing w:after="0"/>
              <w:rPr>
                <w:sz w:val="16"/>
                <w:szCs w:val="16"/>
                <w:color w:val="auto"/>
              </w:rPr>
            </w:pP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17.8</w:t>
            </w:r>
          </w:p>
        </w:tc>
        <w:tc>
          <w:tcPr>
            <w:tcW w:w="340" w:type="dxa"/>
            <w:vAlign w:val="bottom"/>
          </w:tcPr>
          <w:p>
            <w:pPr>
              <w:spacing w:after="0"/>
              <w:rPr>
                <w:sz w:val="16"/>
                <w:szCs w:val="16"/>
                <w:color w:val="auto"/>
              </w:rPr>
            </w:pP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17.6</w:t>
            </w:r>
          </w:p>
        </w:tc>
        <w:tc>
          <w:tcPr>
            <w:tcW w:w="0" w:type="dxa"/>
            <w:vAlign w:val="bottom"/>
          </w:tcPr>
          <w:p>
            <w:pPr>
              <w:spacing w:after="0"/>
              <w:rPr>
                <w:sz w:val="1"/>
                <w:szCs w:val="1"/>
                <w:color w:val="auto"/>
              </w:rPr>
            </w:pPr>
          </w:p>
        </w:tc>
      </w:tr>
      <w:tr>
        <w:trPr>
          <w:trHeight w:val="190"/>
        </w:trPr>
        <w:tc>
          <w:tcPr>
            <w:tcW w:w="4820" w:type="dxa"/>
            <w:vAlign w:val="bottom"/>
            <w:vMerge w:val="restart"/>
          </w:tcPr>
          <w:p>
            <w:pPr>
              <w:ind w:left="200"/>
              <w:spacing w:after="0"/>
              <w:rPr>
                <w:sz w:val="20"/>
                <w:szCs w:val="20"/>
                <w:color w:val="auto"/>
              </w:rPr>
            </w:pPr>
            <w:r>
              <w:rPr>
                <w:rFonts w:ascii="Courier New" w:cs="Courier New" w:eastAsia="Courier New" w:hAnsi="Courier New"/>
                <w:sz w:val="16"/>
                <w:szCs w:val="16"/>
                <w:color w:val="auto"/>
              </w:rPr>
              <w:t>Earnings before income taxes</w:t>
            </w:r>
          </w:p>
        </w:tc>
        <w:tc>
          <w:tcPr>
            <w:tcW w:w="2180" w:type="dxa"/>
            <w:vAlign w:val="bottom"/>
            <w:gridSpan w:val="2"/>
          </w:tcPr>
          <w:p>
            <w:pPr>
              <w:jc w:val="center"/>
              <w:ind w:left="7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4820" w:type="dxa"/>
            <w:vAlign w:val="bottom"/>
            <w:vMerge w:val="continue"/>
          </w:tcPr>
          <w:p>
            <w:pPr>
              <w:spacing w:after="0"/>
              <w:rPr>
                <w:sz w:val="16"/>
                <w:szCs w:val="16"/>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47.8</w:t>
            </w:r>
          </w:p>
        </w:tc>
        <w:tc>
          <w:tcPr>
            <w:tcW w:w="440" w:type="dxa"/>
            <w:vAlign w:val="bottom"/>
          </w:tcPr>
          <w:p>
            <w:pPr>
              <w:jc w:val="right"/>
              <w:ind w:right="58"/>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42.2</w:t>
            </w:r>
          </w:p>
        </w:tc>
        <w:tc>
          <w:tcPr>
            <w:tcW w:w="380" w:type="dxa"/>
            <w:vAlign w:val="bottom"/>
          </w:tcPr>
          <w:p>
            <w:pPr>
              <w:ind w:left="2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72.2</w:t>
            </w:r>
          </w:p>
        </w:tc>
        <w:tc>
          <w:tcPr>
            <w:tcW w:w="340" w:type="dxa"/>
            <w:vAlign w:val="bottom"/>
          </w:tcPr>
          <w:p>
            <w:pPr>
              <w:ind w:left="60"/>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52.9</w:t>
            </w:r>
          </w:p>
        </w:tc>
        <w:tc>
          <w:tcPr>
            <w:tcW w:w="0" w:type="dxa"/>
            <w:vAlign w:val="bottom"/>
          </w:tcPr>
          <w:p>
            <w:pPr>
              <w:spacing w:after="0"/>
              <w:rPr>
                <w:sz w:val="1"/>
                <w:szCs w:val="1"/>
                <w:color w:val="auto"/>
              </w:rPr>
            </w:pPr>
          </w:p>
        </w:tc>
      </w:tr>
      <w:tr>
        <w:trPr>
          <w:trHeight w:val="277"/>
        </w:trPr>
        <w:tc>
          <w:tcPr>
            <w:tcW w:w="4820" w:type="dxa"/>
            <w:vAlign w:val="bottom"/>
          </w:tcPr>
          <w:p>
            <w:pPr>
              <w:spacing w:after="0"/>
              <w:rPr>
                <w:sz w:val="24"/>
                <w:szCs w:val="24"/>
                <w:color w:val="auto"/>
              </w:rPr>
            </w:pPr>
          </w:p>
        </w:tc>
        <w:tc>
          <w:tcPr>
            <w:tcW w:w="2180" w:type="dxa"/>
            <w:vAlign w:val="bottom"/>
            <w:gridSpan w:val="2"/>
          </w:tcPr>
          <w:p>
            <w:pPr>
              <w:jc w:val="center"/>
              <w:ind w:left="7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780" w:right="3560" w:hanging="385"/>
        <w:spacing w:after="0" w:line="377" w:lineRule="auto"/>
        <w:tabs>
          <w:tab w:leader="none" w:pos="7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United States revenues above represent revenues from our Company-owned branches only. U.S. Systemwide sales information is provided on page 22.</w:t>
      </w:r>
    </w:p>
    <w:p>
      <w:pPr>
        <w:spacing w:after="0" w:line="18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1440"/>
          </w:cols>
          <w:pgMar w:left="240" w:top="1224" w:right="219" w:bottom="1440" w:gutter="0" w:footer="0" w:header="0"/>
        </w:sectPr>
      </w:pPr>
    </w:p>
    <w:bookmarkStart w:id="12" w:name="page13"/>
    <w:bookmarkEnd w:id="12"/>
    <w:p>
      <w:pPr>
        <w:ind w:right="3019"/>
        <w:spacing w:after="0" w:line="376" w:lineRule="auto"/>
        <w:rPr>
          <w:sz w:val="20"/>
          <w:szCs w:val="20"/>
          <w:color w:val="auto"/>
        </w:rPr>
      </w:pPr>
      <w:r>
        <w:rPr>
          <w:rFonts w:ascii="Courier New" w:cs="Courier New" w:eastAsia="Courier New" w:hAnsi="Courier New"/>
          <w:sz w:val="16"/>
          <w:szCs w:val="16"/>
          <w:color w:val="auto"/>
        </w:rPr>
        <w:t>Item 2 --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 Three Months Ended June 30, 2003 and 2002</w:t>
      </w:r>
    </w:p>
    <w:p>
      <w:pPr>
        <w:spacing w:after="0" w:line="198" w:lineRule="exact"/>
        <w:rPr>
          <w:sz w:val="20"/>
          <w:szCs w:val="20"/>
          <w:color w:val="auto"/>
        </w:rPr>
      </w:pPr>
    </w:p>
    <w:p>
      <w:pPr>
        <w:ind w:right="2339"/>
        <w:spacing w:after="0" w:line="265" w:lineRule="auto"/>
        <w:rPr>
          <w:sz w:val="20"/>
          <w:szCs w:val="20"/>
          <w:color w:val="auto"/>
        </w:rPr>
      </w:pPr>
      <w:r>
        <w:rPr>
          <w:rFonts w:ascii="Courier New" w:cs="Courier New" w:eastAsia="Courier New" w:hAnsi="Courier New"/>
          <w:sz w:val="16"/>
          <w:szCs w:val="16"/>
          <w:color w:val="auto"/>
        </w:rPr>
        <w:t>Revenues from services increased 15.8% to $3,013.4 million for the second quarter of 2003 from the same period in 2002. Revenues were favorably impacted by changes in foreign currency exchange rates during the period due to the weakening of the U.S. Dollar relative to the currencies in most of our non-U.S. markets. In constant currency, revenues increased 1.0%. Revenue growth in the second quarter of 2003 attributable to acquisitions was approximately $5 million or .2% of revenue. Systemwide sales were $3,301.6 million and $2,892.1 million for the second quarter of 2003 and 2002, respectively. (See Financial Measures on pages 21 and 22 for further information on constant currency and Systemwide sales.)</w:t>
      </w:r>
    </w:p>
    <w:p>
      <w:pPr>
        <w:spacing w:after="0" w:line="284" w:lineRule="exact"/>
        <w:rPr>
          <w:sz w:val="20"/>
          <w:szCs w:val="20"/>
          <w:color w:val="auto"/>
        </w:rPr>
      </w:pPr>
    </w:p>
    <w:p>
      <w:pPr>
        <w:ind w:right="2339"/>
        <w:spacing w:after="0" w:line="273" w:lineRule="auto"/>
        <w:rPr>
          <w:sz w:val="20"/>
          <w:szCs w:val="20"/>
          <w:color w:val="auto"/>
        </w:rPr>
      </w:pPr>
      <w:r>
        <w:rPr>
          <w:rFonts w:ascii="Courier New" w:cs="Courier New" w:eastAsia="Courier New" w:hAnsi="Courier New"/>
          <w:sz w:val="16"/>
          <w:szCs w:val="16"/>
          <w:color w:val="auto"/>
        </w:rPr>
        <w:t>Gross profit increased 11.6% to $521.5 million for the second quarter of 2003. Gross profit margin was 17.3%, a decrease of 70 basis points (.7%) from the second quarter of 2002. This decrease was attributable to changes in the geographical mix of business, payroll tax and social cost increases, a change in the service mix of business and pricing pressures experienced throughout the world. Gross profit growth from acquisitions was minimal and had no impact on gross profit margin.</w:t>
      </w:r>
    </w:p>
    <w:p>
      <w:pPr>
        <w:spacing w:after="0" w:line="280" w:lineRule="exact"/>
        <w:rPr>
          <w:sz w:val="20"/>
          <w:szCs w:val="20"/>
          <w:color w:val="auto"/>
        </w:rPr>
      </w:pPr>
    </w:p>
    <w:p>
      <w:pPr>
        <w:ind w:right="2339"/>
        <w:spacing w:after="0" w:line="258" w:lineRule="auto"/>
        <w:rPr>
          <w:sz w:val="20"/>
          <w:szCs w:val="20"/>
          <w:color w:val="auto"/>
        </w:rPr>
      </w:pPr>
      <w:r>
        <w:rPr>
          <w:rFonts w:ascii="Courier New" w:cs="Courier New" w:eastAsia="Courier New" w:hAnsi="Courier New"/>
          <w:sz w:val="16"/>
          <w:szCs w:val="16"/>
          <w:color w:val="auto"/>
        </w:rPr>
        <w:t>Selling and administrative expenses increased 11.7% from the second quarter of 2002, to $464.5 million in the second quarter of 2003. This increase is primarily due to the changes in exchange rates, as these expenses decreased 1.6% on a constant currency basis. As a percent of revenues, Selling and administrative expenses were 15.4% in the second quarter of 2003 compared to</w:t>
      </w:r>
    </w:p>
    <w:p>
      <w:pPr>
        <w:spacing w:after="0" w:line="4" w:lineRule="exact"/>
        <w:rPr>
          <w:sz w:val="20"/>
          <w:szCs w:val="20"/>
          <w:color w:val="auto"/>
        </w:rPr>
      </w:pPr>
    </w:p>
    <w:p>
      <w:pPr>
        <w:ind w:right="2519"/>
        <w:spacing w:after="0" w:line="337" w:lineRule="auto"/>
        <w:rPr>
          <w:sz w:val="20"/>
          <w:szCs w:val="20"/>
          <w:color w:val="auto"/>
        </w:rPr>
      </w:pPr>
      <w:r>
        <w:rPr>
          <w:rFonts w:ascii="Courier New" w:cs="Courier New" w:eastAsia="Courier New" w:hAnsi="Courier New"/>
          <w:sz w:val="16"/>
          <w:szCs w:val="16"/>
          <w:color w:val="auto"/>
        </w:rPr>
        <w:t>16.0% in the second quarter of 2002. The improvement in this ratio is a result of careful expense management in conjunction with growing revenues.</w:t>
      </w:r>
    </w:p>
    <w:p>
      <w:pPr>
        <w:spacing w:after="0" w:line="30" w:lineRule="exact"/>
        <w:rPr>
          <w:sz w:val="20"/>
          <w:szCs w:val="20"/>
          <w:color w:val="auto"/>
        </w:rPr>
      </w:pPr>
    </w:p>
    <w:p>
      <w:pPr>
        <w:ind w:right="2339"/>
        <w:spacing w:after="0" w:line="293" w:lineRule="auto"/>
        <w:rPr>
          <w:sz w:val="20"/>
          <w:szCs w:val="20"/>
          <w:color w:val="auto"/>
        </w:rPr>
      </w:pPr>
      <w:r>
        <w:rPr>
          <w:rFonts w:ascii="Courier New" w:cs="Courier New" w:eastAsia="Courier New" w:hAnsi="Courier New"/>
          <w:sz w:val="16"/>
          <w:szCs w:val="16"/>
          <w:color w:val="auto"/>
        </w:rPr>
        <w:t>Operating profit increased 10.1% for the second quarter of 2003 compared to 2002 resulting in an operating profit margin of 1.9% in 2003 compared to 2.0% in 2002. On a constant currency basis, Operating profit decreased 8.5%. Acquisitions did not have an impact on Operating profit.</w:t>
      </w:r>
    </w:p>
    <w:p>
      <w:pPr>
        <w:spacing w:after="0" w:line="63" w:lineRule="exact"/>
        <w:rPr>
          <w:sz w:val="20"/>
          <w:szCs w:val="20"/>
          <w:color w:val="auto"/>
        </w:rPr>
      </w:pPr>
    </w:p>
    <w:p>
      <w:pPr>
        <w:ind w:right="2339"/>
        <w:spacing w:after="0" w:line="276" w:lineRule="auto"/>
        <w:rPr>
          <w:sz w:val="20"/>
          <w:szCs w:val="20"/>
          <w:color w:val="auto"/>
        </w:rPr>
      </w:pPr>
      <w:r>
        <w:rPr>
          <w:rFonts w:ascii="Courier New" w:cs="Courier New" w:eastAsia="Courier New" w:hAnsi="Courier New"/>
          <w:sz w:val="16"/>
          <w:szCs w:val="16"/>
          <w:color w:val="auto"/>
        </w:rPr>
        <w:t>Interest and other expense decreased $.4 million from the second quarter of 2002 to $9.2 million in the second quarter of 2003. Net interest expense decreased $.1 million in the quarter to $8.3 million. Translation gains were $.3 million in the second quarter of 2003 compared to $.9 million in the second quarter of 2002. Miscellaneous expenses, net decreased $.9 million and consist of bank fees and other non-operating expenses and income.</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We provided for income taxes during the second quarter of 2003 at a rate of</w:t>
      </w:r>
    </w:p>
    <w:p>
      <w:pPr>
        <w:spacing w:after="0" w:line="38" w:lineRule="exact"/>
        <w:rPr>
          <w:sz w:val="20"/>
          <w:szCs w:val="20"/>
          <w:color w:val="auto"/>
        </w:rPr>
      </w:pPr>
    </w:p>
    <w:p>
      <w:pPr>
        <w:ind w:right="2339"/>
        <w:spacing w:after="0" w:line="265" w:lineRule="auto"/>
        <w:rPr>
          <w:sz w:val="20"/>
          <w:szCs w:val="20"/>
          <w:color w:val="auto"/>
        </w:rPr>
      </w:pPr>
      <w:r>
        <w:rPr>
          <w:rFonts w:ascii="Courier New" w:cs="Courier New" w:eastAsia="Courier New" w:hAnsi="Courier New"/>
          <w:sz w:val="16"/>
          <w:szCs w:val="16"/>
          <w:color w:val="auto"/>
        </w:rPr>
        <w:t>39.0%, based on our current estimate of the annual effective tax rate. This rate is higher than the U.S. Federal statutory rate of 35% due primarily to the impact of higher foreign income tax rates, valuation reserves recorded against foreign net operating losses and U.S. taxes on foreign earnings. For the year ended December 31, 2002 we provided for income taxes at a rate of 39.8%. The estimated effective tax rate for 2003 is lower than the 2002 rate due to estimated changes in the mix of taxable income between countries.</w:t>
      </w:r>
    </w:p>
    <w:p>
      <w:pPr>
        <w:spacing w:after="0" w:line="86" w:lineRule="exact"/>
        <w:rPr>
          <w:sz w:val="20"/>
          <w:szCs w:val="20"/>
          <w:color w:val="auto"/>
        </w:rPr>
      </w:pPr>
    </w:p>
    <w:p>
      <w:pPr>
        <w:ind w:right="2519"/>
        <w:spacing w:after="0" w:line="276" w:lineRule="auto"/>
        <w:rPr>
          <w:sz w:val="20"/>
          <w:szCs w:val="20"/>
          <w:color w:val="auto"/>
        </w:rPr>
      </w:pPr>
      <w:r>
        <w:rPr>
          <w:rFonts w:ascii="Courier New" w:cs="Courier New" w:eastAsia="Courier New" w:hAnsi="Courier New"/>
          <w:sz w:val="16"/>
          <w:szCs w:val="16"/>
          <w:color w:val="auto"/>
        </w:rPr>
        <w:t>Net earnings per share, on a diluted basis, increased 12.1% to $.37 in the second quarter of 2003 compared to $.33 in the second quarter of 2002. In constant currency, Net earnings per share, on a diluted basis, decreased 9.1%. The change in foreign currency exchange rates positively impacted Net earnings per share, on a diluted basis, by approximately $.07 in the second quarter of 2003.</w:t>
      </w:r>
    </w:p>
    <w:p>
      <w:pPr>
        <w:spacing w:after="0" w:line="200" w:lineRule="exact"/>
        <w:rPr>
          <w:sz w:val="20"/>
          <w:szCs w:val="20"/>
          <w:color w:val="auto"/>
        </w:rPr>
      </w:pPr>
    </w:p>
    <w:p>
      <w:pPr>
        <w:spacing w:after="0" w:line="25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22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Segment Operating Results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United States</w:t>
      </w:r>
    </w:p>
    <w:p>
      <w:pPr>
        <w:spacing w:after="0" w:line="198"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6"/>
          <w:szCs w:val="16"/>
          <w:color w:val="auto"/>
        </w:rPr>
        <w:t>The United States experienced an increase in revenues of 1.9% for the second quarter of 2003 compared to 2002, reflecting a decline in revenue growth from the first quarter growth rate of 8.1%. Growth in the light industrial sector slowed during the quarter (an increase of 1% in the second quarter compared to growth of 13% in the first quarter), while we saw improvement in the office sector and continued growth in the professional sector of 7% for the quarter. Franchise acquisitions added 1.1% to revenue growth in the United States for the quarter. Revenues for the first half of 2003 increased 4.8% from the same period in the prior year (3.5% excluding franchise acquisitions). Systemwide sales were $727.4 million and $724.3 million for the first quarter of 2003 and 2002, respectively, and $1,415.3 million and $1,378.3 million for the first half of 2003 and 2002, respectively. (See page 22 for further information on Systemwide sales in the United States.)</w:t>
      </w:r>
    </w:p>
    <w:p>
      <w:pPr>
        <w:spacing w:after="0" w:line="92" w:lineRule="exact"/>
        <w:rPr>
          <w:sz w:val="20"/>
          <w:szCs w:val="20"/>
          <w:color w:val="auto"/>
        </w:rPr>
      </w:pPr>
    </w:p>
    <w:p>
      <w:pPr>
        <w:ind w:right="2339"/>
        <w:spacing w:after="0" w:line="272" w:lineRule="auto"/>
        <w:rPr>
          <w:sz w:val="20"/>
          <w:szCs w:val="20"/>
          <w:color w:val="auto"/>
        </w:rPr>
      </w:pPr>
      <w:r>
        <w:rPr>
          <w:rFonts w:ascii="Courier New" w:cs="Courier New" w:eastAsia="Courier New" w:hAnsi="Courier New"/>
          <w:sz w:val="16"/>
          <w:szCs w:val="16"/>
          <w:color w:val="auto"/>
        </w:rPr>
        <w:t>Operating unit profit ("OUP") margin in the United States was 2.1% and 1.7% for the second quarter of 2003 and 2002, respectively, and 1.4% and .4% for the first half of 2003 and 2002, respectively. The year-over-year improvement in OUP margin during 2003 was due to the leveraging impact of the increased revenue levels and the continued cost control efforts. The impact of the cost control efforts was partially offset by a decrease in gross profit margin, which resulted from higher state unemployment taxes and a shift in business mix.</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France</w:t>
      </w:r>
    </w:p>
    <w:p>
      <w:pPr>
        <w:spacing w:after="0" w:line="198" w:lineRule="exact"/>
        <w:rPr>
          <w:sz w:val="20"/>
          <w:szCs w:val="20"/>
          <w:color w:val="auto"/>
        </w:rPr>
      </w:pPr>
    </w:p>
    <w:p>
      <w:pPr>
        <w:ind w:right="2339"/>
        <w:spacing w:after="0" w:line="282" w:lineRule="auto"/>
        <w:rPr>
          <w:sz w:val="20"/>
          <w:szCs w:val="20"/>
          <w:color w:val="auto"/>
        </w:rPr>
      </w:pPr>
      <w:r>
        <w:rPr>
          <w:rFonts w:ascii="Courier New" w:cs="Courier New" w:eastAsia="Courier New" w:hAnsi="Courier New"/>
          <w:sz w:val="16"/>
          <w:szCs w:val="16"/>
          <w:color w:val="auto"/>
        </w:rPr>
        <w:t>In France, revenues increased 24.3% (.6% in Euro) during the second quarter of 2003 compared to 2002. This quarterly growth rate, in Euro, reflects a slowing demand for services experienced throughout the quarter. It represents a decrease from the growth rate of 1.6% experienced during the fist quarter of 2003 and 4.3% during the fourth quarter of 2002.</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second quarter of 2003 and 2002, OUP margin in France was 3.6% and</w:t>
      </w:r>
    </w:p>
    <w:p>
      <w:pPr>
        <w:spacing w:after="0" w:line="38" w:lineRule="exact"/>
        <w:rPr>
          <w:sz w:val="20"/>
          <w:szCs w:val="20"/>
          <w:color w:val="auto"/>
        </w:rPr>
      </w:pPr>
    </w:p>
    <w:p>
      <w:pPr>
        <w:jc w:val="both"/>
        <w:ind w:right="2339"/>
        <w:spacing w:after="0" w:line="294" w:lineRule="auto"/>
        <w:rPr>
          <w:sz w:val="20"/>
          <w:szCs w:val="20"/>
          <w:color w:val="auto"/>
        </w:rPr>
      </w:pPr>
      <w:r>
        <w:rPr>
          <w:rFonts w:ascii="Courier New" w:cs="Courier New" w:eastAsia="Courier New" w:hAnsi="Courier New"/>
          <w:sz w:val="16"/>
          <w:szCs w:val="16"/>
          <w:color w:val="auto"/>
        </w:rPr>
        <w:t>3.5%, respectively. The OUP margin was 3.2% for the first half of 2003 and 2002. Our continued cost control efforts offset a slight decline in the year-over-year gross profit margin.</w:t>
      </w:r>
    </w:p>
    <w:p>
      <w:pPr>
        <w:spacing w:after="0" w:line="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EMEA</w:t>
      </w:r>
    </w:p>
    <w:p>
      <w:pPr>
        <w:spacing w:after="0" w:line="198" w:lineRule="exact"/>
        <w:rPr>
          <w:sz w:val="20"/>
          <w:szCs w:val="20"/>
          <w:color w:val="auto"/>
        </w:rPr>
      </w:pPr>
    </w:p>
    <w:p>
      <w:pPr>
        <w:ind w:right="2339"/>
        <w:spacing w:after="0" w:line="269" w:lineRule="auto"/>
        <w:rPr>
          <w:sz w:val="20"/>
          <w:szCs w:val="20"/>
          <w:color w:val="auto"/>
        </w:rPr>
      </w:pPr>
      <w:r>
        <w:rPr>
          <w:rFonts w:ascii="Courier New" w:cs="Courier New" w:eastAsia="Courier New" w:hAnsi="Courier New"/>
          <w:sz w:val="16"/>
          <w:szCs w:val="16"/>
          <w:color w:val="auto"/>
        </w:rPr>
        <w:t>In EMEA, which represents operations throughout Europe, the Middle East and Africa (excluding France), revenues increased 14.6%, but declined 2.7% in constant currency for the second quarter of 2003 compared to 2002. For the first half of 2003, revenues for EMEA were 15.3% above prior year levels (down 2.1% in constant currency). Positive year-over-year revenue variances were experienced in Germany, Italy, Spain and our Brook Street operations, while negative variances were experienced in The Netherlands, the Nordics and our Manpower UK operations due to continued weakening in those markets.</w:t>
      </w:r>
    </w:p>
    <w:p>
      <w:pPr>
        <w:spacing w:after="0" w:line="81" w:lineRule="exact"/>
        <w:rPr>
          <w:sz w:val="20"/>
          <w:szCs w:val="20"/>
          <w:color w:val="auto"/>
        </w:rPr>
      </w:pPr>
    </w:p>
    <w:p>
      <w:pPr>
        <w:ind w:right="2439"/>
        <w:spacing w:after="0" w:line="282" w:lineRule="auto"/>
        <w:rPr>
          <w:sz w:val="20"/>
          <w:szCs w:val="20"/>
          <w:color w:val="auto"/>
        </w:rPr>
      </w:pPr>
      <w:r>
        <w:rPr>
          <w:rFonts w:ascii="Courier New" w:cs="Courier New" w:eastAsia="Courier New" w:hAnsi="Courier New"/>
          <w:sz w:val="16"/>
          <w:szCs w:val="16"/>
          <w:color w:val="auto"/>
        </w:rPr>
        <w:t>OUP margin for EMEA was .8% and 2.0% for the second quarter of 2003 and 2002, respectively, and .9% and 1.7% for the first half of 2003 and 2002, respectively. The decline in OUP margin was primarily the result of decreased gross profit margins due to changes in both the geographical and service mix of business, higher social costs, and pricing pressures in The Netherlands.</w:t>
      </w:r>
    </w:p>
    <w:p>
      <w:pPr>
        <w:spacing w:after="0" w:line="26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122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Other Operations</w:t>
      </w:r>
    </w:p>
    <w:p>
      <w:pPr>
        <w:spacing w:after="0" w:line="198" w:lineRule="exact"/>
        <w:rPr>
          <w:sz w:val="20"/>
          <w:szCs w:val="20"/>
          <w:color w:val="auto"/>
        </w:rPr>
      </w:pPr>
    </w:p>
    <w:p>
      <w:pPr>
        <w:ind w:right="2439"/>
        <w:spacing w:after="0" w:line="282" w:lineRule="auto"/>
        <w:rPr>
          <w:sz w:val="20"/>
          <w:szCs w:val="20"/>
          <w:color w:val="auto"/>
        </w:rPr>
      </w:pPr>
      <w:r>
        <w:rPr>
          <w:rFonts w:ascii="Courier New" w:cs="Courier New" w:eastAsia="Courier New" w:hAnsi="Courier New"/>
          <w:sz w:val="16"/>
          <w:szCs w:val="16"/>
          <w:color w:val="auto"/>
        </w:rPr>
        <w:t>Revenues of Other Operations increased 14.6% (9.5% in constant currency) during the second quarter of 2003 compared to 2002. For the first six months of 2003, revenue increased 15.0% from 2002 (11.1% in constant currency). The majority of markets in this segment experienced revenue increases, in constant currency, during the second quarter and the first half of 2003.</w:t>
      </w:r>
    </w:p>
    <w:p>
      <w:pPr>
        <w:spacing w:after="0" w:line="73" w:lineRule="exact"/>
        <w:rPr>
          <w:sz w:val="20"/>
          <w:szCs w:val="20"/>
          <w:color w:val="auto"/>
        </w:rPr>
      </w:pPr>
    </w:p>
    <w:p>
      <w:pPr>
        <w:ind w:right="2439"/>
        <w:spacing w:after="0" w:line="293" w:lineRule="auto"/>
        <w:rPr>
          <w:sz w:val="20"/>
          <w:szCs w:val="20"/>
          <w:color w:val="auto"/>
        </w:rPr>
      </w:pPr>
      <w:r>
        <w:rPr>
          <w:rFonts w:ascii="Courier New" w:cs="Courier New" w:eastAsia="Courier New" w:hAnsi="Courier New"/>
          <w:sz w:val="16"/>
          <w:szCs w:val="16"/>
          <w:color w:val="auto"/>
        </w:rPr>
        <w:t>The OUP margin for Other Operations in the second quarter of 2003 and 2002 was 1.6% and .4%, respectively, and 1.1% and 0% in the first half of 2003 and 2002, respectively. This improvement is the result of higher gross profit margins and good cost control, particularly in Japan.</w:t>
      </w:r>
    </w:p>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 Six Months Ended June 30, 2003 and 2002</w:t>
      </w:r>
    </w:p>
    <w:p>
      <w:pPr>
        <w:spacing w:after="0" w:line="198" w:lineRule="exact"/>
        <w:rPr>
          <w:sz w:val="20"/>
          <w:szCs w:val="20"/>
          <w:color w:val="auto"/>
        </w:rPr>
      </w:pPr>
    </w:p>
    <w:p>
      <w:pPr>
        <w:ind w:right="2339"/>
        <w:spacing w:after="0" w:line="266" w:lineRule="auto"/>
        <w:rPr>
          <w:sz w:val="20"/>
          <w:szCs w:val="20"/>
          <w:color w:val="auto"/>
        </w:rPr>
      </w:pPr>
      <w:r>
        <w:rPr>
          <w:rFonts w:ascii="Courier New" w:cs="Courier New" w:eastAsia="Courier New" w:hAnsi="Courier New"/>
          <w:sz w:val="16"/>
          <w:szCs w:val="16"/>
          <w:color w:val="auto"/>
        </w:rPr>
        <w:t>Revenues from services increased 16.5% to $5,692.1 million for the first half of 2003 from the same period in 2002. Revenues were favorably impacted by changes in foreign currency exchange rates during the period due to the weakening of the U.S. Dollar relative to the currencies in most of our non-U.S. markets. In constant currency, revenues increased 2.1%. Revenue growth in the first half of 2003 attributable to acquisitions was approximately $13 million or .3% of revenues. Systemwide sales were $6,241.0 million and $5,432.1 million for the first half of 2003 and 2002, respectively. (See Financial Measures on pages 21 and 22 for further information on constant currency and Systemwide sales.)</w:t>
      </w:r>
    </w:p>
    <w:p>
      <w:pPr>
        <w:spacing w:after="0" w:line="88" w:lineRule="exact"/>
        <w:rPr>
          <w:sz w:val="20"/>
          <w:szCs w:val="20"/>
          <w:color w:val="auto"/>
        </w:rPr>
      </w:pPr>
    </w:p>
    <w:p>
      <w:pPr>
        <w:ind w:right="2339"/>
        <w:spacing w:after="0" w:line="272" w:lineRule="auto"/>
        <w:rPr>
          <w:sz w:val="20"/>
          <w:szCs w:val="20"/>
          <w:color w:val="auto"/>
        </w:rPr>
      </w:pPr>
      <w:r>
        <w:rPr>
          <w:rFonts w:ascii="Courier New" w:cs="Courier New" w:eastAsia="Courier New" w:hAnsi="Courier New"/>
          <w:sz w:val="16"/>
          <w:szCs w:val="16"/>
          <w:color w:val="auto"/>
        </w:rPr>
        <w:t>Gross profit increased 11.9% to $987.5 million for the first half of 2003. Gross profit margin was 17.3%, a decrease of 70 basis points (.7%) from the first half of 2002. This decrease was attributable to changes in the geographical mix of business, payroll tax and social cost increases, a change in the service mix of business and pricing pressures experienced throughout the world. Gross profit growth from acquisitions was approximately $1.5 million, which had no impact on gross profit margin.</w:t>
      </w:r>
    </w:p>
    <w:p>
      <w:pPr>
        <w:spacing w:after="0" w:line="79" w:lineRule="exact"/>
        <w:rPr>
          <w:sz w:val="20"/>
          <w:szCs w:val="20"/>
          <w:color w:val="auto"/>
        </w:rPr>
      </w:pPr>
    </w:p>
    <w:p>
      <w:pPr>
        <w:ind w:right="2339"/>
        <w:spacing w:after="0" w:line="258" w:lineRule="auto"/>
        <w:rPr>
          <w:sz w:val="20"/>
          <w:szCs w:val="20"/>
          <w:color w:val="auto"/>
        </w:rPr>
      </w:pPr>
      <w:r>
        <w:rPr>
          <w:rFonts w:ascii="Courier New" w:cs="Courier New" w:eastAsia="Courier New" w:hAnsi="Courier New"/>
          <w:sz w:val="16"/>
          <w:szCs w:val="16"/>
          <w:color w:val="auto"/>
        </w:rPr>
        <w:t>Selling and administrative expenses increased 10.5% from the first half of 2002, to $897.5 million in the first half of 2003. This increase is primarily due to the changes in exchange rates, as these expenses decreased 2.4% on a constant currency basis. As a percent of revenues, Selling and administrative expenses were 15.8% in the first half of 2003 compared to 16.6% in the first half of</w:t>
      </w:r>
    </w:p>
    <w:p>
      <w:pPr>
        <w:spacing w:after="0" w:line="4" w:lineRule="exact"/>
        <w:rPr>
          <w:sz w:val="20"/>
          <w:szCs w:val="20"/>
          <w:color w:val="auto"/>
        </w:rPr>
      </w:pPr>
    </w:p>
    <w:p>
      <w:pPr>
        <w:ind w:right="2519"/>
        <w:spacing w:after="0" w:line="337" w:lineRule="auto"/>
        <w:rPr>
          <w:sz w:val="20"/>
          <w:szCs w:val="20"/>
          <w:color w:val="auto"/>
        </w:rPr>
      </w:pPr>
      <w:r>
        <w:rPr>
          <w:rFonts w:ascii="Courier New" w:cs="Courier New" w:eastAsia="Courier New" w:hAnsi="Courier New"/>
          <w:sz w:val="16"/>
          <w:szCs w:val="16"/>
          <w:color w:val="auto"/>
        </w:rPr>
        <w:t>2002. The improvement is a result of careful expense management in conjunction with growing revenues.</w:t>
      </w:r>
    </w:p>
    <w:p>
      <w:pPr>
        <w:spacing w:after="0" w:line="30" w:lineRule="exact"/>
        <w:rPr>
          <w:sz w:val="20"/>
          <w:szCs w:val="20"/>
          <w:color w:val="auto"/>
        </w:rPr>
      </w:pPr>
    </w:p>
    <w:p>
      <w:pPr>
        <w:ind w:right="2519"/>
        <w:spacing w:after="0" w:line="276" w:lineRule="auto"/>
        <w:rPr>
          <w:sz w:val="20"/>
          <w:szCs w:val="20"/>
          <w:color w:val="auto"/>
        </w:rPr>
      </w:pPr>
      <w:r>
        <w:rPr>
          <w:rFonts w:ascii="Courier New" w:cs="Courier New" w:eastAsia="Courier New" w:hAnsi="Courier New"/>
          <w:sz w:val="16"/>
          <w:szCs w:val="16"/>
          <w:color w:val="auto"/>
        </w:rPr>
        <w:t>Operating profit increased 27.7% for the first half of 2003 compared to 2002 resulting in an operating profit margin of 1.6% in 2003 compared to 1.4% in 2002. The increased Operating profit level primarily reflects the improved leveraging of the business experienced during the first quarter of 2003. On a constant currency basis, Operating profit increased 4.1%. Acquisitions did not have an impact on Operating profit.</w:t>
      </w:r>
    </w:p>
    <w:p>
      <w:pPr>
        <w:spacing w:after="0" w:line="76" w:lineRule="exact"/>
        <w:rPr>
          <w:sz w:val="20"/>
          <w:szCs w:val="20"/>
          <w:color w:val="auto"/>
        </w:rPr>
      </w:pPr>
    </w:p>
    <w:p>
      <w:pPr>
        <w:ind w:right="2439"/>
        <w:spacing w:after="0" w:line="272" w:lineRule="auto"/>
        <w:rPr>
          <w:sz w:val="20"/>
          <w:szCs w:val="20"/>
          <w:color w:val="auto"/>
        </w:rPr>
      </w:pPr>
      <w:r>
        <w:rPr>
          <w:rFonts w:ascii="Courier New" w:cs="Courier New" w:eastAsia="Courier New" w:hAnsi="Courier New"/>
          <w:sz w:val="16"/>
          <w:szCs w:val="16"/>
          <w:color w:val="auto"/>
        </w:rPr>
        <w:t>Interest and other expense increased $.2 million from the first half of 2002 to $17.8 million in the first half of 2003. Net interest expense increased $.2 million in 2003 to $15.9 million. Translation gains were $1.5 million in the first half of 2003 compared to $.7 million in the first half of 2002. Miscellaneous expenses, net increased $.8 million in the first half of 2003 compared to 2002 and consist of bank fees and other non-operating expenses and income.</w:t>
      </w:r>
    </w:p>
    <w:p>
      <w:pPr>
        <w:spacing w:after="0" w:line="79" w:lineRule="exact"/>
        <w:rPr>
          <w:sz w:val="20"/>
          <w:szCs w:val="20"/>
          <w:color w:val="auto"/>
        </w:rPr>
      </w:pPr>
    </w:p>
    <w:p>
      <w:pPr>
        <w:ind w:right="2339"/>
        <w:spacing w:after="0" w:line="269" w:lineRule="auto"/>
        <w:rPr>
          <w:sz w:val="20"/>
          <w:szCs w:val="20"/>
          <w:color w:val="auto"/>
        </w:rPr>
      </w:pPr>
      <w:r>
        <w:rPr>
          <w:rFonts w:ascii="Courier New" w:cs="Courier New" w:eastAsia="Courier New" w:hAnsi="Courier New"/>
          <w:sz w:val="16"/>
          <w:szCs w:val="16"/>
          <w:color w:val="auto"/>
        </w:rPr>
        <w:t>We provided for income taxes during the first six months of 2003 at a rate of 39.0%, based on our current estimate of the annual effective tax rate. This rate is higher than the U.S. Federal statutory rate of 35% due primarily to the impact of higher foreign income tax rates, valuation reserves recorded against foreign net operating losses and U.S. taxes on foreign earnings. For the year ended December 31, 2002 we provided for income taxes at a rate of 39.8%. The estimated effective tax rate for 2003 is lower than the 2002 rate due to estimated changes in the mix of taxable income between countries.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1414" w:right="1440" w:bottom="1440" w:gutter="0" w:footer="0" w:header="0"/>
        </w:sectPr>
      </w:pPr>
    </w:p>
    <w:bookmarkStart w:id="15" w:name="page16"/>
    <w:bookmarkEnd w:id="15"/>
    <w:p>
      <w:pPr>
        <w:ind w:right="2339"/>
        <w:spacing w:after="0" w:line="282" w:lineRule="auto"/>
        <w:rPr>
          <w:sz w:val="20"/>
          <w:szCs w:val="20"/>
          <w:color w:val="auto"/>
        </w:rPr>
      </w:pPr>
      <w:r>
        <w:rPr>
          <w:rFonts w:ascii="Courier New" w:cs="Courier New" w:eastAsia="Courier New" w:hAnsi="Courier New"/>
          <w:sz w:val="16"/>
          <w:szCs w:val="16"/>
          <w:color w:val="auto"/>
        </w:rPr>
        <w:t>Net earnings per share, on a diluted basis, increased 33.3% to $.56 in the first six months of 2003 compared to $.42 in 2002. In constant currency, Net earnings per share, on a diluted basis, increased 2.4%. The change in foreign currency exchange rates positively impacted Net earnings per share, on a diluted basis, by approximately $.13 in 2003.</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8" w:lineRule="exact"/>
        <w:rPr>
          <w:sz w:val="20"/>
          <w:szCs w:val="20"/>
          <w:color w:val="auto"/>
        </w:rPr>
      </w:pPr>
    </w:p>
    <w:p>
      <w:pPr>
        <w:ind w:right="2339"/>
        <w:spacing w:after="0" w:line="282" w:lineRule="auto"/>
        <w:rPr>
          <w:sz w:val="20"/>
          <w:szCs w:val="20"/>
          <w:color w:val="auto"/>
        </w:rPr>
      </w:pPr>
      <w:r>
        <w:rPr>
          <w:rFonts w:ascii="Courier New" w:cs="Courier New" w:eastAsia="Courier New" w:hAnsi="Courier New"/>
          <w:sz w:val="16"/>
          <w:szCs w:val="16"/>
          <w:color w:val="auto"/>
        </w:rPr>
        <w:t>Cash provided by operating activities was $17.7 million in the first half of 2003 compared to $38.1 million for the same period in 2002. This decrease mainly reflects the changes in operating assets and liabilities due primarily to the timing of vendor and payroll-related payments offset by a one-day improvement in our year-over-year consolidated days sales outstanding ("DSO").</w:t>
      </w:r>
    </w:p>
    <w:p>
      <w:pPr>
        <w:spacing w:after="0" w:line="73" w:lineRule="exact"/>
        <w:rPr>
          <w:sz w:val="20"/>
          <w:szCs w:val="20"/>
          <w:color w:val="auto"/>
        </w:rPr>
      </w:pPr>
    </w:p>
    <w:p>
      <w:pPr>
        <w:ind w:right="2519"/>
        <w:spacing w:after="0" w:line="282" w:lineRule="auto"/>
        <w:rPr>
          <w:sz w:val="20"/>
          <w:szCs w:val="20"/>
          <w:color w:val="auto"/>
        </w:rPr>
      </w:pPr>
      <w:r>
        <w:rPr>
          <w:rFonts w:ascii="Courier New" w:cs="Courier New" w:eastAsia="Courier New" w:hAnsi="Courier New"/>
          <w:sz w:val="16"/>
          <w:szCs w:val="16"/>
          <w:color w:val="auto"/>
        </w:rPr>
        <w:t>Capital expenditures were $23.8 million in the first half of 2003 compared to $31.0 million during the first half of 2002. These expenditures are primarily comprised of purchases of computer equipment, office furniture and other costs related to office openings and refurbishments, as well as capitalized software costs.</w:t>
      </w:r>
    </w:p>
    <w:p>
      <w:pPr>
        <w:spacing w:after="0" w:line="73" w:lineRule="exact"/>
        <w:rPr>
          <w:sz w:val="20"/>
          <w:szCs w:val="20"/>
          <w:color w:val="auto"/>
        </w:rPr>
      </w:pPr>
    </w:p>
    <w:p>
      <w:pPr>
        <w:jc w:val="both"/>
        <w:ind w:right="2619"/>
        <w:spacing w:after="0" w:line="314" w:lineRule="auto"/>
        <w:rPr>
          <w:sz w:val="20"/>
          <w:szCs w:val="20"/>
          <w:color w:val="auto"/>
        </w:rPr>
      </w:pPr>
      <w:r>
        <w:rPr>
          <w:rFonts w:ascii="Courier New" w:cs="Courier New" w:eastAsia="Courier New" w:hAnsi="Courier New"/>
          <w:sz w:val="16"/>
          <w:szCs w:val="16"/>
          <w:color w:val="auto"/>
        </w:rPr>
        <w:t>Net cash used to repay borrowings was $44.5 million in the first half of 2003 compared to $17.3 million of net cash provided by borrowings during the first half of 2002.</w:t>
      </w:r>
    </w:p>
    <w:p>
      <w:pPr>
        <w:spacing w:after="0" w:line="47" w:lineRule="exact"/>
        <w:rPr>
          <w:sz w:val="20"/>
          <w:szCs w:val="20"/>
          <w:color w:val="auto"/>
        </w:rPr>
      </w:pPr>
    </w:p>
    <w:p>
      <w:pPr>
        <w:ind w:right="2439"/>
        <w:spacing w:after="0" w:line="293" w:lineRule="auto"/>
        <w:rPr>
          <w:sz w:val="20"/>
          <w:szCs w:val="20"/>
          <w:color w:val="auto"/>
        </w:rPr>
      </w:pPr>
      <w:r>
        <w:rPr>
          <w:rFonts w:ascii="Courier New" w:cs="Courier New" w:eastAsia="Courier New" w:hAnsi="Courier New"/>
          <w:sz w:val="16"/>
          <w:szCs w:val="16"/>
          <w:color w:val="auto"/>
        </w:rPr>
        <w:t>We have aggregate commitments related to debt repayments, operating leases and other commitments of $1,245.9 million as of June 30, 2003 compared to $1,235.5 million as of December 31, 2002. This increase primarily reflects the impact of changes in foreign currency exchange rates since December 31, 2002.</w:t>
      </w:r>
    </w:p>
    <w:p>
      <w:pPr>
        <w:spacing w:after="0" w:line="63" w:lineRule="exact"/>
        <w:rPr>
          <w:sz w:val="20"/>
          <w:szCs w:val="20"/>
          <w:color w:val="auto"/>
        </w:rPr>
      </w:pPr>
    </w:p>
    <w:p>
      <w:pPr>
        <w:ind w:right="2339"/>
        <w:spacing w:after="0" w:line="261" w:lineRule="auto"/>
        <w:rPr>
          <w:sz w:val="20"/>
          <w:szCs w:val="20"/>
          <w:color w:val="auto"/>
        </w:rPr>
      </w:pPr>
      <w:r>
        <w:rPr>
          <w:rFonts w:ascii="Courier New" w:cs="Courier New" w:eastAsia="Courier New" w:hAnsi="Courier New"/>
          <w:sz w:val="16"/>
          <w:szCs w:val="16"/>
          <w:color w:val="auto"/>
        </w:rPr>
        <w:t>We also have entered into guarantee contracts and stand-by letters of credit that total approximately $116.5 million and $111.1 million as of June 30, 2003 and December 31, 2002, respectively ($44.3 million and $39.4 million for guarantees, respectively, and $72.2 million and $71.7 million for stand-by letters of credit, respectively). The guarantees primarily relate to government requirements for operating a temporary service company in certain countries, operating leases, bank accounts and indebtedness. The stand-by letters of credit relate to workers' compensation, operating leases and indebtedness. If certain conditions were met under these arrangements, we would be required to satisfy our obligation in cash. Due to the nature of these arrangements and our historical experience, we do not expect to make any significant payments under these arrangements. Therefore, they have been excluded from our aggregate commitments discussed above.</w:t>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Accounts receivable increased to $2,437.8 million as of June 30, 2003 from</w:t>
      </w:r>
    </w:p>
    <w:p>
      <w:pPr>
        <w:spacing w:after="0" w:line="38" w:lineRule="exact"/>
        <w:rPr>
          <w:sz w:val="20"/>
          <w:szCs w:val="20"/>
          <w:color w:val="auto"/>
        </w:rPr>
      </w:pPr>
    </w:p>
    <w:p>
      <w:pPr>
        <w:ind w:right="2339"/>
        <w:spacing w:after="0" w:line="280" w:lineRule="auto"/>
        <w:rPr>
          <w:sz w:val="20"/>
          <w:szCs w:val="20"/>
          <w:color w:val="auto"/>
        </w:rPr>
      </w:pPr>
      <w:r>
        <w:rPr>
          <w:rFonts w:ascii="Courier New" w:cs="Courier New" w:eastAsia="Courier New" w:hAnsi="Courier New"/>
          <w:sz w:val="16"/>
          <w:szCs w:val="16"/>
          <w:color w:val="auto"/>
        </w:rPr>
        <w:t>$2,214.2 million as of December 31, 2002. This increase is due to changes in foreign currency exchange rates and higher seasonal business volume. At December 31, 2002 exchange rates, the June 30, 2003 balance would have been approximately $155.0 million less than reported.</w:t>
      </w:r>
    </w:p>
    <w:p>
      <w:pPr>
        <w:spacing w:after="0" w:line="72" w:lineRule="exact"/>
        <w:rPr>
          <w:sz w:val="20"/>
          <w:szCs w:val="20"/>
          <w:color w:val="auto"/>
        </w:rPr>
      </w:pPr>
    </w:p>
    <w:p>
      <w:pPr>
        <w:ind w:right="2519"/>
        <w:spacing w:after="0" w:line="272" w:lineRule="auto"/>
        <w:rPr>
          <w:sz w:val="20"/>
          <w:szCs w:val="20"/>
          <w:color w:val="auto"/>
        </w:rPr>
      </w:pPr>
      <w:r>
        <w:rPr>
          <w:rFonts w:ascii="Courier New" w:cs="Courier New" w:eastAsia="Courier New" w:hAnsi="Courier New"/>
          <w:sz w:val="16"/>
          <w:szCs w:val="16"/>
          <w:color w:val="auto"/>
        </w:rPr>
        <w:t>During March 2003, our Japanese subsidiary had transferred their interests in Yen3,006.0 million ($25.5 million) of their accounts receivable under a securitization agreement and during June 2003, they terminated this agreement and replaced it with an overdraft facility. Upon termination, we were required to repay the entire amount initially transferred, which is included in repayments of long-term debt on our consolidated statements of cash flows for 2003.</w:t>
      </w:r>
    </w:p>
    <w:p>
      <w:pPr>
        <w:spacing w:after="0" w:line="79" w:lineRule="exact"/>
        <w:rPr>
          <w:sz w:val="20"/>
          <w:szCs w:val="20"/>
          <w:color w:val="auto"/>
        </w:rPr>
      </w:pPr>
    </w:p>
    <w:p>
      <w:pPr>
        <w:ind w:right="2439"/>
        <w:spacing w:after="0" w:line="293" w:lineRule="auto"/>
        <w:rPr>
          <w:sz w:val="20"/>
          <w:szCs w:val="20"/>
          <w:color w:val="auto"/>
        </w:rPr>
      </w:pPr>
      <w:r>
        <w:rPr>
          <w:rFonts w:ascii="Courier New" w:cs="Courier New" w:eastAsia="Courier New" w:hAnsi="Courier New"/>
          <w:sz w:val="16"/>
          <w:szCs w:val="16"/>
          <w:color w:val="auto"/>
        </w:rPr>
        <w:t>During July 2003, we amended our Receivables Facility in the United States to expire in July 2004. All other terms remain unchanged and as of June 30, 2003 there were no amounts advanced under this agreement. Currently, there is $200.0 million eligible to be advanced to us under this agreement.</w:t>
      </w:r>
    </w:p>
    <w:p>
      <w:pPr>
        <w:spacing w:after="0" w:line="200" w:lineRule="exact"/>
        <w:rPr>
          <w:sz w:val="20"/>
          <w:szCs w:val="20"/>
          <w:color w:val="auto"/>
        </w:rPr>
      </w:pPr>
    </w:p>
    <w:p>
      <w:pPr>
        <w:spacing w:after="0" w:line="24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1413" w:right="1440" w:bottom="1440" w:gutter="0" w:footer="0" w:header="0"/>
        </w:sectPr>
      </w:pPr>
    </w:p>
    <w:bookmarkStart w:id="16" w:name="page17"/>
    <w:bookmarkEnd w:id="16"/>
    <w:p>
      <w:pPr>
        <w:ind w:right="2619"/>
        <w:spacing w:after="0" w:line="282" w:lineRule="auto"/>
        <w:rPr>
          <w:sz w:val="20"/>
          <w:szCs w:val="20"/>
          <w:color w:val="auto"/>
        </w:rPr>
      </w:pPr>
      <w:r>
        <w:rPr>
          <w:rFonts w:ascii="Courier New" w:cs="Courier New" w:eastAsia="Courier New" w:hAnsi="Courier New"/>
          <w:sz w:val="16"/>
          <w:szCs w:val="16"/>
          <w:color w:val="auto"/>
        </w:rPr>
        <w:t>During March 2003, we repaid Yen4,000.0 million (approximately $34.0 million) that was outstanding under our Five-year Facility as of December 31, 2002. In connection with this repayment, we also terminated our interest rate swap agreement with a notional value of Yen4,000.0 million, which was scheduled to expire in June 2003, for a nominal amount.</w:t>
      </w:r>
    </w:p>
    <w:p>
      <w:pPr>
        <w:spacing w:after="0" w:line="73" w:lineRule="exact"/>
        <w:rPr>
          <w:sz w:val="20"/>
          <w:szCs w:val="20"/>
          <w:color w:val="auto"/>
        </w:rPr>
      </w:pPr>
    </w:p>
    <w:p>
      <w:pPr>
        <w:ind w:right="2519"/>
        <w:spacing w:after="0" w:line="282" w:lineRule="auto"/>
        <w:rPr>
          <w:sz w:val="20"/>
          <w:szCs w:val="20"/>
          <w:color w:val="auto"/>
        </w:rPr>
      </w:pPr>
      <w:r>
        <w:rPr>
          <w:rFonts w:ascii="Courier New" w:cs="Courier New" w:eastAsia="Courier New" w:hAnsi="Courier New"/>
          <w:sz w:val="16"/>
          <w:szCs w:val="16"/>
          <w:color w:val="auto"/>
        </w:rPr>
        <w:t>As of June 30, 2003, we had borrowings of $149.8 million and letters of credit of $72.2 million outstanding under our Five-year Facility, and there were no borrowings outstanding under our U.S. commercial paper program. Additional borrowings of $510.3 million were available to us under our Five-year Facility and 364-day Facility as of June 30, 2003.</w:t>
      </w:r>
    </w:p>
    <w:p>
      <w:pPr>
        <w:spacing w:after="0" w:line="73" w:lineRule="exact"/>
        <w:rPr>
          <w:sz w:val="20"/>
          <w:szCs w:val="20"/>
          <w:color w:val="auto"/>
        </w:rPr>
      </w:pPr>
    </w:p>
    <w:p>
      <w:pPr>
        <w:ind w:right="2339"/>
        <w:spacing w:after="0" w:line="314" w:lineRule="auto"/>
        <w:rPr>
          <w:sz w:val="20"/>
          <w:szCs w:val="20"/>
          <w:color w:val="auto"/>
        </w:rPr>
      </w:pPr>
      <w:r>
        <w:rPr>
          <w:rFonts w:ascii="Courier New" w:cs="Courier New" w:eastAsia="Courier New" w:hAnsi="Courier New"/>
          <w:sz w:val="16"/>
          <w:szCs w:val="16"/>
          <w:color w:val="auto"/>
        </w:rPr>
        <w:t>We also maintain separate lines of credit with foreign financial institutions to meet working capital needs of our foreign operations. As of June 30, 2003, such lines totaled $229.8 million, of which $220.2 million was unused.</w:t>
      </w:r>
    </w:p>
    <w:p>
      <w:pPr>
        <w:spacing w:after="0" w:line="47" w:lineRule="exact"/>
        <w:rPr>
          <w:sz w:val="20"/>
          <w:szCs w:val="20"/>
          <w:color w:val="auto"/>
        </w:rPr>
      </w:pPr>
    </w:p>
    <w:p>
      <w:pPr>
        <w:ind w:right="2339"/>
        <w:spacing w:after="0" w:line="276" w:lineRule="auto"/>
        <w:rPr>
          <w:sz w:val="20"/>
          <w:szCs w:val="20"/>
          <w:color w:val="auto"/>
        </w:rPr>
      </w:pPr>
      <w:r>
        <w:rPr>
          <w:rFonts w:ascii="Courier New" w:cs="Courier New" w:eastAsia="Courier New" w:hAnsi="Courier New"/>
          <w:sz w:val="16"/>
          <w:szCs w:val="16"/>
          <w:color w:val="auto"/>
        </w:rPr>
        <w:t>Certain of our debt agreements require, among other things, that we comply with a Debt-to-EBITDA ratio of less than 3.25 to 1 and a fixed charge ratio of greater than 2.00 to 1. As defined in the agreements, we had a Debt-to-EBITDA ratio of 2.72 to 1 and a fixed charge ratio of 2.38 to 1 as of June 30, 2003. Based upon current forecasts, we expect to be in compliance with these covenants throughout 2003.</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Goodwill Impairment</w:t>
      </w:r>
    </w:p>
    <w:p>
      <w:pPr>
        <w:spacing w:after="0" w:line="198" w:lineRule="exact"/>
        <w:rPr>
          <w:sz w:val="20"/>
          <w:szCs w:val="20"/>
          <w:color w:val="auto"/>
        </w:rPr>
      </w:pPr>
    </w:p>
    <w:p>
      <w:pPr>
        <w:ind w:right="2439"/>
        <w:spacing w:after="0" w:line="282" w:lineRule="auto"/>
        <w:rPr>
          <w:sz w:val="20"/>
          <w:szCs w:val="20"/>
          <w:color w:val="auto"/>
        </w:rPr>
      </w:pPr>
      <w:r>
        <w:rPr>
          <w:rFonts w:ascii="Courier New" w:cs="Courier New" w:eastAsia="Courier New" w:hAnsi="Courier New"/>
          <w:sz w:val="16"/>
          <w:szCs w:val="16"/>
          <w:color w:val="auto"/>
        </w:rPr>
        <w:t>In connection with SFAS No. 142, "Goodwill and Other Intangible Assets," we are required to perform goodwill impairment reviews, at least annually, using a fair-value-based approach. The majority of our goodwill results from our acquisitions of Elan and Jefferson Wells, as well as the development of our Empower operations.</w:t>
      </w:r>
    </w:p>
    <w:p>
      <w:pPr>
        <w:spacing w:after="0" w:line="73" w:lineRule="exact"/>
        <w:rPr>
          <w:sz w:val="20"/>
          <w:szCs w:val="20"/>
          <w:color w:val="auto"/>
        </w:rPr>
      </w:pPr>
    </w:p>
    <w:p>
      <w:pPr>
        <w:ind w:right="2339"/>
        <w:spacing w:after="0" w:line="276" w:lineRule="auto"/>
        <w:rPr>
          <w:sz w:val="20"/>
          <w:szCs w:val="20"/>
          <w:color w:val="auto"/>
        </w:rPr>
      </w:pPr>
      <w:r>
        <w:rPr>
          <w:rFonts w:ascii="Courier New" w:cs="Courier New" w:eastAsia="Courier New" w:hAnsi="Courier New"/>
          <w:sz w:val="16"/>
          <w:szCs w:val="16"/>
          <w:color w:val="auto"/>
        </w:rPr>
        <w:t>We primarily use a discounted cash flow analysis in our impairment reviews to estimate fair value. Significant assumptions used in this analysis include: expected future revenue growth rates, operating unit profit margins, and working capital levels; a discount rate; and a terminal value multiple. The revenue growth rates and operating unit profit margins are based on our expectation of future results.</w:t>
      </w:r>
    </w:p>
    <w:p>
      <w:pPr>
        <w:spacing w:after="0" w:line="76" w:lineRule="exact"/>
        <w:rPr>
          <w:sz w:val="20"/>
          <w:szCs w:val="20"/>
          <w:color w:val="auto"/>
        </w:rPr>
      </w:pPr>
    </w:p>
    <w:p>
      <w:pPr>
        <w:ind w:right="2519"/>
        <w:spacing w:after="0" w:line="276" w:lineRule="auto"/>
        <w:rPr>
          <w:sz w:val="20"/>
          <w:szCs w:val="20"/>
          <w:color w:val="auto"/>
        </w:rPr>
      </w:pPr>
      <w:r>
        <w:rPr>
          <w:rFonts w:ascii="Courier New" w:cs="Courier New" w:eastAsia="Courier New" w:hAnsi="Courier New"/>
          <w:sz w:val="16"/>
          <w:szCs w:val="16"/>
          <w:color w:val="auto"/>
        </w:rPr>
        <w:t>Our operating results, including those of our more specialized operations, continue to be negatively impacted by the worldwide economic conditions, and during the first six months of 2003, the results of certain of our specialized operations were below the level forecasted during our most recent impairment review. During the third quarter, we will perform our annual impairment review for 2003.</w:t>
      </w:r>
    </w:p>
    <w:p>
      <w:pPr>
        <w:spacing w:after="0" w:line="76" w:lineRule="exact"/>
        <w:rPr>
          <w:sz w:val="20"/>
          <w:szCs w:val="20"/>
          <w:color w:val="auto"/>
        </w:rPr>
      </w:pPr>
    </w:p>
    <w:p>
      <w:pPr>
        <w:ind w:right="2439"/>
        <w:spacing w:after="0" w:line="282" w:lineRule="auto"/>
        <w:rPr>
          <w:sz w:val="20"/>
          <w:szCs w:val="20"/>
          <w:color w:val="auto"/>
        </w:rPr>
      </w:pPr>
      <w:r>
        <w:rPr>
          <w:rFonts w:ascii="Courier New" w:cs="Courier New" w:eastAsia="Courier New" w:hAnsi="Courier New"/>
          <w:sz w:val="16"/>
          <w:szCs w:val="16"/>
          <w:color w:val="auto"/>
        </w:rPr>
        <w:t>Lower earnings levels, or changes to other assumptions, could significantly impact our estimate of the fair value of our reporting units. Such a change could result in a goodwill impairment charge, which could have a significant impact on the reportable segments that include the related acquisitions and our consolidated financial statements.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Legal Regulations</w:t>
      </w:r>
    </w:p>
    <w:p>
      <w:pPr>
        <w:spacing w:after="0" w:line="198" w:lineRule="exact"/>
        <w:rPr>
          <w:sz w:val="20"/>
          <w:szCs w:val="20"/>
          <w:color w:val="auto"/>
        </w:rPr>
      </w:pPr>
    </w:p>
    <w:p>
      <w:pPr>
        <w:ind w:right="2439"/>
        <w:spacing w:after="0" w:line="272" w:lineRule="auto"/>
        <w:rPr>
          <w:sz w:val="20"/>
          <w:szCs w:val="20"/>
          <w:color w:val="auto"/>
        </w:rPr>
      </w:pPr>
      <w:r>
        <w:rPr>
          <w:rFonts w:ascii="Courier New" w:cs="Courier New" w:eastAsia="Courier New" w:hAnsi="Courier New"/>
          <w:sz w:val="16"/>
          <w:szCs w:val="16"/>
          <w:color w:val="auto"/>
        </w:rPr>
        <w:t>During 2002, the French government passed legislation related to various social programs, including the 35-hour workweek, minimum working wage and social contribution subsidies. At the time of filing our 2002 Annual Report to Shareholders it was difficult to estimate the impact of these changes on our future financial results. We estimated at the time that the maximum possible impact of the legislation would be a reduction of euro 10 million in gross profit in each of the second half of 2003 and the first half of 2004.</w:t>
      </w:r>
    </w:p>
    <w:p>
      <w:pPr>
        <w:spacing w:after="0" w:line="79" w:lineRule="exact"/>
        <w:rPr>
          <w:sz w:val="20"/>
          <w:szCs w:val="20"/>
          <w:color w:val="auto"/>
        </w:rPr>
      </w:pPr>
    </w:p>
    <w:p>
      <w:pPr>
        <w:ind w:right="2439"/>
        <w:spacing w:after="0" w:line="314" w:lineRule="auto"/>
        <w:rPr>
          <w:sz w:val="20"/>
          <w:szCs w:val="20"/>
          <w:color w:val="auto"/>
        </w:rPr>
      </w:pPr>
      <w:r>
        <w:rPr>
          <w:rFonts w:ascii="Courier New" w:cs="Courier New" w:eastAsia="Courier New" w:hAnsi="Courier New"/>
          <w:sz w:val="16"/>
          <w:szCs w:val="16"/>
          <w:color w:val="auto"/>
        </w:rPr>
        <w:t>The rules surrounding these social programs have now been finalized and we do not anticipate that there will be a material impact on our financial results in either 2003 or 2004.</w:t>
      </w:r>
    </w:p>
    <w:p>
      <w:pPr>
        <w:spacing w:after="0" w:line="47" w:lineRule="exact"/>
        <w:rPr>
          <w:sz w:val="20"/>
          <w:szCs w:val="20"/>
          <w:color w:val="auto"/>
        </w:rPr>
      </w:pPr>
    </w:p>
    <w:p>
      <w:pPr>
        <w:ind w:right="2439"/>
        <w:spacing w:after="0" w:line="314" w:lineRule="auto"/>
        <w:rPr>
          <w:sz w:val="20"/>
          <w:szCs w:val="20"/>
          <w:color w:val="auto"/>
        </w:rPr>
      </w:pPr>
      <w:r>
        <w:rPr>
          <w:rFonts w:ascii="Courier New" w:cs="Courier New" w:eastAsia="Courier New" w:hAnsi="Courier New"/>
          <w:sz w:val="16"/>
          <w:szCs w:val="16"/>
          <w:color w:val="auto"/>
        </w:rPr>
        <w:t>In 2002, the European Commission released proposed legislation, the Agency Workers Directive ("AWD"), aimed at improving the quality of temporary staffing work through a principle of</w:t>
      </w:r>
    </w:p>
    <w:p>
      <w:pPr>
        <w:spacing w:after="0" w:line="47"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414" w:right="1440" w:bottom="1440" w:gutter="0" w:footer="0" w:header="0"/>
        </w:sectPr>
      </w:pPr>
    </w:p>
    <w:bookmarkStart w:id="17" w:name="page18"/>
    <w:bookmarkEnd w:id="17"/>
    <w:p>
      <w:pPr>
        <w:ind w:right="2439"/>
        <w:spacing w:after="0" w:line="282" w:lineRule="auto"/>
        <w:rPr>
          <w:sz w:val="20"/>
          <w:szCs w:val="20"/>
          <w:color w:val="auto"/>
        </w:rPr>
      </w:pPr>
      <w:r>
        <w:rPr>
          <w:rFonts w:ascii="Courier New" w:cs="Courier New" w:eastAsia="Courier New" w:hAnsi="Courier New"/>
          <w:sz w:val="16"/>
          <w:szCs w:val="16"/>
          <w:color w:val="auto"/>
        </w:rPr>
        <w:t>non-discrimination between temporary staff and permanent employees. The AWD is no longer being discussed in the European Parliament, and it is not expected to be passed in its current form, if at all. Given the uncertainty surrounding the AWD, we cannot currently estimate the impact, if any, on the future results of our European operations or our consolidated financial statements.</w:t>
      </w:r>
    </w:p>
    <w:p>
      <w:pPr>
        <w:spacing w:after="0" w:line="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Recently Issued Accounting Standards</w:t>
      </w:r>
    </w:p>
    <w:p>
      <w:pPr>
        <w:spacing w:after="0" w:line="198" w:lineRule="exact"/>
        <w:rPr>
          <w:sz w:val="20"/>
          <w:szCs w:val="20"/>
          <w:color w:val="auto"/>
        </w:rPr>
      </w:pPr>
    </w:p>
    <w:p>
      <w:pPr>
        <w:ind w:right="2339"/>
        <w:spacing w:after="0" w:line="272" w:lineRule="auto"/>
        <w:rPr>
          <w:sz w:val="20"/>
          <w:szCs w:val="20"/>
          <w:color w:val="auto"/>
        </w:rPr>
      </w:pPr>
      <w:r>
        <w:rPr>
          <w:rFonts w:ascii="Courier New" w:cs="Courier New" w:eastAsia="Courier New" w:hAnsi="Courier New"/>
          <w:sz w:val="16"/>
          <w:szCs w:val="16"/>
          <w:color w:val="auto"/>
        </w:rPr>
        <w:t>During April 2003, the Financial Accounting Standards Board ("FASB") issued Statement of Accounting Standards ("SFAS") No. 149, "Amendment of Statement 133 on Derivative Instruments and Hedging Activities," which amends and clarifies financial accounting and reporting for certain derivative instruments. We do not anticipate the adoption of this statement to have a material impact on our consolidated financial statements, as we are not currently a party to derivative financial instruments addressed by this standard.</w:t>
      </w:r>
    </w:p>
    <w:p>
      <w:pPr>
        <w:spacing w:after="0" w:line="79" w:lineRule="exact"/>
        <w:rPr>
          <w:sz w:val="20"/>
          <w:szCs w:val="20"/>
          <w:color w:val="auto"/>
        </w:rPr>
      </w:pPr>
    </w:p>
    <w:p>
      <w:pPr>
        <w:ind w:right="2339"/>
        <w:spacing w:after="0" w:line="272" w:lineRule="auto"/>
        <w:rPr>
          <w:sz w:val="20"/>
          <w:szCs w:val="20"/>
          <w:color w:val="auto"/>
        </w:rPr>
      </w:pPr>
      <w:r>
        <w:rPr>
          <w:rFonts w:ascii="Courier New" w:cs="Courier New" w:eastAsia="Courier New" w:hAnsi="Courier New"/>
          <w:sz w:val="16"/>
          <w:szCs w:val="16"/>
          <w:color w:val="auto"/>
        </w:rPr>
        <w:t>During May 2003, the FASB issued SFAS No. 150, "Accounting for Certain Financial Instruments with Characteristics of both Liabilities and Equity," which establishes standards for the classification and measurement of certain financial instruments with characteristics of both liabilities and equity. We do not anticipate the adoption of this statement to have a material impact on our consolidated financial statements, as we are not currently a party to such instruments addressed by this standard.</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8" w:lineRule="exact"/>
        <w:rPr>
          <w:sz w:val="20"/>
          <w:szCs w:val="20"/>
          <w:color w:val="auto"/>
        </w:rPr>
      </w:pPr>
    </w:p>
    <w:p>
      <w:pPr>
        <w:ind w:right="2339"/>
        <w:spacing w:after="0" w:line="260" w:lineRule="auto"/>
        <w:rPr>
          <w:sz w:val="20"/>
          <w:szCs w:val="20"/>
          <w:color w:val="auto"/>
        </w:rPr>
      </w:pPr>
      <w:r>
        <w:rPr>
          <w:rFonts w:ascii="Courier New" w:cs="Courier New" w:eastAsia="Courier New" w:hAnsi="Courier New"/>
          <w:sz w:val="16"/>
          <w:szCs w:val="16"/>
          <w:color w:val="auto"/>
        </w:rPr>
        <w:t>Statements made in this quarterly report that are not statements of historical fact are forward-looking statements. All forward-looking statements involve risks and uncertainties. The information under the heading "Forward-Looking Statements" in our Annual Report on Form 10-K for the year ended December 31, 2002, which information is incorporated herein by reference, provides cautionary statements identifying, for purposes of the safe harbor provisions of the Private Securities Litigation Reform Act of 1995, important factors that could cause our actual results to differ materially from those contained in the forward-looking statements. Some or all of the factors identified in our Annual Report on Form 10-K may be beyond our control. Forward-looking statements can be identified by words such as "expect", "anticipate", "intend", "plan", "may", "will", "believe", "seek", "estimate", and similar expressions. We caution that any forward-looking statement reflects only our belief at the time the statement is made. We undertake no obligation to update any forward-looking statements to reflect subsequent events or circumstances.</w:t>
      </w:r>
    </w:p>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 Quantitative and Qualitative Disclosures About Market Risk</w:t>
      </w:r>
    </w:p>
    <w:p>
      <w:pPr>
        <w:spacing w:after="0" w:line="198" w:lineRule="exact"/>
        <w:rPr>
          <w:sz w:val="20"/>
          <w:szCs w:val="20"/>
          <w:color w:val="auto"/>
        </w:rPr>
      </w:pPr>
    </w:p>
    <w:p>
      <w:pPr>
        <w:ind w:right="2619"/>
        <w:spacing w:after="0" w:line="282" w:lineRule="auto"/>
        <w:rPr>
          <w:sz w:val="20"/>
          <w:szCs w:val="20"/>
          <w:color w:val="auto"/>
        </w:rPr>
      </w:pPr>
      <w:r>
        <w:rPr>
          <w:rFonts w:ascii="Courier New" w:cs="Courier New" w:eastAsia="Courier New" w:hAnsi="Courier New"/>
          <w:sz w:val="16"/>
          <w:szCs w:val="16"/>
          <w:color w:val="auto"/>
        </w:rPr>
        <w:t>Our 2002 Annual Report on Form 10-K contains certain disclosures about market risks affecting us. There have been no material changes to the information provided which would require additional disclosures as of the date of this filing, except for the termination of our interest rate swap agreement with a notional value of Yen4,000.0 million that was previously identified.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466"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6"/>
          <w:szCs w:val="16"/>
          <w:color w:val="auto"/>
        </w:rPr>
        <w:t>Item 4 - Controls and Procedures</w:t>
      </w:r>
    </w:p>
    <w:p>
      <w:pPr>
        <w:spacing w:after="0" w:line="198" w:lineRule="exact"/>
        <w:rPr>
          <w:sz w:val="20"/>
          <w:szCs w:val="20"/>
          <w:color w:val="auto"/>
        </w:rPr>
      </w:pPr>
    </w:p>
    <w:p>
      <w:pPr>
        <w:ind w:right="2339"/>
        <w:spacing w:after="0" w:line="262" w:lineRule="auto"/>
        <w:rPr>
          <w:sz w:val="20"/>
          <w:szCs w:val="20"/>
          <w:color w:val="auto"/>
        </w:rPr>
      </w:pPr>
      <w:r>
        <w:rPr>
          <w:rFonts w:ascii="Courier New" w:cs="Courier New" w:eastAsia="Courier New" w:hAnsi="Courier New"/>
          <w:sz w:val="16"/>
          <w:szCs w:val="16"/>
          <w:color w:val="auto"/>
        </w:rPr>
        <w:t>We maintain a set of disclosure controls and procedures that are designed to ensure that information required to be disclosed by us in the reports filed by us under the Securities Exchange Act of 1934, as amended ("Exchange Act") is recorded, processed, summarized and reported within the time periods specified in the SEC's rules and forms. We carried out an evaluation, under the supervision and with the participation of our management, including our Chairman and Chief Executive Officer and our Executive Vice President and Chief Financial Officer, of the effectiveness of the design and operation of our disclosure controls and procedures pursuant to Rule 13a-15 of the Exchange Act. Based on that evaluation, our Chairman and Chief Executive Officer and our Executive Vice President and Chief Financial Officer concluded that our disclosure controls and procedures are effective as of the end of the period covered by this report.</w:t>
      </w:r>
    </w:p>
    <w:p>
      <w:pPr>
        <w:spacing w:after="0" w:line="90" w:lineRule="exact"/>
        <w:rPr>
          <w:sz w:val="20"/>
          <w:szCs w:val="20"/>
          <w:color w:val="auto"/>
        </w:rPr>
      </w:pPr>
    </w:p>
    <w:p>
      <w:pPr>
        <w:ind w:right="2439"/>
        <w:spacing w:after="0" w:line="293" w:lineRule="auto"/>
        <w:rPr>
          <w:sz w:val="20"/>
          <w:szCs w:val="20"/>
          <w:color w:val="auto"/>
        </w:rPr>
      </w:pPr>
      <w:r>
        <w:rPr>
          <w:rFonts w:ascii="Courier New" w:cs="Courier New" w:eastAsia="Courier New" w:hAnsi="Courier New"/>
          <w:sz w:val="16"/>
          <w:szCs w:val="16"/>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4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1413" w:right="1440" w:bottom="1440" w:gutter="0" w:footer="0" w:header="0"/>
        </w:sectPr>
      </w:pPr>
    </w:p>
    <w:bookmarkStart w:id="19" w:name="page20"/>
    <w:bookmarkEnd w:id="19"/>
    <w:p>
      <w:pPr>
        <w:ind w:left="2660"/>
        <w:spacing w:after="0"/>
        <w:rPr>
          <w:sz w:val="20"/>
          <w:szCs w:val="20"/>
          <w:color w:val="auto"/>
        </w:rPr>
      </w:pPr>
      <w:r>
        <w:rPr>
          <w:rFonts w:ascii="Courier New" w:cs="Courier New" w:eastAsia="Courier New" w:hAnsi="Courier New"/>
          <w:sz w:val="16"/>
          <w:szCs w:val="16"/>
          <w:color w:val="auto"/>
        </w:rPr>
        <w:t>PART II - OTHER INFORMATION</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4 - Submission of Matters to a Vote of Security Holders</w:t>
      </w:r>
    </w:p>
    <w:p>
      <w:pPr>
        <w:spacing w:after="0" w:line="198" w:lineRule="exact"/>
        <w:rPr>
          <w:sz w:val="20"/>
          <w:szCs w:val="20"/>
          <w:color w:val="auto"/>
        </w:rPr>
      </w:pPr>
    </w:p>
    <w:p>
      <w:pPr>
        <w:ind w:right="1000"/>
        <w:spacing w:after="0" w:line="266" w:lineRule="auto"/>
        <w:rPr>
          <w:sz w:val="20"/>
          <w:szCs w:val="20"/>
          <w:color w:val="auto"/>
        </w:rPr>
      </w:pPr>
      <w:r>
        <w:rPr>
          <w:rFonts w:ascii="Courier New" w:cs="Courier New" w:eastAsia="Courier New" w:hAnsi="Courier New"/>
          <w:sz w:val="16"/>
          <w:szCs w:val="16"/>
          <w:color w:val="auto"/>
        </w:rPr>
        <w:t>On April 29, 2003, at our Annual Meeting of Shareholders (the "Annual Meeting") our shareholders voted on proposals to: (1) elect three directors to serve until 2006 as Class I directors; (2) approve the 2003 Equity Incentive Plan of Manpower Inc.; and (3) ratify the appointment of PricewaterhouseCoopers LLP as our independent auditors for 2003. In addition, Willie D. Davis and Terry A. Hueneke continued as Class II directors (term expiring 2004), and J. Thomas Bouchard, Rozanne L. Ridgeway and Edward J. Zore continued as Class III directors (term expiring 2005). The results of the proposals voted upon at the Annual Meeting are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5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For</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Against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Withheld</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580" w:type="dxa"/>
            <w:vAlign w:val="bottom"/>
          </w:tcPr>
          <w:p>
            <w:pPr>
              <w:jc w:val="right"/>
              <w:ind w:right="518"/>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9"/>
        </w:trPr>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3"/>
              </w:rPr>
              <w:t>1.</w:t>
            </w: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a)</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Election of</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Jeffery A. Joerres</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64,200,146</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761,013</w:t>
            </w:r>
          </w:p>
        </w:tc>
        <w:tc>
          <w:tcPr>
            <w:tcW w:w="0" w:type="dxa"/>
            <w:vAlign w:val="bottom"/>
          </w:tcPr>
          <w:p>
            <w:pPr>
              <w:spacing w:after="0"/>
              <w:rPr>
                <w:sz w:val="1"/>
                <w:szCs w:val="1"/>
                <w:color w:val="auto"/>
              </w:rPr>
            </w:pPr>
          </w:p>
        </w:tc>
      </w:tr>
      <w:tr>
        <w:trPr>
          <w:trHeight w:val="379"/>
        </w:trPr>
        <w:tc>
          <w:tcPr>
            <w:tcW w:w="3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b)</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Election of</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Dennis Stevenson</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41,221,430</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23,739,729</w:t>
            </w:r>
          </w:p>
        </w:tc>
        <w:tc>
          <w:tcPr>
            <w:tcW w:w="0" w:type="dxa"/>
            <w:vAlign w:val="bottom"/>
          </w:tcPr>
          <w:p>
            <w:pPr>
              <w:spacing w:after="0"/>
              <w:rPr>
                <w:sz w:val="1"/>
                <w:szCs w:val="1"/>
                <w:color w:val="auto"/>
              </w:rPr>
            </w:pPr>
          </w:p>
        </w:tc>
      </w:tr>
      <w:tr>
        <w:trPr>
          <w:trHeight w:val="379"/>
        </w:trPr>
        <w:tc>
          <w:tcPr>
            <w:tcW w:w="3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c)</w:t>
            </w:r>
          </w:p>
        </w:tc>
        <w:tc>
          <w:tcPr>
            <w:tcW w:w="1180" w:type="dxa"/>
            <w:vAlign w:val="bottom"/>
          </w:tcPr>
          <w:p>
            <w:pPr>
              <w:ind w:left="40"/>
              <w:spacing w:after="0"/>
              <w:rPr>
                <w:sz w:val="20"/>
                <w:szCs w:val="20"/>
                <w:color w:val="auto"/>
              </w:rPr>
            </w:pPr>
            <w:r>
              <w:rPr>
                <w:rFonts w:ascii="Courier New" w:cs="Courier New" w:eastAsia="Courier New" w:hAnsi="Courier New"/>
                <w:sz w:val="16"/>
                <w:szCs w:val="16"/>
                <w:color w:val="auto"/>
              </w:rPr>
              <w:t>Election of</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John R. Walter</w:t>
            </w:r>
          </w:p>
        </w:tc>
        <w:tc>
          <w:tcPr>
            <w:tcW w:w="15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61,585,289</w:t>
            </w:r>
          </w:p>
        </w:tc>
        <w:tc>
          <w:tcPr>
            <w:tcW w:w="13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3,375,870</w:t>
            </w:r>
          </w:p>
        </w:tc>
        <w:tc>
          <w:tcPr>
            <w:tcW w:w="0" w:type="dxa"/>
            <w:vAlign w:val="bottom"/>
          </w:tcPr>
          <w:p>
            <w:pPr>
              <w:spacing w:after="0"/>
              <w:rPr>
                <w:sz w:val="1"/>
                <w:szCs w:val="1"/>
                <w:color w:val="auto"/>
              </w:rPr>
            </w:pPr>
          </w:p>
        </w:tc>
      </w:tr>
      <w:tr>
        <w:trPr>
          <w:trHeight w:val="292"/>
        </w:trPr>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3"/>
              </w:rPr>
              <w:t>2.</w:t>
            </w:r>
          </w:p>
        </w:tc>
        <w:tc>
          <w:tcPr>
            <w:tcW w:w="1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Approval of the</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2003 Equity Incentive</w:t>
            </w:r>
          </w:p>
        </w:tc>
        <w:tc>
          <w:tcPr>
            <w:tcW w:w="15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41,336,927</w:t>
            </w:r>
          </w:p>
        </w:tc>
        <w:tc>
          <w:tcPr>
            <w:tcW w:w="13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19,408,954</w:t>
            </w:r>
          </w:p>
        </w:tc>
        <w:tc>
          <w:tcPr>
            <w:tcW w:w="11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424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Plan of Manpower Inc.</w:t>
            </w:r>
          </w:p>
        </w:tc>
        <w:tc>
          <w:tcPr>
            <w:tcW w:w="158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3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93"/>
              </w:rPr>
              <w:t>3.</w:t>
            </w:r>
          </w:p>
        </w:tc>
        <w:tc>
          <w:tcPr>
            <w:tcW w:w="16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Ratification of</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PricewaterhouseCoopers</w:t>
            </w:r>
          </w:p>
        </w:tc>
        <w:tc>
          <w:tcPr>
            <w:tcW w:w="15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63,938,071</w:t>
            </w:r>
          </w:p>
        </w:tc>
        <w:tc>
          <w:tcPr>
            <w:tcW w:w="13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1,007,181</w:t>
            </w:r>
          </w:p>
        </w:tc>
        <w:tc>
          <w:tcPr>
            <w:tcW w:w="11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300" w:type="dxa"/>
            <w:vAlign w:val="bottom"/>
          </w:tcPr>
          <w:p>
            <w:pPr>
              <w:spacing w:after="0"/>
              <w:rPr>
                <w:sz w:val="24"/>
                <w:szCs w:val="24"/>
                <w:color w:val="auto"/>
              </w:rPr>
            </w:pPr>
          </w:p>
        </w:tc>
        <w:tc>
          <w:tcPr>
            <w:tcW w:w="440" w:type="dxa"/>
            <w:vAlign w:val="bottom"/>
          </w:tcPr>
          <w:p>
            <w:pPr>
              <w:ind w:left="100"/>
              <w:spacing w:after="0"/>
              <w:rPr>
                <w:sz w:val="20"/>
                <w:szCs w:val="20"/>
                <w:color w:val="auto"/>
              </w:rPr>
            </w:pPr>
            <w:r>
              <w:rPr>
                <w:rFonts w:ascii="Courier New" w:cs="Courier New" w:eastAsia="Courier New" w:hAnsi="Courier New"/>
                <w:sz w:val="16"/>
                <w:szCs w:val="16"/>
                <w:color w:val="auto"/>
              </w:rPr>
              <w:t>LLP</w:t>
            </w:r>
          </w:p>
        </w:tc>
        <w:tc>
          <w:tcPr>
            <w:tcW w:w="38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as independent auditors</w:t>
            </w:r>
          </w:p>
        </w:tc>
        <w:tc>
          <w:tcPr>
            <w:tcW w:w="158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1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 Other Information</w:t>
      </w:r>
    </w:p>
    <w:p>
      <w:pPr>
        <w:spacing w:after="0" w:line="198" w:lineRule="exact"/>
        <w:rPr>
          <w:sz w:val="20"/>
          <w:szCs w:val="20"/>
          <w:color w:val="auto"/>
        </w:rPr>
      </w:pPr>
    </w:p>
    <w:p>
      <w:pPr>
        <w:ind w:right="1100"/>
        <w:spacing w:after="0" w:line="299" w:lineRule="auto"/>
        <w:rPr>
          <w:sz w:val="20"/>
          <w:szCs w:val="20"/>
          <w:color w:val="auto"/>
        </w:rPr>
      </w:pPr>
      <w:r>
        <w:rPr>
          <w:rFonts w:ascii="Courier New" w:cs="Courier New" w:eastAsia="Courier New" w:hAnsi="Courier New"/>
          <w:sz w:val="16"/>
          <w:szCs w:val="16"/>
          <w:color w:val="auto"/>
        </w:rPr>
        <w:t>The following audit-related and non-audit services performed or to be performed for us by our independent auditors, PricewaterhouseCoopers, LLP were pre-approved in accordance with our policy on non-audit services during the second quarter:</w:t>
      </w:r>
    </w:p>
    <w:p>
      <w:pPr>
        <w:spacing w:after="0" w:line="271" w:lineRule="exact"/>
        <w:rPr>
          <w:sz w:val="20"/>
          <w:szCs w:val="20"/>
          <w:color w:val="auto"/>
        </w:rPr>
      </w:pPr>
    </w:p>
    <w:p>
      <w:pPr>
        <w:ind w:left="700" w:hanging="403"/>
        <w:spacing w:after="0"/>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audit-related services including:</w:t>
      </w:r>
    </w:p>
    <w:p>
      <w:pPr>
        <w:spacing w:after="0" w:line="197" w:lineRule="exact"/>
        <w:rPr>
          <w:rFonts w:ascii="Courier New" w:cs="Courier New" w:eastAsia="Courier New" w:hAnsi="Courier New"/>
          <w:sz w:val="16"/>
          <w:szCs w:val="16"/>
          <w:color w:val="auto"/>
        </w:rPr>
      </w:pPr>
    </w:p>
    <w:p>
      <w:pPr>
        <w:ind w:left="1080" w:right="1180" w:hanging="389"/>
        <w:spacing w:after="0" w:line="376" w:lineRule="auto"/>
        <w:tabs>
          <w:tab w:leader="none" w:pos="10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provision of audits and reviews of pension and other retirement plans and related consultation;</w:t>
      </w:r>
    </w:p>
    <w:p>
      <w:pPr>
        <w:ind w:left="1180" w:right="1100" w:hanging="489"/>
        <w:spacing w:after="0" w:line="376" w:lineRule="auto"/>
        <w:tabs>
          <w:tab w:leader="none" w:pos="11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assistance and consultation regarding the application of accounting principles;</w:t>
      </w:r>
    </w:p>
    <w:p>
      <w:pPr>
        <w:ind w:left="1280" w:hanging="589"/>
        <w:spacing w:after="0"/>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assistance in the registration and issuance of securities; and</w:t>
      </w:r>
    </w:p>
    <w:p>
      <w:pPr>
        <w:spacing w:after="0" w:line="197" w:lineRule="exact"/>
        <w:rPr>
          <w:rFonts w:ascii="Courier New" w:cs="Courier New" w:eastAsia="Courier New" w:hAnsi="Courier New"/>
          <w:sz w:val="16"/>
          <w:szCs w:val="16"/>
          <w:color w:val="auto"/>
        </w:rPr>
      </w:pPr>
    </w:p>
    <w:p>
      <w:pPr>
        <w:ind w:left="1180" w:hanging="489"/>
        <w:spacing w:after="0"/>
        <w:tabs>
          <w:tab w:leader="none" w:pos="11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advisory services related to our Section 404 documentation.</w:t>
      </w:r>
    </w:p>
    <w:p>
      <w:pPr>
        <w:spacing w:after="0" w:line="197" w:lineRule="exact"/>
        <w:rPr>
          <w:rFonts w:ascii="Courier New" w:cs="Courier New" w:eastAsia="Courier New" w:hAnsi="Courier New"/>
          <w:sz w:val="16"/>
          <w:szCs w:val="16"/>
          <w:color w:val="auto"/>
        </w:rPr>
      </w:pPr>
    </w:p>
    <w:p>
      <w:pPr>
        <w:ind w:left="700" w:right="1780" w:hanging="403"/>
        <w:spacing w:after="0" w:line="376" w:lineRule="auto"/>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assistance in the preparation and filing of our international tax returns;</w:t>
      </w:r>
    </w:p>
    <w:p>
      <w:pPr>
        <w:ind w:left="700" w:hanging="403"/>
        <w:spacing w:after="0"/>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federal, state and international tax planning strategies; and</w:t>
      </w:r>
    </w:p>
    <w:p>
      <w:pPr>
        <w:spacing w:after="0" w:line="197" w:lineRule="exact"/>
        <w:rPr>
          <w:rFonts w:ascii="Courier New" w:cs="Courier New" w:eastAsia="Courier New" w:hAnsi="Courier New"/>
          <w:sz w:val="16"/>
          <w:szCs w:val="16"/>
          <w:color w:val="auto"/>
        </w:rPr>
      </w:pPr>
    </w:p>
    <w:p>
      <w:pPr>
        <w:ind w:left="700" w:hanging="403"/>
        <w:spacing w:after="0"/>
        <w:tabs>
          <w:tab w:leader="none" w:pos="7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pricing documentation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000" w:type="dxa"/>
            <w:vAlign w:val="bottom"/>
            <w:vMerge w:val="restart"/>
          </w:tcPr>
          <w:p>
            <w:pPr>
              <w:spacing w:after="0"/>
              <w:rPr>
                <w:sz w:val="20"/>
                <w:szCs w:val="20"/>
                <w:color w:val="auto"/>
              </w:rPr>
            </w:pPr>
            <w:r>
              <w:rPr>
                <w:rFonts w:ascii="Courier New" w:cs="Courier New" w:eastAsia="Courier New" w:hAnsi="Courier New"/>
                <w:sz w:val="16"/>
                <w:szCs w:val="16"/>
                <w:color w:val="auto"/>
              </w:rPr>
              <w:t>Abstain</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Broker</w:t>
            </w:r>
          </w:p>
        </w:tc>
        <w:tc>
          <w:tcPr>
            <w:tcW w:w="0" w:type="dxa"/>
            <w:vAlign w:val="bottom"/>
          </w:tcPr>
          <w:p>
            <w:pPr>
              <w:spacing w:after="0"/>
              <w:rPr>
                <w:sz w:val="1"/>
                <w:szCs w:val="1"/>
                <w:color w:val="auto"/>
              </w:rPr>
            </w:pPr>
          </w:p>
        </w:tc>
      </w:tr>
      <w:tr>
        <w:trPr>
          <w:trHeight w:val="190"/>
        </w:trPr>
        <w:tc>
          <w:tcPr>
            <w:tcW w:w="1000" w:type="dxa"/>
            <w:vAlign w:val="bottom"/>
            <w:vMerge w:val="continue"/>
          </w:tcPr>
          <w:p>
            <w:pPr>
              <w:spacing w:after="0"/>
              <w:rPr>
                <w:sz w:val="16"/>
                <w:szCs w:val="16"/>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Non-Vote</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9"/>
        </w:trPr>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9"/>
        </w:trPr>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79"/>
        </w:trPr>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69"/>
        </w:trPr>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471,412</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3,743,866</w:t>
            </w:r>
          </w:p>
        </w:tc>
        <w:tc>
          <w:tcPr>
            <w:tcW w:w="0" w:type="dxa"/>
            <w:vAlign w:val="bottom"/>
          </w:tcPr>
          <w:p>
            <w:pPr>
              <w:spacing w:after="0"/>
              <w:rPr>
                <w:sz w:val="1"/>
                <w:szCs w:val="1"/>
                <w:color w:val="auto"/>
              </w:rPr>
            </w:pPr>
          </w:p>
        </w:tc>
      </w:tr>
      <w:tr>
        <w:trPr>
          <w:trHeight w:val="569"/>
        </w:trPr>
        <w:tc>
          <w:tcPr>
            <w:tcW w:w="1000" w:type="dxa"/>
            <w:vAlign w:val="bottom"/>
          </w:tcPr>
          <w:p>
            <w:pPr>
              <w:jc w:val="center"/>
              <w:spacing w:after="0"/>
              <w:rPr>
                <w:sz w:val="20"/>
                <w:szCs w:val="20"/>
                <w:color w:val="auto"/>
              </w:rPr>
            </w:pPr>
            <w:r>
              <w:rPr>
                <w:rFonts w:ascii="Courier New" w:cs="Courier New" w:eastAsia="Courier New" w:hAnsi="Courier New"/>
                <w:sz w:val="16"/>
                <w:szCs w:val="16"/>
                <w:color w:val="auto"/>
              </w:rPr>
              <w:t>15,907</w:t>
            </w:r>
          </w:p>
        </w:tc>
        <w:tc>
          <w:tcPr>
            <w:tcW w:w="10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ectPr>
          <w:pgSz w:w="11900" w:h="16838" w:orient="portrait"/>
          <w:cols w:equalWidth="0" w:num="2">
            <w:col w:w="8880" w:space="580"/>
            <w:col w:w="2060"/>
          </w:cols>
          <w:pgMar w:left="240" w:top="1224" w:right="139"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6"/>
          <w:szCs w:val="16"/>
          <w:color w:val="auto"/>
        </w:rPr>
        <w:t>Item 6 - Exhibits and Reports on Form 8-K</w:t>
      </w:r>
    </w:p>
    <w:p>
      <w:pPr>
        <w:spacing w:after="0" w:line="198" w:lineRule="exact"/>
        <w:rPr>
          <w:sz w:val="20"/>
          <w:szCs w:val="20"/>
          <w:color w:val="auto"/>
        </w:rPr>
      </w:pPr>
    </w:p>
    <w:p>
      <w:pPr>
        <w:ind w:left="700" w:hanging="403"/>
        <w:spacing w:after="0"/>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7" w:lineRule="exact"/>
        <w:rPr>
          <w:rFonts w:ascii="Courier New" w:cs="Courier New" w:eastAsia="Courier New" w:hAnsi="Courier New"/>
          <w:sz w:val="16"/>
          <w:szCs w:val="16"/>
          <w:color w:val="auto"/>
        </w:rPr>
      </w:pPr>
    </w:p>
    <w:p>
      <w:pPr>
        <w:ind w:left="1780" w:right="2339" w:hanging="1084"/>
        <w:spacing w:after="0" w:line="31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10.1Terms and Conditions Regarding the Grant of Options in Lieu of Cash Directors Fees to Non-Employee Directors Under 2003 Equity Incentive Plan of Manpower Inc.</w:t>
      </w:r>
    </w:p>
    <w:p>
      <w:pPr>
        <w:spacing w:after="0" w:line="46" w:lineRule="exact"/>
        <w:rPr>
          <w:rFonts w:ascii="Courier New" w:cs="Courier New" w:eastAsia="Courier New" w:hAnsi="Courier New"/>
          <w:sz w:val="16"/>
          <w:szCs w:val="16"/>
          <w:color w:val="auto"/>
        </w:rPr>
      </w:pPr>
    </w:p>
    <w:p>
      <w:pPr>
        <w:ind w:left="1780" w:right="2439" w:hanging="1084"/>
        <w:spacing w:after="0" w:line="37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12.1Statement Regarding Computation of Ratio of Earnings to Fixed Charges.</w:t>
      </w:r>
    </w:p>
    <w:p>
      <w:pPr>
        <w:ind w:left="1780" w:right="3019" w:hanging="1084"/>
        <w:spacing w:after="0" w:line="31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99.1Certification of Jeffrey A. Joerres, Chairman and Chief Executive Officer, pursuant to Section 13a-14(a) of the Securities Exchange Act of 1934.</w:t>
      </w:r>
    </w:p>
    <w:p>
      <w:pPr>
        <w:spacing w:after="0" w:line="46" w:lineRule="exact"/>
        <w:rPr>
          <w:rFonts w:ascii="Courier New" w:cs="Courier New" w:eastAsia="Courier New" w:hAnsi="Courier New"/>
          <w:sz w:val="16"/>
          <w:szCs w:val="16"/>
          <w:color w:val="auto"/>
        </w:rPr>
      </w:pPr>
    </w:p>
    <w:p>
      <w:pPr>
        <w:ind w:left="1780" w:right="2719" w:hanging="1084"/>
        <w:spacing w:after="0" w:line="31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99.2Certification of Michael J. Van Handel, Executive Vice President and Chief Financial Officer, pursuant to Section 13a-14(a) of the Securities Exchane Act of 1934.</w:t>
      </w:r>
    </w:p>
    <w:p>
      <w:pPr>
        <w:spacing w:after="0" w:line="46" w:lineRule="exact"/>
        <w:rPr>
          <w:rFonts w:ascii="Courier New" w:cs="Courier New" w:eastAsia="Courier New" w:hAnsi="Courier New"/>
          <w:sz w:val="16"/>
          <w:szCs w:val="16"/>
          <w:color w:val="auto"/>
        </w:rPr>
      </w:pPr>
    </w:p>
    <w:p>
      <w:pPr>
        <w:ind w:left="1780" w:right="2439" w:hanging="1084"/>
        <w:spacing w:after="0" w:line="37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99.3Statement of Jeffrey A. Joerres, Chairman and Chief Executive Officer, pursuant to 18 U.S.C. ss. 1350.</w:t>
      </w:r>
    </w:p>
    <w:p>
      <w:pPr>
        <w:jc w:val="right"/>
        <w:ind w:left="1780" w:right="2519" w:hanging="1084"/>
        <w:spacing w:after="0" w:line="37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99.4Statement of Michael J. Van Handel, Executive Vice President and Chief Financial Officer, pursuant to 18 U.S.C. ss. 1350.</w:t>
      </w:r>
    </w:p>
    <w:p>
      <w:pPr>
        <w:ind w:left="700" w:right="2339" w:hanging="403"/>
        <w:spacing w:after="0" w:line="293" w:lineRule="auto"/>
        <w:tabs>
          <w:tab w:leader="none" w:pos="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quarter ended June 30, 2003, we filed one current report on Form 8-K dated June 12, 2003 with respect to Item 5 -- Other Events and two current reports on Form 8-K dated April 15, 2003 with respect to Item 12 -- Results of Operations and Financial Condition.</w:t>
      </w:r>
    </w:p>
    <w:p>
      <w:pPr>
        <w:spacing w:after="0" w:line="200" w:lineRule="exact"/>
        <w:rPr>
          <w:sz w:val="20"/>
          <w:szCs w:val="20"/>
          <w:color w:val="auto"/>
        </w:rPr>
      </w:pPr>
    </w:p>
    <w:p>
      <w:pPr>
        <w:spacing w:after="0" w:line="242"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1413" w:right="1440" w:bottom="1440" w:gutter="0" w:footer="0" w:header="0"/>
        </w:sectPr>
      </w:pPr>
    </w:p>
    <w:bookmarkStart w:id="21" w:name="page22"/>
    <w:bookmarkEnd w:id="21"/>
    <w:p>
      <w:pPr>
        <w:ind w:left="3060"/>
        <w:spacing w:after="0"/>
        <w:rPr>
          <w:sz w:val="20"/>
          <w:szCs w:val="20"/>
          <w:color w:val="auto"/>
        </w:rPr>
      </w:pPr>
      <w:r>
        <w:rPr>
          <w:rFonts w:ascii="Courier New" w:cs="Courier New" w:eastAsia="Courier New" w:hAnsi="Courier New"/>
          <w:sz w:val="16"/>
          <w:szCs w:val="16"/>
          <w:color w:val="auto"/>
        </w:rPr>
        <w:t>FINANCIAL MEASURES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Constant Currency</w:t>
      </w:r>
    </w:p>
    <w:p>
      <w:pPr>
        <w:spacing w:after="0" w:line="198" w:lineRule="exact"/>
        <w:rPr>
          <w:sz w:val="20"/>
          <w:szCs w:val="20"/>
          <w:color w:val="auto"/>
        </w:rPr>
      </w:pPr>
    </w:p>
    <w:p>
      <w:pPr>
        <w:ind w:right="3060"/>
        <w:spacing w:after="0" w:line="293" w:lineRule="auto"/>
        <w:rPr>
          <w:sz w:val="20"/>
          <w:szCs w:val="20"/>
          <w:color w:val="auto"/>
        </w:rPr>
      </w:pPr>
      <w:r>
        <w:rPr>
          <w:rFonts w:ascii="Courier New" w:cs="Courier New" w:eastAsia="Courier New" w:hAnsi="Courier New"/>
          <w:sz w:val="16"/>
          <w:szCs w:val="16"/>
          <w:color w:val="auto"/>
        </w:rPr>
        <w:t>Changes in our revenues and operating profits include the impact of changes in foreign currency exchange rates. We provide "constant currency" calculations in this Quarterly Report to remove this impact. We typically express year-over-year variances that are calculated in constant currency as a percentage.</w:t>
      </w:r>
    </w:p>
    <w:p>
      <w:pPr>
        <w:spacing w:after="0" w:line="63" w:lineRule="exact"/>
        <w:rPr>
          <w:sz w:val="20"/>
          <w:szCs w:val="20"/>
          <w:color w:val="auto"/>
        </w:rPr>
      </w:pPr>
    </w:p>
    <w:p>
      <w:pPr>
        <w:ind w:right="3060"/>
        <w:spacing w:after="0" w:line="266" w:lineRule="auto"/>
        <w:rPr>
          <w:sz w:val="20"/>
          <w:szCs w:val="20"/>
          <w:color w:val="auto"/>
        </w:rPr>
      </w:pPr>
      <w:r>
        <w:rPr>
          <w:rFonts w:ascii="Courier New" w:cs="Courier New" w:eastAsia="Courier New" w:hAnsi="Courier New"/>
          <w:sz w:val="16"/>
          <w:szCs w:val="16"/>
          <w:color w:val="auto"/>
        </w:rPr>
        <w:t>When we use the term "constant currency," it means that we have translated financial data for a period into U.S. Dollars using the same foreign currency exchange rates that we used to translate financial data for the previous period. We believe that this calculation is a useful measure, indicating the actual growth of our operations. Earnings from our subsidiaries are rarely repatriated to the United States, and we typically do not incur significant gains or losses on foreign currency transactions with our subsidiaries, therefore changes in foreign currency exchange rates generally impact only reported earnings and not our actual cash flow or economic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3 MONTHS ENDED</w:t>
            </w: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6 MONTHS ENDED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80" w:type="dxa"/>
            <w:vAlign w:val="bottom"/>
          </w:tcPr>
          <w:p>
            <w:pPr>
              <w:jc w:val="right"/>
              <w:ind w:right="18"/>
              <w:spacing w:after="0"/>
              <w:rPr>
                <w:sz w:val="20"/>
                <w:szCs w:val="20"/>
                <w:color w:val="auto"/>
              </w:rPr>
            </w:pPr>
            <w:r>
              <w:rPr>
                <w:rFonts w:ascii="Courier New" w:cs="Courier New" w:eastAsia="Courier New" w:hAnsi="Courier New"/>
                <w:sz w:val="16"/>
                <w:szCs w:val="16"/>
                <w:color w:val="auto"/>
              </w:rPr>
              <w:t>JUNE 30, 2003</w:t>
            </w:r>
          </w:p>
        </w:tc>
        <w:tc>
          <w:tcPr>
            <w:tcW w:w="1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JUNE 30, 2003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1420" w:type="dxa"/>
            <w:vAlign w:val="bottom"/>
            <w:vMerge w:val="restart"/>
          </w:tcPr>
          <w:p>
            <w:pPr>
              <w:jc w:val="right"/>
              <w:ind w:right="158"/>
              <w:spacing w:after="0"/>
              <w:rPr>
                <w:sz w:val="20"/>
                <w:szCs w:val="20"/>
                <w:color w:val="auto"/>
              </w:rPr>
            </w:pPr>
            <w:r>
              <w:rPr>
                <w:rFonts w:ascii="Courier New" w:cs="Courier New" w:eastAsia="Courier New" w:hAnsi="Courier New"/>
                <w:sz w:val="16"/>
                <w:szCs w:val="16"/>
                <w:color w:val="auto"/>
              </w:rPr>
              <w:t>Variance in</w:t>
            </w:r>
          </w:p>
        </w:tc>
        <w:tc>
          <w:tcPr>
            <w:tcW w:w="36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34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Reported</w:t>
            </w:r>
          </w:p>
        </w:tc>
        <w:tc>
          <w:tcPr>
            <w:tcW w:w="148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Impact of</w:t>
            </w:r>
          </w:p>
        </w:tc>
        <w:tc>
          <w:tcPr>
            <w:tcW w:w="1420" w:type="dxa"/>
            <w:vAlign w:val="bottom"/>
            <w:vMerge w:val="continue"/>
          </w:tcPr>
          <w:p>
            <w:pPr>
              <w:spacing w:after="0"/>
              <w:rPr>
                <w:sz w:val="16"/>
                <w:szCs w:val="16"/>
                <w:color w:val="auto"/>
              </w:rPr>
            </w:pPr>
          </w:p>
        </w:tc>
        <w:tc>
          <w:tcPr>
            <w:tcW w:w="1040" w:type="dxa"/>
            <w:vAlign w:val="bottom"/>
            <w:vMerge w:val="restart"/>
          </w:tcPr>
          <w:p>
            <w:pPr>
              <w:ind w:left="260"/>
              <w:spacing w:after="0"/>
              <w:rPr>
                <w:sz w:val="20"/>
                <w:szCs w:val="20"/>
                <w:color w:val="auto"/>
              </w:rPr>
            </w:pPr>
            <w:r>
              <w:rPr>
                <w:rFonts w:ascii="Courier New" w:cs="Courier New" w:eastAsia="Courier New" w:hAnsi="Courier New"/>
                <w:sz w:val="16"/>
                <w:szCs w:val="16"/>
                <w:color w:val="auto"/>
                <w:w w:val="98"/>
              </w:rPr>
              <w:t>Reported</w:t>
            </w:r>
          </w:p>
        </w:tc>
        <w:tc>
          <w:tcPr>
            <w:tcW w:w="14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Impact of</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Variance in</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Constant</w:t>
            </w:r>
          </w:p>
        </w:tc>
        <w:tc>
          <w:tcPr>
            <w:tcW w:w="10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Constant</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6"/>
                <w:szCs w:val="16"/>
                <w:color w:val="auto"/>
              </w:rPr>
              <w:t>Variance</w:t>
            </w:r>
          </w:p>
        </w:tc>
        <w:tc>
          <w:tcPr>
            <w:tcW w:w="1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Currency</w:t>
            </w:r>
          </w:p>
        </w:tc>
        <w:tc>
          <w:tcPr>
            <w:tcW w:w="142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Currency</w:t>
            </w:r>
          </w:p>
        </w:tc>
        <w:tc>
          <w:tcPr>
            <w:tcW w:w="1040" w:type="dxa"/>
            <w:vAlign w:val="bottom"/>
          </w:tcPr>
          <w:p>
            <w:pPr>
              <w:ind w:left="260"/>
              <w:spacing w:after="0"/>
              <w:rPr>
                <w:sz w:val="20"/>
                <w:szCs w:val="20"/>
                <w:color w:val="auto"/>
              </w:rPr>
            </w:pPr>
            <w:r>
              <w:rPr>
                <w:rFonts w:ascii="Courier New" w:cs="Courier New" w:eastAsia="Courier New" w:hAnsi="Courier New"/>
                <w:sz w:val="16"/>
                <w:szCs w:val="16"/>
                <w:color w:val="auto"/>
                <w:w w:val="98"/>
              </w:rPr>
              <w:t>Variance</w:t>
            </w:r>
          </w:p>
        </w:tc>
        <w:tc>
          <w:tcPr>
            <w:tcW w:w="14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Currency</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Currency</w:t>
            </w:r>
          </w:p>
        </w:tc>
        <w:tc>
          <w:tcPr>
            <w:tcW w:w="0" w:type="dxa"/>
            <w:vAlign w:val="bottom"/>
          </w:tcPr>
          <w:p>
            <w:pPr>
              <w:spacing w:after="0"/>
              <w:rPr>
                <w:sz w:val="1"/>
                <w:szCs w:val="1"/>
                <w:color w:val="auto"/>
              </w:rPr>
            </w:pPr>
          </w:p>
        </w:tc>
      </w:tr>
      <w:tr>
        <w:trPr>
          <w:trHeight w:val="190"/>
        </w:trPr>
        <w:tc>
          <w:tcPr>
            <w:tcW w:w="2900" w:type="dxa"/>
            <w:vAlign w:val="bottom"/>
          </w:tcPr>
          <w:p>
            <w:pPr>
              <w:spacing w:after="0"/>
              <w:rPr>
                <w:sz w:val="16"/>
                <w:szCs w:val="16"/>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8"/>
              </w:rPr>
              <w:t>-------------------------------------</w:t>
            </w:r>
          </w:p>
        </w:tc>
        <w:tc>
          <w:tcPr>
            <w:tcW w:w="1420" w:type="dxa"/>
            <w:vAlign w:val="bottom"/>
          </w:tcPr>
          <w:p>
            <w:pPr>
              <w:spacing w:after="0"/>
              <w:rPr>
                <w:sz w:val="16"/>
                <w:szCs w:val="16"/>
                <w:color w:val="auto"/>
              </w:rPr>
            </w:pPr>
          </w:p>
        </w:tc>
        <w:tc>
          <w:tcPr>
            <w:tcW w:w="360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2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60" w:type="dxa"/>
            <w:vAlign w:val="bottom"/>
            <w:gridSpan w:val="2"/>
          </w:tcPr>
          <w:p>
            <w:pPr>
              <w:ind w:left="680"/>
              <w:spacing w:after="0"/>
              <w:rPr>
                <w:sz w:val="20"/>
                <w:szCs w:val="20"/>
                <w:color w:val="auto"/>
              </w:rPr>
            </w:pPr>
            <w:r>
              <w:rPr>
                <w:rFonts w:ascii="Courier New" w:cs="Courier New" w:eastAsia="Courier New" w:hAnsi="Courier New"/>
                <w:sz w:val="16"/>
                <w:szCs w:val="16"/>
                <w:color w:val="auto"/>
              </w:rPr>
              <w:t>(Unaudited)</w:t>
            </w: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1340" w:type="dxa"/>
            <w:vAlign w:val="bottom"/>
            <w:vMerge w:val="restart"/>
          </w:tcPr>
          <w:p>
            <w:pPr>
              <w:ind w:left="640"/>
              <w:spacing w:after="0"/>
              <w:rPr>
                <w:sz w:val="20"/>
                <w:szCs w:val="20"/>
                <w:color w:val="auto"/>
              </w:rPr>
            </w:pPr>
            <w:r>
              <w:rPr>
                <w:rFonts w:ascii="Courier New" w:cs="Courier New" w:eastAsia="Courier New" w:hAnsi="Courier New"/>
                <w:sz w:val="16"/>
                <w:szCs w:val="16"/>
                <w:color w:val="auto"/>
              </w:rPr>
              <w:t>24.3%</w:t>
            </w:r>
          </w:p>
        </w:tc>
        <w:tc>
          <w:tcPr>
            <w:tcW w:w="1480" w:type="dxa"/>
            <w:vAlign w:val="bottom"/>
            <w:vMerge w:val="restart"/>
          </w:tcPr>
          <w:p>
            <w:pPr>
              <w:jc w:val="right"/>
              <w:ind w:right="318"/>
              <w:spacing w:after="0"/>
              <w:rPr>
                <w:sz w:val="20"/>
                <w:szCs w:val="20"/>
                <w:color w:val="auto"/>
              </w:rPr>
            </w:pPr>
            <w:r>
              <w:rPr>
                <w:rFonts w:ascii="Courier New" w:cs="Courier New" w:eastAsia="Courier New" w:hAnsi="Courier New"/>
                <w:sz w:val="16"/>
                <w:szCs w:val="16"/>
                <w:color w:val="auto"/>
              </w:rPr>
              <w:t>23.7%</w:t>
            </w:r>
          </w:p>
        </w:tc>
        <w:tc>
          <w:tcPr>
            <w:tcW w:w="142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.6%</w:t>
            </w:r>
          </w:p>
        </w:tc>
        <w:tc>
          <w:tcPr>
            <w:tcW w:w="104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24.3%</w:t>
            </w:r>
          </w:p>
        </w:tc>
        <w:tc>
          <w:tcPr>
            <w:tcW w:w="1440" w:type="dxa"/>
            <w:vAlign w:val="bottom"/>
            <w:vMerge w:val="restart"/>
          </w:tcPr>
          <w:p>
            <w:pPr>
              <w:jc w:val="right"/>
              <w:ind w:right="278"/>
              <w:spacing w:after="0"/>
              <w:rPr>
                <w:sz w:val="20"/>
                <w:szCs w:val="20"/>
                <w:color w:val="auto"/>
              </w:rPr>
            </w:pPr>
            <w:r>
              <w:rPr>
                <w:rFonts w:ascii="Courier New" w:cs="Courier New" w:eastAsia="Courier New" w:hAnsi="Courier New"/>
                <w:sz w:val="16"/>
                <w:szCs w:val="16"/>
                <w:color w:val="auto"/>
              </w:rPr>
              <w:t>23.2%</w:t>
            </w:r>
          </w:p>
        </w:tc>
        <w:tc>
          <w:tcPr>
            <w:tcW w:w="112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90"/>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France</w:t>
            </w:r>
          </w:p>
        </w:tc>
        <w:tc>
          <w:tcPr>
            <w:tcW w:w="134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EMEA</w:t>
            </w:r>
          </w:p>
        </w:tc>
        <w:tc>
          <w:tcPr>
            <w:tcW w:w="1340" w:type="dxa"/>
            <w:vAlign w:val="bottom"/>
          </w:tcPr>
          <w:p>
            <w:pPr>
              <w:ind w:left="640"/>
              <w:spacing w:after="0"/>
              <w:rPr>
                <w:sz w:val="20"/>
                <w:szCs w:val="20"/>
                <w:color w:val="auto"/>
              </w:rPr>
            </w:pPr>
            <w:r>
              <w:rPr>
                <w:rFonts w:ascii="Courier New" w:cs="Courier New" w:eastAsia="Courier New" w:hAnsi="Courier New"/>
                <w:sz w:val="16"/>
                <w:szCs w:val="16"/>
                <w:color w:val="auto"/>
              </w:rPr>
              <w:t>14.6</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17.3</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(2.7)</w:t>
            </w:r>
          </w:p>
        </w:tc>
        <w:tc>
          <w:tcPr>
            <w:tcW w:w="1040" w:type="dxa"/>
            <w:vAlign w:val="bottom"/>
          </w:tcPr>
          <w:p>
            <w:pPr>
              <w:ind w:left="440"/>
              <w:spacing w:after="0"/>
              <w:rPr>
                <w:sz w:val="20"/>
                <w:szCs w:val="20"/>
                <w:color w:val="auto"/>
              </w:rPr>
            </w:pPr>
            <w:r>
              <w:rPr>
                <w:rFonts w:ascii="Courier New" w:cs="Courier New" w:eastAsia="Courier New" w:hAnsi="Courier New"/>
                <w:sz w:val="16"/>
                <w:szCs w:val="16"/>
                <w:color w:val="auto"/>
              </w:rPr>
              <w:t>15.3</w:t>
            </w:r>
          </w:p>
        </w:tc>
        <w:tc>
          <w:tcPr>
            <w:tcW w:w="14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17.4</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90"/>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Other Operations</w:t>
            </w:r>
          </w:p>
        </w:tc>
        <w:tc>
          <w:tcPr>
            <w:tcW w:w="1340" w:type="dxa"/>
            <w:vAlign w:val="bottom"/>
          </w:tcPr>
          <w:p>
            <w:pPr>
              <w:ind w:left="640"/>
              <w:spacing w:after="0"/>
              <w:rPr>
                <w:sz w:val="20"/>
                <w:szCs w:val="20"/>
                <w:color w:val="auto"/>
              </w:rPr>
            </w:pPr>
            <w:r>
              <w:rPr>
                <w:rFonts w:ascii="Courier New" w:cs="Courier New" w:eastAsia="Courier New" w:hAnsi="Courier New"/>
                <w:sz w:val="16"/>
                <w:szCs w:val="16"/>
                <w:color w:val="auto"/>
              </w:rPr>
              <w:t>14.6</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5.1</w:t>
            </w:r>
          </w:p>
        </w:tc>
        <w:tc>
          <w:tcPr>
            <w:tcW w:w="14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9.5</w:t>
            </w:r>
          </w:p>
        </w:tc>
        <w:tc>
          <w:tcPr>
            <w:tcW w:w="1040" w:type="dxa"/>
            <w:vAlign w:val="bottom"/>
          </w:tcPr>
          <w:p>
            <w:pPr>
              <w:ind w:left="440"/>
              <w:spacing w:after="0"/>
              <w:rPr>
                <w:sz w:val="20"/>
                <w:szCs w:val="20"/>
                <w:color w:val="auto"/>
              </w:rPr>
            </w:pPr>
            <w:r>
              <w:rPr>
                <w:rFonts w:ascii="Courier New" w:cs="Courier New" w:eastAsia="Courier New" w:hAnsi="Courier New"/>
                <w:sz w:val="16"/>
                <w:szCs w:val="16"/>
                <w:color w:val="auto"/>
              </w:rPr>
              <w:t>15.0</w:t>
            </w:r>
          </w:p>
        </w:tc>
        <w:tc>
          <w:tcPr>
            <w:tcW w:w="14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3.9</w:t>
            </w:r>
          </w:p>
        </w:tc>
        <w:tc>
          <w:tcPr>
            <w:tcW w:w="1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11.1</w:t>
            </w:r>
          </w:p>
        </w:tc>
        <w:tc>
          <w:tcPr>
            <w:tcW w:w="0" w:type="dxa"/>
            <w:vAlign w:val="bottom"/>
          </w:tcPr>
          <w:p>
            <w:pPr>
              <w:spacing w:after="0"/>
              <w:rPr>
                <w:sz w:val="1"/>
                <w:szCs w:val="1"/>
                <w:color w:val="auto"/>
              </w:rPr>
            </w:pPr>
          </w:p>
        </w:tc>
      </w:tr>
      <w:tr>
        <w:trPr>
          <w:trHeight w:val="277"/>
        </w:trPr>
        <w:tc>
          <w:tcPr>
            <w:tcW w:w="2900" w:type="dxa"/>
            <w:vAlign w:val="bottom"/>
          </w:tcPr>
          <w:p>
            <w:pPr>
              <w:ind w:left="200"/>
              <w:spacing w:after="0"/>
              <w:rPr>
                <w:sz w:val="20"/>
                <w:szCs w:val="20"/>
                <w:color w:val="auto"/>
              </w:rPr>
            </w:pPr>
            <w:r>
              <w:rPr>
                <w:rFonts w:ascii="Courier New" w:cs="Courier New" w:eastAsia="Courier New" w:hAnsi="Courier New"/>
                <w:sz w:val="16"/>
                <w:szCs w:val="16"/>
                <w:color w:val="auto"/>
              </w:rPr>
              <w:t>Manpower Inc.</w:t>
            </w:r>
          </w:p>
        </w:tc>
        <w:tc>
          <w:tcPr>
            <w:tcW w:w="1340" w:type="dxa"/>
            <w:vAlign w:val="bottom"/>
          </w:tcPr>
          <w:p>
            <w:pPr>
              <w:ind w:left="640"/>
              <w:spacing w:after="0"/>
              <w:rPr>
                <w:sz w:val="20"/>
                <w:szCs w:val="20"/>
                <w:color w:val="auto"/>
              </w:rPr>
            </w:pPr>
            <w:r>
              <w:rPr>
                <w:rFonts w:ascii="Courier New" w:cs="Courier New" w:eastAsia="Courier New" w:hAnsi="Courier New"/>
                <w:sz w:val="16"/>
                <w:szCs w:val="16"/>
                <w:color w:val="auto"/>
              </w:rPr>
              <w:t>15.8</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14.8</w:t>
            </w:r>
          </w:p>
        </w:tc>
        <w:tc>
          <w:tcPr>
            <w:tcW w:w="1420" w:type="dxa"/>
            <w:vAlign w:val="bottom"/>
          </w:tcPr>
          <w:p>
            <w:pPr>
              <w:jc w:val="right"/>
              <w:ind w:right="458"/>
              <w:spacing w:after="0"/>
              <w:rPr>
                <w:sz w:val="20"/>
                <w:szCs w:val="20"/>
                <w:color w:val="auto"/>
              </w:rPr>
            </w:pPr>
            <w:r>
              <w:rPr>
                <w:rFonts w:ascii="Courier New" w:cs="Courier New" w:eastAsia="Courier New" w:hAnsi="Courier New"/>
                <w:sz w:val="16"/>
                <w:szCs w:val="16"/>
                <w:color w:val="auto"/>
              </w:rPr>
              <w:t>1.0</w:t>
            </w:r>
          </w:p>
        </w:tc>
        <w:tc>
          <w:tcPr>
            <w:tcW w:w="1040" w:type="dxa"/>
            <w:vAlign w:val="bottom"/>
          </w:tcPr>
          <w:p>
            <w:pPr>
              <w:ind w:left="440"/>
              <w:spacing w:after="0"/>
              <w:rPr>
                <w:sz w:val="20"/>
                <w:szCs w:val="20"/>
                <w:color w:val="auto"/>
              </w:rPr>
            </w:pPr>
            <w:r>
              <w:rPr>
                <w:rFonts w:ascii="Courier New" w:cs="Courier New" w:eastAsia="Courier New" w:hAnsi="Courier New"/>
                <w:sz w:val="16"/>
                <w:szCs w:val="16"/>
                <w:color w:val="auto"/>
              </w:rPr>
              <w:t>16.5</w:t>
            </w:r>
          </w:p>
        </w:tc>
        <w:tc>
          <w:tcPr>
            <w:tcW w:w="14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14.4</w:t>
            </w:r>
          </w:p>
        </w:tc>
        <w:tc>
          <w:tcPr>
            <w:tcW w:w="1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379"/>
        </w:trPr>
        <w:tc>
          <w:tcPr>
            <w:tcW w:w="290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340" w:type="dxa"/>
            <w:vAlign w:val="bottom"/>
          </w:tcPr>
          <w:p>
            <w:pPr>
              <w:ind w:left="640"/>
              <w:spacing w:after="0"/>
              <w:rPr>
                <w:sz w:val="20"/>
                <w:szCs w:val="20"/>
                <w:color w:val="auto"/>
              </w:rPr>
            </w:pPr>
            <w:r>
              <w:rPr>
                <w:rFonts w:ascii="Courier New" w:cs="Courier New" w:eastAsia="Courier New" w:hAnsi="Courier New"/>
                <w:sz w:val="16"/>
                <w:szCs w:val="16"/>
                <w:color w:val="auto"/>
              </w:rPr>
              <w:t>11.6</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14.0</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(2.4)</w:t>
            </w:r>
          </w:p>
        </w:tc>
        <w:tc>
          <w:tcPr>
            <w:tcW w:w="1040" w:type="dxa"/>
            <w:vAlign w:val="bottom"/>
          </w:tcPr>
          <w:p>
            <w:pPr>
              <w:ind w:left="440"/>
              <w:spacing w:after="0"/>
              <w:rPr>
                <w:sz w:val="20"/>
                <w:szCs w:val="20"/>
                <w:color w:val="auto"/>
              </w:rPr>
            </w:pPr>
            <w:r>
              <w:rPr>
                <w:rFonts w:ascii="Courier New" w:cs="Courier New" w:eastAsia="Courier New" w:hAnsi="Courier New"/>
                <w:sz w:val="16"/>
                <w:szCs w:val="16"/>
                <w:color w:val="auto"/>
              </w:rPr>
              <w:t>11.9</w:t>
            </w:r>
          </w:p>
        </w:tc>
        <w:tc>
          <w:tcPr>
            <w:tcW w:w="14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13.7</w:t>
            </w:r>
          </w:p>
        </w:tc>
        <w:tc>
          <w:tcPr>
            <w:tcW w:w="112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292"/>
        </w:trPr>
        <w:tc>
          <w:tcPr>
            <w:tcW w:w="2900" w:type="dxa"/>
            <w:vAlign w:val="bottom"/>
          </w:tcPr>
          <w:p>
            <w:pPr>
              <w:spacing w:after="0"/>
              <w:rPr>
                <w:sz w:val="20"/>
                <w:szCs w:val="20"/>
                <w:color w:val="auto"/>
              </w:rPr>
            </w:pPr>
            <w:r>
              <w:rPr>
                <w:rFonts w:ascii="Courier New" w:cs="Courier New" w:eastAsia="Courier New" w:hAnsi="Courier New"/>
                <w:sz w:val="16"/>
                <w:szCs w:val="16"/>
                <w:color w:val="auto"/>
              </w:rPr>
              <w:t>Selling and administrative</w:t>
            </w:r>
          </w:p>
        </w:tc>
        <w:tc>
          <w:tcPr>
            <w:tcW w:w="1340" w:type="dxa"/>
            <w:vAlign w:val="bottom"/>
            <w:vMerge w:val="restart"/>
          </w:tcPr>
          <w:p>
            <w:pPr>
              <w:ind w:left="640"/>
              <w:spacing w:after="0"/>
              <w:rPr>
                <w:sz w:val="20"/>
                <w:szCs w:val="20"/>
                <w:color w:val="auto"/>
              </w:rPr>
            </w:pPr>
            <w:r>
              <w:rPr>
                <w:rFonts w:ascii="Courier New" w:cs="Courier New" w:eastAsia="Courier New" w:hAnsi="Courier New"/>
                <w:sz w:val="16"/>
                <w:szCs w:val="16"/>
                <w:color w:val="auto"/>
              </w:rPr>
              <w:t>11.7</w:t>
            </w:r>
          </w:p>
        </w:tc>
        <w:tc>
          <w:tcPr>
            <w:tcW w:w="148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rPr>
              <w:t>13.3</w:t>
            </w:r>
          </w:p>
        </w:tc>
        <w:tc>
          <w:tcPr>
            <w:tcW w:w="142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(1.6)</w:t>
            </w:r>
          </w:p>
        </w:tc>
        <w:tc>
          <w:tcPr>
            <w:tcW w:w="104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10.5</w:t>
            </w:r>
          </w:p>
        </w:tc>
        <w:tc>
          <w:tcPr>
            <w:tcW w:w="1440" w:type="dxa"/>
            <w:vAlign w:val="bottom"/>
            <w:vMerge w:val="restart"/>
          </w:tcPr>
          <w:p>
            <w:pPr>
              <w:jc w:val="right"/>
              <w:ind w:right="378"/>
              <w:spacing w:after="0"/>
              <w:rPr>
                <w:sz w:val="20"/>
                <w:szCs w:val="20"/>
                <w:color w:val="auto"/>
              </w:rPr>
            </w:pPr>
            <w:r>
              <w:rPr>
                <w:rFonts w:ascii="Courier New" w:cs="Courier New" w:eastAsia="Courier New" w:hAnsi="Courier New"/>
                <w:sz w:val="16"/>
                <w:szCs w:val="16"/>
                <w:color w:val="auto"/>
              </w:rPr>
              <w:t>12.9</w:t>
            </w:r>
          </w:p>
        </w:tc>
        <w:tc>
          <w:tcPr>
            <w:tcW w:w="1120" w:type="dxa"/>
            <w:vAlign w:val="bottom"/>
            <w:vMerge w:val="restart"/>
          </w:tcPr>
          <w:p>
            <w:pPr>
              <w:jc w:val="right"/>
              <w:ind w:right="18"/>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134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2900" w:type="dxa"/>
            <w:vAlign w:val="bottom"/>
          </w:tcPr>
          <w:p>
            <w:pPr>
              <w:spacing w:after="0"/>
              <w:rPr>
                <w:sz w:val="20"/>
                <w:szCs w:val="20"/>
                <w:color w:val="auto"/>
              </w:rPr>
            </w:pPr>
            <w:r>
              <w:rPr>
                <w:rFonts w:ascii="Courier New" w:cs="Courier New" w:eastAsia="Courier New" w:hAnsi="Courier New"/>
                <w:sz w:val="16"/>
                <w:szCs w:val="16"/>
                <w:color w:val="auto"/>
              </w:rPr>
              <w:t>Operating profit</w:t>
            </w:r>
          </w:p>
        </w:tc>
        <w:tc>
          <w:tcPr>
            <w:tcW w:w="1340" w:type="dxa"/>
            <w:vAlign w:val="bottom"/>
          </w:tcPr>
          <w:p>
            <w:pPr>
              <w:ind w:left="640"/>
              <w:spacing w:after="0"/>
              <w:rPr>
                <w:sz w:val="20"/>
                <w:szCs w:val="20"/>
                <w:color w:val="auto"/>
              </w:rPr>
            </w:pPr>
            <w:r>
              <w:rPr>
                <w:rFonts w:ascii="Courier New" w:cs="Courier New" w:eastAsia="Courier New" w:hAnsi="Courier New"/>
                <w:sz w:val="16"/>
                <w:szCs w:val="16"/>
                <w:color w:val="auto"/>
              </w:rPr>
              <w:t>10.1</w:t>
            </w:r>
          </w:p>
        </w:tc>
        <w:tc>
          <w:tcPr>
            <w:tcW w:w="1480" w:type="dxa"/>
            <w:vAlign w:val="bottom"/>
          </w:tcPr>
          <w:p>
            <w:pPr>
              <w:jc w:val="right"/>
              <w:ind w:right="418"/>
              <w:spacing w:after="0"/>
              <w:rPr>
                <w:sz w:val="20"/>
                <w:szCs w:val="20"/>
                <w:color w:val="auto"/>
              </w:rPr>
            </w:pPr>
            <w:r>
              <w:rPr>
                <w:rFonts w:ascii="Courier New" w:cs="Courier New" w:eastAsia="Courier New" w:hAnsi="Courier New"/>
                <w:sz w:val="16"/>
                <w:szCs w:val="16"/>
                <w:color w:val="auto"/>
              </w:rPr>
              <w:t>18.6</w:t>
            </w:r>
          </w:p>
        </w:tc>
        <w:tc>
          <w:tcPr>
            <w:tcW w:w="142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(8.5)</w:t>
            </w:r>
          </w:p>
        </w:tc>
        <w:tc>
          <w:tcPr>
            <w:tcW w:w="1040" w:type="dxa"/>
            <w:vAlign w:val="bottom"/>
          </w:tcPr>
          <w:p>
            <w:pPr>
              <w:ind w:left="440"/>
              <w:spacing w:after="0"/>
              <w:rPr>
                <w:sz w:val="20"/>
                <w:szCs w:val="20"/>
                <w:color w:val="auto"/>
              </w:rPr>
            </w:pPr>
            <w:r>
              <w:rPr>
                <w:rFonts w:ascii="Courier New" w:cs="Courier New" w:eastAsia="Courier New" w:hAnsi="Courier New"/>
                <w:sz w:val="16"/>
                <w:szCs w:val="16"/>
                <w:color w:val="auto"/>
              </w:rPr>
              <w:t>27.7</w:t>
            </w:r>
          </w:p>
        </w:tc>
        <w:tc>
          <w:tcPr>
            <w:tcW w:w="1440" w:type="dxa"/>
            <w:vAlign w:val="bottom"/>
          </w:tcPr>
          <w:p>
            <w:pPr>
              <w:jc w:val="right"/>
              <w:ind w:right="378"/>
              <w:spacing w:after="0"/>
              <w:rPr>
                <w:sz w:val="20"/>
                <w:szCs w:val="20"/>
                <w:color w:val="auto"/>
              </w:rPr>
            </w:pPr>
            <w:r>
              <w:rPr>
                <w:rFonts w:ascii="Courier New" w:cs="Courier New" w:eastAsia="Courier New" w:hAnsi="Courier New"/>
                <w:sz w:val="16"/>
                <w:szCs w:val="16"/>
                <w:color w:val="auto"/>
              </w:rPr>
              <w:t>23.6</w:t>
            </w:r>
          </w:p>
        </w:tc>
        <w:tc>
          <w:tcPr>
            <w:tcW w:w="112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292"/>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earnings per share --</w:t>
            </w:r>
          </w:p>
        </w:tc>
        <w:tc>
          <w:tcPr>
            <w:tcW w:w="1340" w:type="dxa"/>
            <w:vAlign w:val="bottom"/>
            <w:vMerge w:val="restart"/>
          </w:tcPr>
          <w:p>
            <w:pPr>
              <w:ind w:left="640"/>
              <w:spacing w:after="0"/>
              <w:rPr>
                <w:sz w:val="20"/>
                <w:szCs w:val="20"/>
                <w:color w:val="auto"/>
              </w:rPr>
            </w:pPr>
            <w:r>
              <w:rPr>
                <w:rFonts w:ascii="Courier New" w:cs="Courier New" w:eastAsia="Courier New" w:hAnsi="Courier New"/>
                <w:sz w:val="16"/>
                <w:szCs w:val="16"/>
                <w:color w:val="auto"/>
              </w:rPr>
              <w:t>12.1</w:t>
            </w:r>
          </w:p>
        </w:tc>
        <w:tc>
          <w:tcPr>
            <w:tcW w:w="148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rPr>
              <w:t>21.2</w:t>
            </w:r>
          </w:p>
        </w:tc>
        <w:tc>
          <w:tcPr>
            <w:tcW w:w="1420" w:type="dxa"/>
            <w:vAlign w:val="bottom"/>
            <w:vMerge w:val="restart"/>
          </w:tcPr>
          <w:p>
            <w:pPr>
              <w:jc w:val="right"/>
              <w:ind w:right="358"/>
              <w:spacing w:after="0"/>
              <w:rPr>
                <w:sz w:val="20"/>
                <w:szCs w:val="20"/>
                <w:color w:val="auto"/>
              </w:rPr>
            </w:pPr>
            <w:r>
              <w:rPr>
                <w:rFonts w:ascii="Courier New" w:cs="Courier New" w:eastAsia="Courier New" w:hAnsi="Courier New"/>
                <w:sz w:val="16"/>
                <w:szCs w:val="16"/>
                <w:color w:val="auto"/>
              </w:rPr>
              <w:t>(9.1)</w:t>
            </w:r>
          </w:p>
        </w:tc>
        <w:tc>
          <w:tcPr>
            <w:tcW w:w="104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33.3</w:t>
            </w:r>
          </w:p>
        </w:tc>
        <w:tc>
          <w:tcPr>
            <w:tcW w:w="1440" w:type="dxa"/>
            <w:vAlign w:val="bottom"/>
            <w:vMerge w:val="restart"/>
          </w:tcPr>
          <w:p>
            <w:pPr>
              <w:jc w:val="right"/>
              <w:ind w:right="378"/>
              <w:spacing w:after="0"/>
              <w:rPr>
                <w:sz w:val="20"/>
                <w:szCs w:val="20"/>
                <w:color w:val="auto"/>
              </w:rPr>
            </w:pPr>
            <w:r>
              <w:rPr>
                <w:rFonts w:ascii="Courier New" w:cs="Courier New" w:eastAsia="Courier New" w:hAnsi="Courier New"/>
                <w:sz w:val="16"/>
                <w:szCs w:val="16"/>
                <w:color w:val="auto"/>
              </w:rPr>
              <w:t>30.9</w:t>
            </w:r>
          </w:p>
        </w:tc>
        <w:tc>
          <w:tcPr>
            <w:tcW w:w="1120" w:type="dxa"/>
            <w:vAlign w:val="bottom"/>
            <w:vMerge w:val="restart"/>
          </w:tcPr>
          <w:p>
            <w:pPr>
              <w:jc w:val="right"/>
              <w:ind w:right="118"/>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277"/>
        </w:trPr>
        <w:tc>
          <w:tcPr>
            <w:tcW w:w="2900" w:type="dxa"/>
            <w:vAlign w:val="bottom"/>
          </w:tcPr>
          <w:p>
            <w:pPr>
              <w:spacing w:after="0"/>
              <w:rPr>
                <w:sz w:val="20"/>
                <w:szCs w:val="20"/>
                <w:color w:val="auto"/>
              </w:rPr>
            </w:pPr>
            <w:r>
              <w:rPr>
                <w:rFonts w:ascii="Courier New" w:cs="Courier New" w:eastAsia="Courier New" w:hAnsi="Courier New"/>
                <w:sz w:val="16"/>
                <w:szCs w:val="16"/>
                <w:color w:val="auto"/>
              </w:rPr>
              <w:t>diluted</w:t>
            </w:r>
          </w:p>
        </w:tc>
        <w:tc>
          <w:tcPr>
            <w:tcW w:w="1340" w:type="dxa"/>
            <w:vAlign w:val="bottom"/>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940"/>
          </w:cols>
          <w:pgMar w:left="240" w:top="1224" w:right="719"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6"/>
          <w:szCs w:val="16"/>
          <w:color w:val="auto"/>
        </w:rPr>
        <w:t>Systemwide Sales</w:t>
      </w:r>
    </w:p>
    <w:p>
      <w:pPr>
        <w:spacing w:after="0" w:line="198" w:lineRule="exact"/>
        <w:rPr>
          <w:sz w:val="20"/>
          <w:szCs w:val="20"/>
          <w:color w:val="auto"/>
        </w:rPr>
      </w:pPr>
    </w:p>
    <w:p>
      <w:pPr>
        <w:ind w:right="2339"/>
        <w:spacing w:after="0" w:line="272" w:lineRule="auto"/>
        <w:rPr>
          <w:sz w:val="20"/>
          <w:szCs w:val="20"/>
          <w:color w:val="auto"/>
        </w:rPr>
      </w:pPr>
      <w:r>
        <w:rPr>
          <w:rFonts w:ascii="Courier New" w:cs="Courier New" w:eastAsia="Courier New" w:hAnsi="Courier New"/>
          <w:sz w:val="16"/>
          <w:szCs w:val="16"/>
          <w:color w:val="auto"/>
        </w:rPr>
        <w:t>Systemwide sales represents revenues from our branch offices plus the sales activity of locations operating under a franchise agreement with us. We consider Systemwide sales to be important because it is a measure of the total market share of all entities operating under our various brands. In the United States, Systemwide sales relates to entities operating under the Manpower brand. Calculations of Systemwide sales on a consolidated basis and for the United States are provided below.</w:t>
      </w:r>
    </w:p>
    <w:p>
      <w:pPr>
        <w:spacing w:after="0" w:line="200" w:lineRule="exact"/>
        <w:rPr>
          <w:sz w:val="20"/>
          <w:szCs w:val="20"/>
          <w:color w:val="auto"/>
        </w:rPr>
      </w:pPr>
    </w:p>
    <w:p>
      <w:pPr>
        <w:spacing w:after="0" w:line="258" w:lineRule="exact"/>
        <w:rPr>
          <w:sz w:val="20"/>
          <w:szCs w:val="20"/>
          <w:color w:val="auto"/>
        </w:rPr>
      </w:pPr>
    </w:p>
    <w:p>
      <w:pPr>
        <w:jc w:val="center"/>
        <w:ind w:left="1400"/>
        <w:spacing w:after="0"/>
        <w:rPr>
          <w:sz w:val="20"/>
          <w:szCs w:val="20"/>
          <w:color w:val="auto"/>
        </w:rPr>
      </w:pPr>
      <w:r>
        <w:rPr>
          <w:rFonts w:ascii="Courier New" w:cs="Courier New" w:eastAsia="Courier New" w:hAnsi="Courier New"/>
          <w:sz w:val="16"/>
          <w:szCs w:val="16"/>
          <w:color w:val="auto"/>
        </w:rPr>
        <w:t>3 MONTHS ENDED JUNE 30 (in millions)</w:t>
      </w:r>
    </w:p>
    <w:p>
      <w:pPr>
        <w:spacing w:after="0" w:line="38"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w:t>
      </w:r>
    </w:p>
    <w:tbl>
      <w:tblPr>
        <w:tblLayout w:type="fixed"/>
        <w:tblInd w:w="3940" w:type="dxa"/>
        <w:tblCellMar>
          <w:top w:w="0" w:type="dxa"/>
          <w:left w:w="0" w:type="dxa"/>
          <w:bottom w:w="0" w:type="dxa"/>
          <w:right w:w="0" w:type="dxa"/>
        </w:tblCellMar>
      </w:tblPr>
      <w:tr>
        <w:trPr>
          <w:trHeight w:val="168"/>
        </w:trPr>
        <w:tc>
          <w:tcPr>
            <w:tcW w:w="2380" w:type="dxa"/>
            <w:vAlign w:val="bottom"/>
            <w:gridSpan w:val="2"/>
          </w:tcPr>
          <w:p>
            <w:pPr>
              <w:ind w:left="500"/>
              <w:spacing w:after="0" w:line="168" w:lineRule="exact"/>
              <w:rPr>
                <w:sz w:val="20"/>
                <w:szCs w:val="20"/>
                <w:color w:val="auto"/>
              </w:rPr>
            </w:pPr>
            <w:r>
              <w:rPr>
                <w:rFonts w:ascii="Courier New" w:cs="Courier New" w:eastAsia="Courier New" w:hAnsi="Courier New"/>
                <w:sz w:val="16"/>
                <w:szCs w:val="16"/>
                <w:color w:val="auto"/>
              </w:rPr>
              <w:t>CONSOLIDATED</w:t>
            </w:r>
          </w:p>
        </w:tc>
        <w:tc>
          <w:tcPr>
            <w:tcW w:w="1520" w:type="dxa"/>
            <w:vAlign w:val="bottom"/>
          </w:tcPr>
          <w:p>
            <w:pPr>
              <w:ind w:left="880"/>
              <w:spacing w:after="0" w:line="168" w:lineRule="exact"/>
              <w:rPr>
                <w:sz w:val="20"/>
                <w:szCs w:val="20"/>
                <w:color w:val="auto"/>
              </w:rPr>
            </w:pPr>
            <w:r>
              <w:rPr>
                <w:rFonts w:ascii="Courier New" w:cs="Courier New" w:eastAsia="Courier New" w:hAnsi="Courier New"/>
                <w:sz w:val="16"/>
                <w:szCs w:val="16"/>
                <w:color w:val="auto"/>
              </w:rPr>
              <w:t>UNITED</w:t>
            </w:r>
          </w:p>
        </w:tc>
        <w:tc>
          <w:tcPr>
            <w:tcW w:w="1040" w:type="dxa"/>
            <w:vAlign w:val="bottom"/>
          </w:tcPr>
          <w:p>
            <w:pPr>
              <w:jc w:val="right"/>
              <w:ind w:right="318"/>
              <w:spacing w:after="0" w:line="168" w:lineRule="exact"/>
              <w:rPr>
                <w:sz w:val="20"/>
                <w:szCs w:val="20"/>
                <w:color w:val="auto"/>
              </w:rPr>
            </w:pPr>
            <w:r>
              <w:rPr>
                <w:rFonts w:ascii="Courier New" w:cs="Courier New" w:eastAsia="Courier New" w:hAnsi="Courier New"/>
                <w:sz w:val="16"/>
                <w:szCs w:val="16"/>
                <w:color w:val="auto"/>
              </w:rPr>
              <w:t>STATES</w:t>
            </w:r>
          </w:p>
        </w:tc>
        <w:tc>
          <w:tcPr>
            <w:tcW w:w="0" w:type="dxa"/>
            <w:vAlign w:val="bottom"/>
          </w:tcPr>
          <w:p>
            <w:pPr>
              <w:spacing w:after="0"/>
              <w:rPr>
                <w:sz w:val="1"/>
                <w:szCs w:val="1"/>
                <w:color w:val="auto"/>
              </w:rPr>
            </w:pPr>
          </w:p>
        </w:tc>
      </w:tr>
      <w:tr>
        <w:trPr>
          <w:trHeight w:val="190"/>
        </w:trPr>
        <w:tc>
          <w:tcPr>
            <w:tcW w:w="1180" w:type="dxa"/>
            <w:vAlign w:val="bottom"/>
            <w:vMerge w:val="restart"/>
          </w:tcPr>
          <w:p>
            <w:pPr>
              <w:spacing w:after="0"/>
              <w:rPr>
                <w:sz w:val="20"/>
                <w:szCs w:val="20"/>
                <w:color w:val="auto"/>
              </w:rPr>
            </w:pPr>
            <w:r>
              <w:rPr>
                <w:rFonts w:ascii="Courier New" w:cs="Courier New" w:eastAsia="Courier New" w:hAnsi="Courier New"/>
                <w:sz w:val="10"/>
                <w:szCs w:val="10"/>
                <w:color w:val="auto"/>
                <w:w w:val="74"/>
              </w:rPr>
              <w:t>----------------------</w:t>
            </w:r>
            <w:r>
              <w:rPr>
                <w:rFonts w:ascii="Courier New" w:cs="Courier New" w:eastAsia="Courier New" w:hAnsi="Courier New"/>
                <w:sz w:val="15"/>
                <w:szCs w:val="15"/>
                <w:color w:val="auto"/>
                <w:w w:val="74"/>
                <w:vertAlign w:val="subscript"/>
              </w:rPr>
              <w:t>2003</w:t>
            </w:r>
          </w:p>
        </w:tc>
        <w:tc>
          <w:tcPr>
            <w:tcW w:w="120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rPr>
              <w:t>2002</w:t>
            </w:r>
          </w:p>
        </w:tc>
        <w:tc>
          <w:tcPr>
            <w:tcW w:w="2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520" w:type="dxa"/>
            <w:vAlign w:val="bottom"/>
          </w:tcPr>
          <w:p>
            <w:pPr>
              <w:jc w:val="right"/>
              <w:ind w:right="558"/>
              <w:spacing w:after="0"/>
              <w:rPr>
                <w:sz w:val="20"/>
                <w:szCs w:val="20"/>
                <w:color w:val="auto"/>
              </w:rPr>
            </w:pPr>
            <w:r>
              <w:rPr>
                <w:rFonts w:ascii="Courier New" w:cs="Courier New" w:eastAsia="Courier New" w:hAnsi="Courier New"/>
                <w:sz w:val="16"/>
                <w:szCs w:val="16"/>
                <w:color w:val="auto"/>
              </w:rPr>
              <w:t>2003</w:t>
            </w:r>
          </w:p>
        </w:tc>
        <w:tc>
          <w:tcPr>
            <w:tcW w:w="10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220"/>
        </w:trPr>
        <w:tc>
          <w:tcPr>
            <w:tcW w:w="118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ind w:left="5920"/>
        <w:spacing w:after="0"/>
        <w:rPr>
          <w:sz w:val="20"/>
          <w:szCs w:val="20"/>
          <w:color w:val="auto"/>
        </w:rPr>
      </w:pPr>
      <w:r>
        <w:rPr>
          <w:rFonts w:ascii="Courier New" w:cs="Courier New" w:eastAsia="Courier New" w:hAnsi="Courier New"/>
          <w:sz w:val="16"/>
          <w:szCs w:val="16"/>
          <w:color w:val="auto"/>
        </w:rPr>
        <w:t>(Unaudited)</w:t>
      </w:r>
    </w:p>
    <w:p>
      <w:pPr>
        <w:sectPr>
          <w:pgSz w:w="11900" w:h="16838" w:orient="portrait"/>
          <w:cols w:equalWidth="0" w:num="1">
            <w:col w:w="10219"/>
          </w:cols>
          <w:pgMar w:left="240" w:top="1224" w:right="1440" w:bottom="1440" w:gutter="0" w:footer="0" w:header="0"/>
        </w:sectPr>
      </w:pPr>
    </w:p>
    <w:p>
      <w:pPr>
        <w:spacing w:after="0" w:line="35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Revenue from services</w:t>
      </w:r>
    </w:p>
    <w:p>
      <w:pPr>
        <w:spacing w:after="0" w:line="38" w:lineRule="exact"/>
        <w:rPr>
          <w:sz w:val="20"/>
          <w:szCs w:val="20"/>
          <w:color w:val="auto"/>
        </w:rPr>
      </w:pPr>
    </w:p>
    <w:p>
      <w:pPr>
        <w:ind w:left="780"/>
        <w:spacing w:after="0"/>
        <w:tabs>
          <w:tab w:leader="none" w:pos="1460" w:val="left"/>
        </w:tabs>
        <w:rPr>
          <w:sz w:val="20"/>
          <w:szCs w:val="20"/>
          <w:color w:val="auto"/>
        </w:rPr>
      </w:pPr>
      <w:r>
        <w:rPr>
          <w:rFonts w:ascii="Courier New" w:cs="Courier New" w:eastAsia="Courier New" w:hAnsi="Courier New"/>
          <w:sz w:val="16"/>
          <w:szCs w:val="16"/>
          <w:color w:val="auto"/>
        </w:rPr>
        <w:t>Less:</w:t>
        <w:tab/>
        <w:t>Franchise fees</w:t>
      </w:r>
    </w:p>
    <w:p>
      <w:pPr>
        <w:spacing w:after="0" w:line="8" w:lineRule="exact"/>
        <w:rPr>
          <w:sz w:val="20"/>
          <w:szCs w:val="20"/>
          <w:color w:val="auto"/>
        </w:rPr>
      </w:pPr>
    </w:p>
    <w:p>
      <w:pPr>
        <w:ind w:left="780"/>
        <w:spacing w:after="0"/>
        <w:tabs>
          <w:tab w:leader="none" w:pos="1360" w:val="left"/>
        </w:tabs>
        <w:rPr>
          <w:sz w:val="20"/>
          <w:szCs w:val="20"/>
          <w:color w:val="auto"/>
        </w:rPr>
      </w:pPr>
      <w:r>
        <w:rPr>
          <w:rFonts w:ascii="Courier New" w:cs="Courier New" w:eastAsia="Courier New" w:hAnsi="Courier New"/>
          <w:sz w:val="16"/>
          <w:szCs w:val="16"/>
          <w:color w:val="auto"/>
        </w:rPr>
        <w:t>Add:</w:t>
        <w:tab/>
        <w:t>Franchise sales</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Systemwide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Revenue from services</w:t>
      </w:r>
    </w:p>
    <w:p>
      <w:pPr>
        <w:spacing w:after="0" w:line="38" w:lineRule="exact"/>
        <w:rPr>
          <w:sz w:val="20"/>
          <w:szCs w:val="20"/>
          <w:color w:val="auto"/>
        </w:rPr>
      </w:pPr>
    </w:p>
    <w:p>
      <w:pPr>
        <w:ind w:left="780"/>
        <w:spacing w:after="0"/>
        <w:tabs>
          <w:tab w:leader="none" w:pos="1460" w:val="left"/>
        </w:tabs>
        <w:rPr>
          <w:sz w:val="20"/>
          <w:szCs w:val="20"/>
          <w:color w:val="auto"/>
        </w:rPr>
      </w:pPr>
      <w:r>
        <w:rPr>
          <w:rFonts w:ascii="Courier New" w:cs="Courier New" w:eastAsia="Courier New" w:hAnsi="Courier New"/>
          <w:sz w:val="16"/>
          <w:szCs w:val="16"/>
          <w:color w:val="auto"/>
        </w:rPr>
        <w:t>Less:</w:t>
        <w:tab/>
        <w:t>Franchise fees</w:t>
      </w:r>
    </w:p>
    <w:p>
      <w:pPr>
        <w:spacing w:after="0" w:line="8" w:lineRule="exact"/>
        <w:rPr>
          <w:sz w:val="20"/>
          <w:szCs w:val="20"/>
          <w:color w:val="auto"/>
        </w:rPr>
      </w:pPr>
    </w:p>
    <w:p>
      <w:pPr>
        <w:ind w:left="780"/>
        <w:spacing w:after="0"/>
        <w:tabs>
          <w:tab w:leader="none" w:pos="1360" w:val="left"/>
        </w:tabs>
        <w:rPr>
          <w:sz w:val="20"/>
          <w:szCs w:val="20"/>
          <w:color w:val="auto"/>
        </w:rPr>
      </w:pPr>
      <w:r>
        <w:rPr>
          <w:rFonts w:ascii="Courier New" w:cs="Courier New" w:eastAsia="Courier New" w:hAnsi="Courier New"/>
          <w:sz w:val="16"/>
          <w:szCs w:val="16"/>
          <w:color w:val="auto"/>
        </w:rPr>
        <w:t>Add:</w:t>
        <w:tab/>
        <w:t>Franchise sales</w:t>
      </w:r>
    </w:p>
    <w:p>
      <w:pPr>
        <w:spacing w:after="0" w:line="16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Systemwide sales</w:t>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$3,013.4</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2,602.9</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483.9</w:t>
            </w:r>
          </w:p>
        </w:tc>
        <w:tc>
          <w:tcPr>
            <w:tcW w:w="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474.9</w:t>
            </w:r>
          </w:p>
        </w:tc>
        <w:tc>
          <w:tcPr>
            <w:tcW w:w="0" w:type="dxa"/>
            <w:vAlign w:val="bottom"/>
          </w:tcPr>
          <w:p>
            <w:pPr>
              <w:spacing w:after="0"/>
              <w:rPr>
                <w:sz w:val="1"/>
                <w:szCs w:val="1"/>
                <w:color w:val="auto"/>
              </w:rPr>
            </w:pPr>
          </w:p>
        </w:tc>
      </w:tr>
      <w:tr>
        <w:trPr>
          <w:trHeight w:val="19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54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6.0</w:t>
            </w:r>
          </w:p>
        </w:tc>
        <w:tc>
          <w:tcPr>
            <w:tcW w:w="48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4.9</w:t>
            </w:r>
          </w:p>
        </w:tc>
        <w:tc>
          <w:tcPr>
            <w:tcW w:w="5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c>
          <w:tcPr>
            <w:tcW w:w="0" w:type="dxa"/>
            <w:vAlign w:val="bottom"/>
          </w:tcPr>
          <w:p>
            <w:pPr>
              <w:spacing w:after="0"/>
              <w:rPr>
                <w:sz w:val="1"/>
                <w:szCs w:val="1"/>
                <w:color w:val="auto"/>
              </w:rPr>
            </w:pPr>
          </w:p>
        </w:tc>
      </w:tr>
      <w:tr>
        <w:trPr>
          <w:trHeight w:val="190"/>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294.1</w:t>
            </w:r>
          </w:p>
        </w:tc>
        <w:tc>
          <w:tcPr>
            <w:tcW w:w="54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295.2</w:t>
            </w:r>
          </w:p>
        </w:tc>
        <w:tc>
          <w:tcPr>
            <w:tcW w:w="480" w:type="dxa"/>
            <w:vAlign w:val="bottom"/>
          </w:tcPr>
          <w:p>
            <w:pPr>
              <w:spacing w:after="0"/>
              <w:rPr>
                <w:sz w:val="16"/>
                <w:szCs w:val="16"/>
                <w:color w:val="auto"/>
              </w:rPr>
            </w:pP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248.4</w:t>
            </w:r>
          </w:p>
        </w:tc>
        <w:tc>
          <w:tcPr>
            <w:tcW w:w="5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254.9</w:t>
            </w:r>
          </w:p>
        </w:tc>
        <w:tc>
          <w:tcPr>
            <w:tcW w:w="0" w:type="dxa"/>
            <w:vAlign w:val="bottom"/>
          </w:tcPr>
          <w:p>
            <w:pPr>
              <w:spacing w:after="0"/>
              <w:rPr>
                <w:sz w:val="1"/>
                <w:szCs w:val="1"/>
                <w:color w:val="auto"/>
              </w:rPr>
            </w:pPr>
          </w:p>
        </w:tc>
      </w:tr>
      <w:tr>
        <w:trPr>
          <w:trHeight w:val="190"/>
        </w:trPr>
        <w:tc>
          <w:tcPr>
            <w:tcW w:w="840" w:type="dxa"/>
            <w:vAlign w:val="bottom"/>
            <w:vMerge w:val="restart"/>
          </w:tcPr>
          <w:p>
            <w:pPr>
              <w:jc w:val="right"/>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7"/>
                <w:szCs w:val="17"/>
                <w:color w:val="auto"/>
                <w:w w:val="72"/>
                <w:vertAlign w:val="superscript"/>
              </w:rPr>
              <w:t>--------</w:t>
            </w:r>
            <w:r>
              <w:rPr>
                <w:rFonts w:ascii="Courier New" w:cs="Courier New" w:eastAsia="Courier New" w:hAnsi="Courier New"/>
                <w:sz w:val="11"/>
                <w:szCs w:val="11"/>
                <w:color w:val="auto"/>
                <w:w w:val="72"/>
              </w:rPr>
              <w:t>3,301.6</w:t>
            </w: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840" w:type="dxa"/>
            <w:vAlign w:val="bottom"/>
            <w:vMerge w:val="continue"/>
          </w:tcPr>
          <w:p>
            <w:pPr>
              <w:spacing w:after="0"/>
              <w:rPr>
                <w:sz w:val="16"/>
                <w:szCs w:val="16"/>
                <w:color w:val="auto"/>
              </w:rPr>
            </w:pP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2,892.1</w:t>
            </w:r>
          </w:p>
        </w:tc>
        <w:tc>
          <w:tcPr>
            <w:tcW w:w="48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727.4</w:t>
            </w:r>
          </w:p>
        </w:tc>
        <w:tc>
          <w:tcPr>
            <w:tcW w:w="580" w:type="dxa"/>
            <w:vAlign w:val="bottom"/>
          </w:tcPr>
          <w:p>
            <w:pPr>
              <w:jc w:val="right"/>
              <w:ind w:right="218"/>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724.3</w:t>
            </w:r>
          </w:p>
        </w:tc>
        <w:tc>
          <w:tcPr>
            <w:tcW w:w="0" w:type="dxa"/>
            <w:vAlign w:val="bottom"/>
          </w:tcPr>
          <w:p>
            <w:pPr>
              <w:spacing w:after="0"/>
              <w:rPr>
                <w:sz w:val="1"/>
                <w:szCs w:val="1"/>
                <w:color w:val="auto"/>
              </w:rPr>
            </w:pPr>
          </w:p>
        </w:tc>
      </w:tr>
      <w:tr>
        <w:trPr>
          <w:trHeight w:val="277"/>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4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38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701"/>
        </w:trPr>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3500" w:type="dxa"/>
            <w:vAlign w:val="bottom"/>
            <w:gridSpan w:val="5"/>
          </w:tcPr>
          <w:p>
            <w:pPr>
              <w:jc w:val="right"/>
              <w:ind w:right="18"/>
              <w:spacing w:after="0"/>
              <w:rPr>
                <w:sz w:val="20"/>
                <w:szCs w:val="20"/>
                <w:color w:val="auto"/>
              </w:rPr>
            </w:pPr>
            <w:r>
              <w:rPr>
                <w:rFonts w:ascii="Courier New" w:cs="Courier New" w:eastAsia="Courier New" w:hAnsi="Courier New"/>
                <w:sz w:val="16"/>
                <w:szCs w:val="16"/>
                <w:color w:val="auto"/>
              </w:rPr>
              <w:t>MONTHS ENDED JUNE 30 (in millions)</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tbl>
      <w:tblPr>
        <w:tblLayout w:type="fixed"/>
        <w:tblInd w:w="0" w:type="dxa"/>
        <w:tblCellMar>
          <w:top w:w="0" w:type="dxa"/>
          <w:left w:w="0" w:type="dxa"/>
          <w:bottom w:w="0" w:type="dxa"/>
          <w:right w:w="0" w:type="dxa"/>
        </w:tblCellMar>
      </w:tblPr>
      <w:tr>
        <w:trPr>
          <w:trHeight w:val="168"/>
        </w:trPr>
        <w:tc>
          <w:tcPr>
            <w:tcW w:w="2380" w:type="dxa"/>
            <w:vAlign w:val="bottom"/>
            <w:gridSpan w:val="3"/>
          </w:tcPr>
          <w:p>
            <w:pPr>
              <w:jc w:val="right"/>
              <w:ind w:right="618"/>
              <w:spacing w:after="0" w:line="168" w:lineRule="exact"/>
              <w:rPr>
                <w:sz w:val="20"/>
                <w:szCs w:val="20"/>
                <w:color w:val="auto"/>
              </w:rPr>
            </w:pPr>
            <w:r>
              <w:rPr>
                <w:rFonts w:ascii="Courier New" w:cs="Courier New" w:eastAsia="Courier New" w:hAnsi="Courier New"/>
                <w:sz w:val="16"/>
                <w:szCs w:val="16"/>
                <w:color w:val="auto"/>
              </w:rPr>
              <w:t>CONSOLIDATED</w:t>
            </w:r>
          </w:p>
        </w:tc>
        <w:tc>
          <w:tcPr>
            <w:tcW w:w="4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6"/>
                <w:szCs w:val="16"/>
                <w:color w:val="auto"/>
              </w:rPr>
              <w:t>UNITED</w:t>
            </w:r>
          </w:p>
        </w:tc>
        <w:tc>
          <w:tcPr>
            <w:tcW w:w="1240" w:type="dxa"/>
            <w:vAlign w:val="bottom"/>
            <w:gridSpan w:val="2"/>
          </w:tcPr>
          <w:p>
            <w:pPr>
              <w:jc w:val="right"/>
              <w:ind w:right="518"/>
              <w:spacing w:after="0" w:line="168" w:lineRule="exact"/>
              <w:rPr>
                <w:sz w:val="20"/>
                <w:szCs w:val="20"/>
                <w:color w:val="auto"/>
              </w:rPr>
            </w:pPr>
            <w:r>
              <w:rPr>
                <w:rFonts w:ascii="Courier New" w:cs="Courier New" w:eastAsia="Courier New" w:hAnsi="Courier New"/>
                <w:sz w:val="16"/>
                <w:szCs w:val="16"/>
                <w:color w:val="auto"/>
              </w:rPr>
              <w:t>STATES</w:t>
            </w:r>
          </w:p>
        </w:tc>
        <w:tc>
          <w:tcPr>
            <w:tcW w:w="0" w:type="dxa"/>
            <w:vAlign w:val="bottom"/>
          </w:tcPr>
          <w:p>
            <w:pPr>
              <w:spacing w:after="0"/>
              <w:rPr>
                <w:sz w:val="1"/>
                <w:szCs w:val="1"/>
                <w:color w:val="auto"/>
              </w:rPr>
            </w:pPr>
          </w:p>
        </w:tc>
      </w:tr>
      <w:tr>
        <w:trPr>
          <w:trHeight w:val="190"/>
        </w:trPr>
        <w:tc>
          <w:tcPr>
            <w:tcW w:w="1380" w:type="dxa"/>
            <w:vAlign w:val="bottom"/>
            <w:gridSpan w:val="2"/>
            <w:vMerge w:val="restart"/>
          </w:tcPr>
          <w:p>
            <w:pPr>
              <w:jc w:val="right"/>
              <w:spacing w:after="0"/>
              <w:rPr>
                <w:sz w:val="20"/>
                <w:szCs w:val="20"/>
                <w:color w:val="auto"/>
              </w:rPr>
            </w:pPr>
            <w:r>
              <w:rPr>
                <w:rFonts w:ascii="Courier New" w:cs="Courier New" w:eastAsia="Courier New" w:hAnsi="Courier New"/>
                <w:sz w:val="12"/>
                <w:szCs w:val="12"/>
                <w:color w:val="auto"/>
                <w:w w:val="71"/>
              </w:rPr>
              <w:t>----------------------</w:t>
            </w:r>
            <w:r>
              <w:rPr>
                <w:rFonts w:ascii="Courier New" w:cs="Courier New" w:eastAsia="Courier New" w:hAnsi="Courier New"/>
                <w:sz w:val="20"/>
                <w:szCs w:val="20"/>
                <w:color w:val="auto"/>
                <w:w w:val="71"/>
                <w:vertAlign w:val="subscript"/>
              </w:rPr>
              <w:t>2003</w:t>
            </w:r>
          </w:p>
        </w:tc>
        <w:tc>
          <w:tcPr>
            <w:tcW w:w="1000" w:type="dxa"/>
            <w:vAlign w:val="bottom"/>
            <w:vMerge w:val="restart"/>
          </w:tcPr>
          <w:p>
            <w:pPr>
              <w:jc w:val="right"/>
              <w:ind w:right="418"/>
              <w:spacing w:after="0"/>
              <w:rPr>
                <w:sz w:val="20"/>
                <w:szCs w:val="20"/>
                <w:color w:val="auto"/>
              </w:rPr>
            </w:pPr>
            <w:r>
              <w:rPr>
                <w:rFonts w:ascii="Courier New" w:cs="Courier New" w:eastAsia="Courier New" w:hAnsi="Courier New"/>
                <w:sz w:val="16"/>
                <w:szCs w:val="16"/>
                <w:color w:val="auto"/>
              </w:rPr>
              <w:t>2002</w:t>
            </w:r>
          </w:p>
        </w:tc>
        <w:tc>
          <w:tcPr>
            <w:tcW w:w="276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2003</w:t>
            </w:r>
          </w:p>
        </w:tc>
        <w:tc>
          <w:tcPr>
            <w:tcW w:w="300" w:type="dxa"/>
            <w:vAlign w:val="bottom"/>
          </w:tcPr>
          <w:p>
            <w:pPr>
              <w:spacing w:after="0"/>
              <w:rPr>
                <w:sz w:val="16"/>
                <w:szCs w:val="16"/>
                <w:color w:val="auto"/>
              </w:rPr>
            </w:pPr>
          </w:p>
        </w:tc>
        <w:tc>
          <w:tcPr>
            <w:tcW w:w="940" w:type="dxa"/>
            <w:vAlign w:val="bottom"/>
          </w:tcPr>
          <w:p>
            <w:pPr>
              <w:jc w:val="right"/>
              <w:ind w:right="318"/>
              <w:spacing w:after="0"/>
              <w:rPr>
                <w:sz w:val="20"/>
                <w:szCs w:val="20"/>
                <w:color w:val="auto"/>
              </w:rPr>
            </w:pPr>
            <w:r>
              <w:rPr>
                <w:rFonts w:ascii="Courier New" w:cs="Courier New" w:eastAsia="Courier New" w:hAnsi="Courier New"/>
                <w:sz w:val="16"/>
                <w:szCs w:val="16"/>
                <w:color w:val="auto"/>
              </w:rPr>
              <w:t>2002</w:t>
            </w:r>
          </w:p>
        </w:tc>
        <w:tc>
          <w:tcPr>
            <w:tcW w:w="0" w:type="dxa"/>
            <w:vAlign w:val="bottom"/>
          </w:tcPr>
          <w:p>
            <w:pPr>
              <w:spacing w:after="0"/>
              <w:rPr>
                <w:sz w:val="1"/>
                <w:szCs w:val="1"/>
                <w:color w:val="auto"/>
              </w:rPr>
            </w:pPr>
          </w:p>
        </w:tc>
      </w:tr>
      <w:tr>
        <w:trPr>
          <w:trHeight w:val="190"/>
        </w:trPr>
        <w:tc>
          <w:tcPr>
            <w:tcW w:w="1180" w:type="dxa"/>
            <w:vAlign w:val="bottom"/>
          </w:tcPr>
          <w:p>
            <w:pPr>
              <w:jc w:val="right"/>
              <w:ind w:right="304"/>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77"/>
        </w:trPr>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3"/>
          </w:tcPr>
          <w:p>
            <w:pPr>
              <w:jc w:val="right"/>
              <w:ind w:right="758"/>
              <w:spacing w:after="0"/>
              <w:rPr>
                <w:sz w:val="20"/>
                <w:szCs w:val="20"/>
                <w:color w:val="auto"/>
              </w:rPr>
            </w:pPr>
            <w:r>
              <w:rPr>
                <w:rFonts w:ascii="Courier New" w:cs="Courier New" w:eastAsia="Courier New" w:hAnsi="Courier New"/>
                <w:sz w:val="16"/>
                <w:szCs w:val="16"/>
                <w:color w:val="auto"/>
              </w:rPr>
              <w:t>(Unaudited)</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1180" w:type="dxa"/>
            <w:vAlign w:val="bottom"/>
          </w:tcPr>
          <w:p>
            <w:pPr>
              <w:jc w:val="right"/>
              <w:ind w:right="304"/>
              <w:spacing w:after="0"/>
              <w:rPr>
                <w:sz w:val="20"/>
                <w:szCs w:val="20"/>
                <w:color w:val="auto"/>
              </w:rPr>
            </w:pPr>
            <w:r>
              <w:rPr>
                <w:rFonts w:ascii="Courier New" w:cs="Courier New" w:eastAsia="Courier New" w:hAnsi="Courier New"/>
                <w:sz w:val="16"/>
                <w:szCs w:val="16"/>
                <w:color w:val="auto"/>
              </w:rPr>
              <w:t>$5,692.1</w:t>
            </w: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4,886.9</w:t>
            </w:r>
          </w:p>
        </w:tc>
        <w:tc>
          <w:tcPr>
            <w:tcW w:w="4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947.4</w:t>
            </w:r>
          </w:p>
        </w:tc>
        <w:tc>
          <w:tcPr>
            <w:tcW w:w="3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903.6</w:t>
            </w:r>
          </w:p>
        </w:tc>
        <w:tc>
          <w:tcPr>
            <w:tcW w:w="0" w:type="dxa"/>
            <w:vAlign w:val="bottom"/>
          </w:tcPr>
          <w:p>
            <w:pPr>
              <w:spacing w:after="0"/>
              <w:rPr>
                <w:sz w:val="1"/>
                <w:szCs w:val="1"/>
                <w:color w:val="auto"/>
              </w:rPr>
            </w:pPr>
          </w:p>
        </w:tc>
      </w:tr>
      <w:tr>
        <w:trPr>
          <w:trHeight w:val="190"/>
        </w:trPr>
        <w:tc>
          <w:tcPr>
            <w:tcW w:w="1180" w:type="dxa"/>
            <w:vAlign w:val="bottom"/>
          </w:tcPr>
          <w:p>
            <w:pPr>
              <w:jc w:val="right"/>
              <w:ind w:right="304"/>
              <w:spacing w:after="0"/>
              <w:rPr>
                <w:sz w:val="20"/>
                <w:szCs w:val="20"/>
                <w:color w:val="auto"/>
              </w:rPr>
            </w:pPr>
            <w:r>
              <w:rPr>
                <w:rFonts w:ascii="Courier New" w:cs="Courier New" w:eastAsia="Courier New" w:hAnsi="Courier New"/>
                <w:sz w:val="16"/>
                <w:szCs w:val="16"/>
                <w:color w:val="auto"/>
              </w:rPr>
              <w:t>11.9</w:t>
            </w:r>
          </w:p>
        </w:tc>
        <w:tc>
          <w:tcPr>
            <w:tcW w:w="20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12.3</w:t>
            </w:r>
          </w:p>
        </w:tc>
        <w:tc>
          <w:tcPr>
            <w:tcW w:w="440" w:type="dxa"/>
            <w:vAlign w:val="bottom"/>
          </w:tcPr>
          <w:p>
            <w:pPr>
              <w:spacing w:after="0"/>
              <w:rPr>
                <w:sz w:val="16"/>
                <w:szCs w:val="16"/>
                <w:color w:val="auto"/>
              </w:rPr>
            </w:pP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10.1</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10.4</w:t>
            </w:r>
          </w:p>
        </w:tc>
        <w:tc>
          <w:tcPr>
            <w:tcW w:w="0" w:type="dxa"/>
            <w:vAlign w:val="bottom"/>
          </w:tcPr>
          <w:p>
            <w:pPr>
              <w:spacing w:after="0"/>
              <w:rPr>
                <w:sz w:val="1"/>
                <w:szCs w:val="1"/>
                <w:color w:val="auto"/>
              </w:rPr>
            </w:pPr>
          </w:p>
        </w:tc>
      </w:tr>
      <w:tr>
        <w:trPr>
          <w:trHeight w:val="190"/>
        </w:trPr>
        <w:tc>
          <w:tcPr>
            <w:tcW w:w="1180" w:type="dxa"/>
            <w:vAlign w:val="bottom"/>
          </w:tcPr>
          <w:p>
            <w:pPr>
              <w:jc w:val="right"/>
              <w:ind w:right="304"/>
              <w:spacing w:after="0"/>
              <w:rPr>
                <w:sz w:val="20"/>
                <w:szCs w:val="20"/>
                <w:color w:val="auto"/>
              </w:rPr>
            </w:pPr>
            <w:r>
              <w:rPr>
                <w:rFonts w:ascii="Courier New" w:cs="Courier New" w:eastAsia="Courier New" w:hAnsi="Courier New"/>
                <w:sz w:val="16"/>
                <w:szCs w:val="16"/>
                <w:color w:val="auto"/>
              </w:rPr>
              <w:t>560.8</w:t>
            </w:r>
          </w:p>
        </w:tc>
        <w:tc>
          <w:tcPr>
            <w:tcW w:w="200" w:type="dxa"/>
            <w:vAlign w:val="bottom"/>
          </w:tcPr>
          <w:p>
            <w:pPr>
              <w:spacing w:after="0"/>
              <w:rPr>
                <w:sz w:val="16"/>
                <w:szCs w:val="16"/>
                <w:color w:val="auto"/>
              </w:rPr>
            </w:pP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557.5</w:t>
            </w:r>
          </w:p>
        </w:tc>
        <w:tc>
          <w:tcPr>
            <w:tcW w:w="440" w:type="dxa"/>
            <w:vAlign w:val="bottom"/>
          </w:tcPr>
          <w:p>
            <w:pPr>
              <w:spacing w:after="0"/>
              <w:rPr>
                <w:sz w:val="16"/>
                <w:szCs w:val="16"/>
                <w:color w:val="auto"/>
              </w:rPr>
            </w:pP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478.0</w:t>
            </w:r>
          </w:p>
        </w:tc>
        <w:tc>
          <w:tcPr>
            <w:tcW w:w="300" w:type="dxa"/>
            <w:vAlign w:val="bottom"/>
          </w:tcPr>
          <w:p>
            <w:pPr>
              <w:spacing w:after="0"/>
              <w:rPr>
                <w:sz w:val="16"/>
                <w:szCs w:val="16"/>
                <w:color w:val="auto"/>
              </w:rPr>
            </w:pP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485.1</w:t>
            </w:r>
          </w:p>
        </w:tc>
        <w:tc>
          <w:tcPr>
            <w:tcW w:w="0" w:type="dxa"/>
            <w:vAlign w:val="bottom"/>
          </w:tcPr>
          <w:p>
            <w:pPr>
              <w:spacing w:after="0"/>
              <w:rPr>
                <w:sz w:val="1"/>
                <w:szCs w:val="1"/>
                <w:color w:val="auto"/>
              </w:rPr>
            </w:pPr>
          </w:p>
        </w:tc>
      </w:tr>
      <w:tr>
        <w:trPr>
          <w:trHeight w:val="190"/>
        </w:trPr>
        <w:tc>
          <w:tcPr>
            <w:tcW w:w="1180" w:type="dxa"/>
            <w:vAlign w:val="bottom"/>
            <w:vMerge w:val="restart"/>
          </w:tcPr>
          <w:p>
            <w:pPr>
              <w:jc w:val="right"/>
              <w:ind w:right="304"/>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7"/>
                <w:szCs w:val="17"/>
                <w:color w:val="auto"/>
                <w:w w:val="72"/>
                <w:vertAlign w:val="superscript"/>
              </w:rPr>
              <w:t>--------</w:t>
            </w:r>
            <w:r>
              <w:rPr>
                <w:rFonts w:ascii="Courier New" w:cs="Courier New" w:eastAsia="Courier New" w:hAnsi="Courier New"/>
                <w:sz w:val="11"/>
                <w:szCs w:val="11"/>
                <w:color w:val="auto"/>
                <w:w w:val="72"/>
              </w:rPr>
              <w:t>6,241.0</w:t>
            </w:r>
          </w:p>
        </w:tc>
        <w:tc>
          <w:tcPr>
            <w:tcW w:w="12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180" w:type="dxa"/>
            <w:vAlign w:val="bottom"/>
            <w:vMerge w:val="continue"/>
          </w:tcPr>
          <w:p>
            <w:pPr>
              <w:spacing w:after="0"/>
              <w:rPr>
                <w:sz w:val="16"/>
                <w:szCs w:val="16"/>
                <w:color w:val="auto"/>
              </w:rPr>
            </w:pPr>
          </w:p>
        </w:tc>
        <w:tc>
          <w:tcPr>
            <w:tcW w:w="200" w:type="dxa"/>
            <w:vAlign w:val="bottom"/>
          </w:tcPr>
          <w:p>
            <w:pPr>
              <w:jc w:val="right"/>
              <w:ind w:right="18"/>
              <w:spacing w:after="0"/>
              <w:rPr>
                <w:sz w:val="20"/>
                <w:szCs w:val="20"/>
                <w:color w:val="auto"/>
              </w:rPr>
            </w:pPr>
            <w:r>
              <w:rPr>
                <w:rFonts w:ascii="Courier New" w:cs="Courier New" w:eastAsia="Courier New" w:hAnsi="Courier New"/>
                <w:sz w:val="16"/>
                <w:szCs w:val="16"/>
                <w:color w:val="auto"/>
                <w:w w:val="82"/>
              </w:rPr>
              <w:t>$</w:t>
            </w:r>
          </w:p>
        </w:tc>
        <w:tc>
          <w:tcPr>
            <w:tcW w:w="1000" w:type="dxa"/>
            <w:vAlign w:val="bottom"/>
          </w:tcPr>
          <w:p>
            <w:pPr>
              <w:jc w:val="right"/>
              <w:ind w:right="118"/>
              <w:spacing w:after="0"/>
              <w:rPr>
                <w:sz w:val="20"/>
                <w:szCs w:val="20"/>
                <w:color w:val="auto"/>
              </w:rPr>
            </w:pPr>
            <w:r>
              <w:rPr>
                <w:rFonts w:ascii="Courier New" w:cs="Courier New" w:eastAsia="Courier New" w:hAnsi="Courier New"/>
                <w:sz w:val="16"/>
                <w:szCs w:val="16"/>
                <w:color w:val="auto"/>
              </w:rPr>
              <w:t>5,432.1</w:t>
            </w:r>
          </w:p>
        </w:tc>
        <w:tc>
          <w:tcPr>
            <w:tcW w:w="44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58"/>
              <w:spacing w:after="0"/>
              <w:rPr>
                <w:sz w:val="20"/>
                <w:szCs w:val="20"/>
                <w:color w:val="auto"/>
              </w:rPr>
            </w:pPr>
            <w:r>
              <w:rPr>
                <w:rFonts w:ascii="Courier New" w:cs="Courier New" w:eastAsia="Courier New" w:hAnsi="Courier New"/>
                <w:sz w:val="16"/>
                <w:szCs w:val="16"/>
                <w:color w:val="auto"/>
              </w:rPr>
              <w:t>1,415.3</w:t>
            </w:r>
          </w:p>
        </w:tc>
        <w:tc>
          <w:tcPr>
            <w:tcW w:w="300" w:type="dxa"/>
            <w:vAlign w:val="bottom"/>
          </w:tcPr>
          <w:p>
            <w:pPr>
              <w:ind w:left="4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1,378.3</w:t>
            </w:r>
          </w:p>
        </w:tc>
        <w:tc>
          <w:tcPr>
            <w:tcW w:w="0" w:type="dxa"/>
            <w:vAlign w:val="bottom"/>
          </w:tcPr>
          <w:p>
            <w:pPr>
              <w:spacing w:after="0"/>
              <w:rPr>
                <w:sz w:val="1"/>
                <w:szCs w:val="1"/>
                <w:color w:val="auto"/>
              </w:rPr>
            </w:pPr>
          </w:p>
        </w:tc>
      </w:tr>
      <w:tr>
        <w:trPr>
          <w:trHeight w:val="277"/>
        </w:trPr>
        <w:tc>
          <w:tcPr>
            <w:tcW w:w="1180" w:type="dxa"/>
            <w:vAlign w:val="bottom"/>
          </w:tcPr>
          <w:p>
            <w:pPr>
              <w:jc w:val="right"/>
              <w:ind w:right="304"/>
              <w:spacing w:after="0"/>
              <w:rPr>
                <w:sz w:val="20"/>
                <w:szCs w:val="20"/>
                <w:color w:val="auto"/>
              </w:rPr>
            </w:pPr>
            <w:r>
              <w:rPr>
                <w:rFonts w:ascii="Courier New" w:cs="Courier New" w:eastAsia="Courier New" w:hAnsi="Courier New"/>
                <w:sz w:val="16"/>
                <w:szCs w:val="16"/>
                <w:color w:val="auto"/>
              </w:rPr>
              <w:t>========</w:t>
            </w:r>
          </w:p>
        </w:tc>
        <w:tc>
          <w:tcPr>
            <w:tcW w:w="1200" w:type="dxa"/>
            <w:vAlign w:val="bottom"/>
            <w:gridSpan w:val="2"/>
          </w:tcPr>
          <w:p>
            <w:pPr>
              <w:jc w:val="right"/>
              <w:ind w:right="118"/>
              <w:spacing w:after="0"/>
              <w:rPr>
                <w:sz w:val="20"/>
                <w:szCs w:val="20"/>
                <w:color w:val="auto"/>
              </w:rPr>
            </w:pPr>
            <w:r>
              <w:rPr>
                <w:rFonts w:ascii="Courier New" w:cs="Courier New" w:eastAsia="Courier New" w:hAnsi="Courier New"/>
                <w:sz w:val="16"/>
                <w:szCs w:val="16"/>
                <w:color w:val="auto"/>
              </w:rPr>
              <w:t>==========</w:t>
            </w:r>
          </w:p>
        </w:tc>
        <w:tc>
          <w:tcPr>
            <w:tcW w:w="1520" w:type="dxa"/>
            <w:vAlign w:val="bottom"/>
            <w:gridSpan w:val="2"/>
          </w:tcPr>
          <w:p>
            <w:pPr>
              <w:jc w:val="right"/>
              <w:ind w:right="158"/>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220" w:space="720"/>
            <w:col w:w="6279"/>
          </w:cols>
          <w:pgMar w:left="240" w:top="12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10219"/>
          </w:cols>
          <w:pgMar w:left="240" w:top="1224" w:right="1440" w:bottom="1440" w:gutter="0" w:footer="0" w:header="0"/>
          <w:type w:val="continuous"/>
        </w:sectPr>
      </w:pPr>
    </w:p>
    <w:bookmarkStart w:id="23" w:name="page24"/>
    <w:bookmarkEnd w:id="23"/>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right="3119"/>
        <w:spacing w:after="0" w:line="314"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40"/>
        <w:spacing w:after="0"/>
        <w:rPr>
          <w:sz w:val="20"/>
          <w:szCs w:val="20"/>
          <w:color w:val="auto"/>
        </w:rPr>
      </w:pPr>
      <w:r>
        <w:rPr>
          <w:rFonts w:ascii="Courier New" w:cs="Courier New" w:eastAsia="Courier New" w:hAnsi="Courier New"/>
          <w:sz w:val="16"/>
          <w:szCs w:val="16"/>
          <w:color w:val="auto"/>
        </w:rPr>
        <w:t>MANPOWER INC.</w:t>
      </w:r>
    </w:p>
    <w:p>
      <w:pPr>
        <w:spacing w:after="0" w:line="38"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20" w:type="dxa"/>
            <w:vAlign w:val="bottom"/>
          </w:tcPr>
          <w:p>
            <w:pPr>
              <w:spacing w:after="0"/>
              <w:rPr>
                <w:sz w:val="20"/>
                <w:szCs w:val="20"/>
                <w:color w:val="auto"/>
              </w:rPr>
            </w:pPr>
            <w:r>
              <w:rPr>
                <w:rFonts w:ascii="Courier New" w:cs="Courier New" w:eastAsia="Courier New" w:hAnsi="Courier New"/>
                <w:sz w:val="16"/>
                <w:szCs w:val="16"/>
                <w:color w:val="auto"/>
              </w:rPr>
              <w:t>Date:  August 4, 2003</w:t>
            </w:r>
          </w:p>
        </w:tc>
        <w:tc>
          <w:tcPr>
            <w:tcW w:w="2960" w:type="dxa"/>
            <w:vAlign w:val="bottom"/>
          </w:tcPr>
          <w:p>
            <w:pPr>
              <w:ind w:left="440"/>
              <w:spacing w:after="0"/>
              <w:rPr>
                <w:sz w:val="20"/>
                <w:szCs w:val="20"/>
                <w:color w:val="auto"/>
              </w:rPr>
            </w:pPr>
            <w:r>
              <w:rPr>
                <w:rFonts w:ascii="Courier New" w:cs="Courier New" w:eastAsia="Courier New" w:hAnsi="Courier New"/>
                <w:sz w:val="16"/>
                <w:szCs w:val="16"/>
                <w:color w:val="auto"/>
              </w:rPr>
              <w:t>/s/ Michael J. Van Handel</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53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2960" w:type="dxa"/>
            <w:vAlign w:val="bottom"/>
          </w:tcPr>
          <w:p>
            <w:pPr>
              <w:ind w:left="440"/>
              <w:spacing w:after="0"/>
              <w:rPr>
                <w:sz w:val="20"/>
                <w:szCs w:val="20"/>
                <w:color w:val="auto"/>
              </w:rPr>
            </w:pPr>
            <w:r>
              <w:rPr>
                <w:rFonts w:ascii="Courier New" w:cs="Courier New" w:eastAsia="Courier New" w:hAnsi="Courier New"/>
                <w:sz w:val="16"/>
                <w:szCs w:val="16"/>
                <w:color w:val="auto"/>
              </w:rPr>
              <w:t>Michael J. Van Handel</w:t>
            </w:r>
          </w:p>
        </w:tc>
        <w:tc>
          <w:tcPr>
            <w:tcW w:w="240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Chief Financial Officer,</w:t>
            </w: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2960" w:type="dxa"/>
            <w:vAlign w:val="bottom"/>
          </w:tcPr>
          <w:p>
            <w:pPr>
              <w:ind w:left="440"/>
              <w:spacing w:after="0"/>
              <w:rPr>
                <w:sz w:val="20"/>
                <w:szCs w:val="20"/>
                <w:color w:val="auto"/>
              </w:rPr>
            </w:pPr>
            <w:r>
              <w:rPr>
                <w:rFonts w:ascii="Courier New" w:cs="Courier New" w:eastAsia="Courier New" w:hAnsi="Courier New"/>
                <w:sz w:val="16"/>
                <w:szCs w:val="16"/>
                <w:color w:val="auto"/>
              </w:rPr>
              <w:t>Executive Vice President,</w:t>
            </w:r>
          </w:p>
        </w:tc>
        <w:tc>
          <w:tcPr>
            <w:tcW w:w="2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2960" w:type="dxa"/>
            <w:vAlign w:val="bottom"/>
          </w:tcPr>
          <w:p>
            <w:pPr>
              <w:ind w:left="440"/>
              <w:spacing w:after="0"/>
              <w:rPr>
                <w:sz w:val="20"/>
                <w:szCs w:val="20"/>
                <w:color w:val="auto"/>
              </w:rPr>
            </w:pPr>
            <w:r>
              <w:rPr>
                <w:rFonts w:ascii="Courier New" w:cs="Courier New" w:eastAsia="Courier New" w:hAnsi="Courier New"/>
                <w:sz w:val="16"/>
                <w:szCs w:val="16"/>
                <w:color w:val="auto"/>
              </w:rPr>
              <w:t>and Secretary (Signing on</w:t>
            </w:r>
          </w:p>
        </w:tc>
        <w:tc>
          <w:tcPr>
            <w:tcW w:w="2400" w:type="dxa"/>
            <w:vAlign w:val="bottom"/>
          </w:tcPr>
          <w:p>
            <w:pPr>
              <w:ind w:left="40"/>
              <w:spacing w:after="0"/>
              <w:rPr>
                <w:sz w:val="20"/>
                <w:szCs w:val="20"/>
                <w:color w:val="auto"/>
              </w:rPr>
            </w:pPr>
            <w:r>
              <w:rPr>
                <w:rFonts w:ascii="Courier New" w:cs="Courier New" w:eastAsia="Courier New" w:hAnsi="Courier New"/>
                <w:sz w:val="16"/>
                <w:szCs w:val="16"/>
                <w:color w:val="auto"/>
              </w:rPr>
              <w:t>behalf of the Registrant</w:t>
            </w:r>
          </w:p>
        </w:tc>
        <w:tc>
          <w:tcPr>
            <w:tcW w:w="0" w:type="dxa"/>
            <w:vAlign w:val="bottom"/>
          </w:tcPr>
          <w:p>
            <w:pPr>
              <w:spacing w:after="0"/>
              <w:rPr>
                <w:sz w:val="1"/>
                <w:szCs w:val="1"/>
                <w:color w:val="auto"/>
              </w:rPr>
            </w:pPr>
          </w:p>
        </w:tc>
      </w:tr>
      <w:tr>
        <w:trPr>
          <w:trHeight w:val="190"/>
        </w:trPr>
        <w:tc>
          <w:tcPr>
            <w:tcW w:w="2520" w:type="dxa"/>
            <w:vAlign w:val="bottom"/>
          </w:tcPr>
          <w:p>
            <w:pPr>
              <w:spacing w:after="0"/>
              <w:rPr>
                <w:sz w:val="16"/>
                <w:szCs w:val="16"/>
                <w:color w:val="auto"/>
              </w:rPr>
            </w:pPr>
          </w:p>
        </w:tc>
        <w:tc>
          <w:tcPr>
            <w:tcW w:w="53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and as the Principal Financial Officer and</w:t>
            </w:r>
          </w:p>
        </w:tc>
        <w:tc>
          <w:tcPr>
            <w:tcW w:w="0" w:type="dxa"/>
            <w:vAlign w:val="bottom"/>
          </w:tcPr>
          <w:p>
            <w:pPr>
              <w:spacing w:after="0"/>
              <w:rPr>
                <w:sz w:val="1"/>
                <w:szCs w:val="1"/>
                <w:color w:val="auto"/>
              </w:rPr>
            </w:pPr>
          </w:p>
        </w:tc>
      </w:tr>
      <w:tr>
        <w:trPr>
          <w:trHeight w:val="277"/>
        </w:trPr>
        <w:tc>
          <w:tcPr>
            <w:tcW w:w="2520" w:type="dxa"/>
            <w:vAlign w:val="bottom"/>
          </w:tcPr>
          <w:p>
            <w:pPr>
              <w:spacing w:after="0"/>
              <w:rPr>
                <w:sz w:val="24"/>
                <w:szCs w:val="24"/>
                <w:color w:val="auto"/>
              </w:rPr>
            </w:pPr>
          </w:p>
        </w:tc>
        <w:tc>
          <w:tcPr>
            <w:tcW w:w="5360" w:type="dxa"/>
            <w:vAlign w:val="bottom"/>
            <w:gridSpan w:val="2"/>
          </w:tcPr>
          <w:p>
            <w:pPr>
              <w:ind w:left="440"/>
              <w:spacing w:after="0"/>
              <w:rPr>
                <w:sz w:val="20"/>
                <w:szCs w:val="20"/>
                <w:color w:val="auto"/>
              </w:rPr>
            </w:pPr>
            <w:r>
              <w:rPr>
                <w:rFonts w:ascii="Courier New" w:cs="Courier New" w:eastAsia="Courier New" w:hAnsi="Courier New"/>
                <w:sz w:val="16"/>
                <w:szCs w:val="16"/>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1224"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77"/>
        </w:trPr>
        <w:tc>
          <w:tcPr>
            <w:tcW w:w="1540" w:type="dxa"/>
            <w:vAlign w:val="bottom"/>
          </w:tcPr>
          <w:p>
            <w:pPr>
              <w:spacing w:after="0"/>
              <w:rPr>
                <w:sz w:val="24"/>
                <w:szCs w:val="24"/>
                <w:color w:val="auto"/>
              </w:rPr>
            </w:pPr>
          </w:p>
        </w:tc>
        <w:tc>
          <w:tcPr>
            <w:tcW w:w="5560" w:type="dxa"/>
            <w:vAlign w:val="bottom"/>
          </w:tcPr>
          <w:p>
            <w:pPr>
              <w:ind w:left="1040"/>
              <w:spacing w:after="0"/>
              <w:rPr>
                <w:sz w:val="20"/>
                <w:szCs w:val="20"/>
                <w:color w:val="auto"/>
              </w:rPr>
            </w:pPr>
            <w:r>
              <w:rPr>
                <w:rFonts w:ascii="Courier New" w:cs="Courier New" w:eastAsia="Courier New" w:hAnsi="Courier New"/>
                <w:sz w:val="16"/>
                <w:szCs w:val="16"/>
                <w:color w:val="auto"/>
              </w:rPr>
              <w:t>EXHIBIT INDEX</w:t>
            </w:r>
          </w:p>
        </w:tc>
      </w:tr>
      <w:tr>
        <w:trPr>
          <w:trHeight w:val="671"/>
        </w:trPr>
        <w:tc>
          <w:tcPr>
            <w:tcW w:w="15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Exhibit No.</w:t>
            </w:r>
          </w:p>
        </w:tc>
        <w:tc>
          <w:tcPr>
            <w:tcW w:w="5560" w:type="dxa"/>
            <w:vAlign w:val="bottom"/>
          </w:tcPr>
          <w:p>
            <w:pPr>
              <w:ind w:left="2020"/>
              <w:spacing w:after="0"/>
              <w:rPr>
                <w:sz w:val="20"/>
                <w:szCs w:val="20"/>
                <w:color w:val="auto"/>
              </w:rPr>
            </w:pPr>
            <w:r>
              <w:rPr>
                <w:rFonts w:ascii="Courier New" w:cs="Courier New" w:eastAsia="Courier New" w:hAnsi="Courier New"/>
                <w:sz w:val="16"/>
                <w:szCs w:val="16"/>
                <w:color w:val="auto"/>
              </w:rPr>
              <w:t>Description</w:t>
            </w:r>
          </w:p>
        </w:tc>
      </w:tr>
      <w:tr>
        <w:trPr>
          <w:trHeight w:val="190"/>
        </w:trPr>
        <w:tc>
          <w:tcPr>
            <w:tcW w:w="15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w:t>
            </w: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w:t>
            </w:r>
          </w:p>
        </w:tc>
      </w:tr>
      <w:tr>
        <w:trPr>
          <w:trHeight w:val="190"/>
        </w:trPr>
        <w:tc>
          <w:tcPr>
            <w:tcW w:w="15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10.1</w:t>
            </w: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Terms and Conditions Regarding the Grant of Options</w:t>
            </w:r>
          </w:p>
        </w:tc>
      </w:tr>
      <w:tr>
        <w:trPr>
          <w:trHeight w:val="190"/>
        </w:trPr>
        <w:tc>
          <w:tcPr>
            <w:tcW w:w="1540" w:type="dxa"/>
            <w:vAlign w:val="bottom"/>
          </w:tcPr>
          <w:p>
            <w:pPr>
              <w:spacing w:after="0"/>
              <w:rPr>
                <w:sz w:val="16"/>
                <w:szCs w:val="16"/>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in Lieu of Cash Directors Fees to Non-Employee</w:t>
            </w:r>
          </w:p>
        </w:tc>
      </w:tr>
      <w:tr>
        <w:trPr>
          <w:trHeight w:val="190"/>
        </w:trPr>
        <w:tc>
          <w:tcPr>
            <w:tcW w:w="1540" w:type="dxa"/>
            <w:vAlign w:val="bottom"/>
          </w:tcPr>
          <w:p>
            <w:pPr>
              <w:spacing w:after="0"/>
              <w:rPr>
                <w:sz w:val="16"/>
                <w:szCs w:val="16"/>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Directors Under 2003 Equity Incentive Plan of</w:t>
            </w:r>
          </w:p>
        </w:tc>
      </w:tr>
      <w:tr>
        <w:trPr>
          <w:trHeight w:val="277"/>
        </w:trPr>
        <w:tc>
          <w:tcPr>
            <w:tcW w:w="154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Manpower Inc.</w:t>
            </w:r>
          </w:p>
        </w:tc>
      </w:tr>
      <w:tr>
        <w:trPr>
          <w:trHeight w:val="292"/>
        </w:trPr>
        <w:tc>
          <w:tcPr>
            <w:tcW w:w="15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12.1</w:t>
            </w: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Statement Regarding Computation of Ratio of</w:t>
            </w:r>
          </w:p>
        </w:tc>
      </w:tr>
      <w:tr>
        <w:trPr>
          <w:trHeight w:val="277"/>
        </w:trPr>
        <w:tc>
          <w:tcPr>
            <w:tcW w:w="154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Earnings to Fixed Charges.</w:t>
            </w:r>
          </w:p>
        </w:tc>
      </w:tr>
      <w:tr>
        <w:trPr>
          <w:trHeight w:val="292"/>
        </w:trPr>
        <w:tc>
          <w:tcPr>
            <w:tcW w:w="15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99.1</w:t>
            </w: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Certification of Jeffrey A. Joerres, Chairman and</w:t>
            </w:r>
          </w:p>
        </w:tc>
      </w:tr>
      <w:tr>
        <w:trPr>
          <w:trHeight w:val="190"/>
        </w:trPr>
        <w:tc>
          <w:tcPr>
            <w:tcW w:w="1540" w:type="dxa"/>
            <w:vAlign w:val="bottom"/>
          </w:tcPr>
          <w:p>
            <w:pPr>
              <w:spacing w:after="0"/>
              <w:rPr>
                <w:sz w:val="16"/>
                <w:szCs w:val="16"/>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Chief Executive Officer, pursuant to Section 13a-14</w:t>
            </w:r>
          </w:p>
        </w:tc>
      </w:tr>
      <w:tr>
        <w:trPr>
          <w:trHeight w:val="277"/>
        </w:trPr>
        <w:tc>
          <w:tcPr>
            <w:tcW w:w="154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(a) of the Securities Exchange Act of 1934.</w:t>
            </w:r>
          </w:p>
        </w:tc>
      </w:tr>
      <w:tr>
        <w:trPr>
          <w:trHeight w:val="292"/>
        </w:trPr>
        <w:tc>
          <w:tcPr>
            <w:tcW w:w="15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99.2</w:t>
            </w: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Certification of Michael J. Van Handel, Executive</w:t>
            </w:r>
          </w:p>
        </w:tc>
      </w:tr>
      <w:tr>
        <w:trPr>
          <w:trHeight w:val="190"/>
        </w:trPr>
        <w:tc>
          <w:tcPr>
            <w:tcW w:w="1540" w:type="dxa"/>
            <w:vAlign w:val="bottom"/>
          </w:tcPr>
          <w:p>
            <w:pPr>
              <w:spacing w:after="0"/>
              <w:rPr>
                <w:sz w:val="16"/>
                <w:szCs w:val="16"/>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Vice President and Chief Financial Officer, pursuant</w:t>
            </w:r>
          </w:p>
        </w:tc>
      </w:tr>
      <w:tr>
        <w:trPr>
          <w:trHeight w:val="190"/>
        </w:trPr>
        <w:tc>
          <w:tcPr>
            <w:tcW w:w="1540" w:type="dxa"/>
            <w:vAlign w:val="bottom"/>
          </w:tcPr>
          <w:p>
            <w:pPr>
              <w:spacing w:after="0"/>
              <w:rPr>
                <w:sz w:val="16"/>
                <w:szCs w:val="16"/>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to Section 13a-14(a) of the Securities Exchange Act</w:t>
            </w:r>
          </w:p>
        </w:tc>
      </w:tr>
      <w:tr>
        <w:trPr>
          <w:trHeight w:val="277"/>
        </w:trPr>
        <w:tc>
          <w:tcPr>
            <w:tcW w:w="154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of 1934.</w:t>
            </w:r>
          </w:p>
        </w:tc>
      </w:tr>
      <w:tr>
        <w:trPr>
          <w:trHeight w:val="292"/>
        </w:trPr>
        <w:tc>
          <w:tcPr>
            <w:tcW w:w="15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99.3</w:t>
            </w: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Statement of Jeffrey A. Joerres, Chairman and Chief</w:t>
            </w:r>
          </w:p>
        </w:tc>
      </w:tr>
      <w:tr>
        <w:trPr>
          <w:trHeight w:val="277"/>
        </w:trPr>
        <w:tc>
          <w:tcPr>
            <w:tcW w:w="154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Executive Officer, pursuant to 18 U.S.C. ss. 1350.</w:t>
            </w:r>
          </w:p>
        </w:tc>
      </w:tr>
      <w:tr>
        <w:trPr>
          <w:trHeight w:val="292"/>
        </w:trPr>
        <w:tc>
          <w:tcPr>
            <w:tcW w:w="1540" w:type="dxa"/>
            <w:vAlign w:val="bottom"/>
          </w:tcPr>
          <w:p>
            <w:pPr>
              <w:jc w:val="right"/>
              <w:ind w:right="658"/>
              <w:spacing w:after="0"/>
              <w:rPr>
                <w:sz w:val="20"/>
                <w:szCs w:val="20"/>
                <w:color w:val="auto"/>
              </w:rPr>
            </w:pPr>
            <w:r>
              <w:rPr>
                <w:rFonts w:ascii="Courier New" w:cs="Courier New" w:eastAsia="Courier New" w:hAnsi="Courier New"/>
                <w:sz w:val="16"/>
                <w:szCs w:val="16"/>
                <w:color w:val="auto"/>
              </w:rPr>
              <w:t>99.4</w:t>
            </w: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Statement of Michael J. Van Handel, Executive Vice</w:t>
            </w:r>
          </w:p>
        </w:tc>
      </w:tr>
      <w:tr>
        <w:trPr>
          <w:trHeight w:val="190"/>
        </w:trPr>
        <w:tc>
          <w:tcPr>
            <w:tcW w:w="1540" w:type="dxa"/>
            <w:vAlign w:val="bottom"/>
          </w:tcPr>
          <w:p>
            <w:pPr>
              <w:spacing w:after="0"/>
              <w:rPr>
                <w:sz w:val="16"/>
                <w:szCs w:val="16"/>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President and Chief Financial Officer, pursuant to</w:t>
            </w:r>
          </w:p>
        </w:tc>
      </w:tr>
      <w:tr>
        <w:trPr>
          <w:trHeight w:val="277"/>
        </w:trPr>
        <w:tc>
          <w:tcPr>
            <w:tcW w:w="1540" w:type="dxa"/>
            <w:vAlign w:val="bottom"/>
          </w:tcPr>
          <w:p>
            <w:pPr>
              <w:spacing w:after="0"/>
              <w:rPr>
                <w:sz w:val="24"/>
                <w:szCs w:val="24"/>
                <w:color w:val="auto"/>
              </w:rPr>
            </w:pPr>
          </w:p>
        </w:tc>
        <w:tc>
          <w:tcPr>
            <w:tcW w:w="5560" w:type="dxa"/>
            <w:vAlign w:val="bottom"/>
          </w:tcPr>
          <w:p>
            <w:pPr>
              <w:ind w:left="440"/>
              <w:spacing w:after="0"/>
              <w:rPr>
                <w:sz w:val="20"/>
                <w:szCs w:val="20"/>
                <w:color w:val="auto"/>
              </w:rPr>
            </w:pPr>
            <w:r>
              <w:rPr>
                <w:rFonts w:ascii="Courier New" w:cs="Courier New" w:eastAsia="Courier New" w:hAnsi="Courier New"/>
                <w:sz w:val="16"/>
                <w:szCs w:val="16"/>
                <w:color w:val="auto"/>
              </w:rPr>
              <w:t>18 U.S.C. ss. 1350.</w:t>
            </w:r>
          </w:p>
        </w:tc>
      </w:tr>
      <w:tr>
        <w:trPr>
          <w:trHeight w:val="948"/>
        </w:trPr>
        <w:tc>
          <w:tcPr>
            <w:tcW w:w="1540" w:type="dxa"/>
            <w:vAlign w:val="bottom"/>
          </w:tcPr>
          <w:p>
            <w:pPr>
              <w:spacing w:after="0"/>
              <w:rPr>
                <w:sz w:val="24"/>
                <w:szCs w:val="24"/>
                <w:color w:val="auto"/>
              </w:rPr>
            </w:pPr>
          </w:p>
        </w:tc>
        <w:tc>
          <w:tcPr>
            <w:tcW w:w="5560" w:type="dxa"/>
            <w:vAlign w:val="bottom"/>
          </w:tcPr>
          <w:p>
            <w:pPr>
              <w:ind w:left="1520"/>
              <w:spacing w:after="0"/>
              <w:rPr>
                <w:sz w:val="20"/>
                <w:szCs w:val="20"/>
                <w:color w:val="auto"/>
              </w:rPr>
            </w:pPr>
            <w:r>
              <w:rPr>
                <w:rFonts w:ascii="Courier New" w:cs="Courier New" w:eastAsia="Courier New" w:hAnsi="Courier New"/>
                <w:sz w:val="16"/>
                <w:szCs w:val="16"/>
                <w:color w:val="auto"/>
              </w:rPr>
              <w:t>24</w:t>
            </w:r>
          </w:p>
        </w:tc>
      </w:tr>
    </w:tbl>
    <w:p>
      <w:pPr>
        <w:sectPr>
          <w:pgSz w:w="11900" w:h="16838" w:orient="portrait"/>
          <w:cols w:equalWidth="0" w:num="1">
            <w:col w:w="9439"/>
          </w:cols>
          <w:pgMar w:left="1020" w:top="1224" w:right="1440" w:bottom="1440" w:gutter="0" w:footer="0" w:header="0"/>
        </w:sectPr>
      </w:pPr>
    </w:p>
    <w:bookmarkStart w:id="25" w:name="page26"/>
    <w:bookmarkEnd w:id="25"/>
    <w:p>
      <w:pPr>
        <w:jc w:val="right"/>
        <w:ind w:right="2339"/>
        <w:spacing w:after="0"/>
        <w:rPr>
          <w:sz w:val="20"/>
          <w:szCs w:val="20"/>
          <w:color w:val="auto"/>
        </w:rPr>
      </w:pPr>
      <w:r>
        <w:rPr>
          <w:rFonts w:ascii="Courier New" w:cs="Courier New" w:eastAsia="Courier New" w:hAnsi="Courier New"/>
          <w:sz w:val="16"/>
          <w:szCs w:val="16"/>
          <w:color w:val="auto"/>
        </w:rPr>
        <w:t>EXHIBIT 10.1</w:t>
      </w:r>
    </w:p>
    <w:p>
      <w:pPr>
        <w:spacing w:after="0" w:line="388" w:lineRule="exact"/>
        <w:rPr>
          <w:sz w:val="20"/>
          <w:szCs w:val="20"/>
          <w:color w:val="auto"/>
        </w:rPr>
      </w:pPr>
    </w:p>
    <w:p>
      <w:pPr>
        <w:jc w:val="center"/>
        <w:ind w:left="340" w:right="980"/>
        <w:spacing w:after="0" w:line="288" w:lineRule="auto"/>
        <w:rPr>
          <w:sz w:val="20"/>
          <w:szCs w:val="20"/>
          <w:color w:val="auto"/>
        </w:rPr>
      </w:pPr>
      <w:r>
        <w:rPr>
          <w:rFonts w:ascii="Courier New" w:cs="Courier New" w:eastAsia="Courier New" w:hAnsi="Courier New"/>
          <w:sz w:val="16"/>
          <w:szCs w:val="16"/>
          <w:color w:val="auto"/>
        </w:rPr>
        <w:t>TERMS AND CONDITIONS REGARDING THE GRANT OF OPTIONS IN LIEU OF CASH DIRECTORS FEES TO NON-EMPLOYEE DIRECTORS UNDER</w:t>
      </w:r>
    </w:p>
    <w:p>
      <w:pPr>
        <w:spacing w:after="0" w:line="164"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2003 EQUITY INCENTIVE PLAN</w:t>
      </w:r>
    </w:p>
    <w:p>
      <w:pPr>
        <w:spacing w:after="0" w:line="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OF</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MANPOWER INC.</w:t>
      </w:r>
    </w:p>
    <w:p>
      <w:pPr>
        <w:spacing w:after="0" w:line="16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FEBRUARY 18, 2003</w:t>
      </w:r>
    </w:p>
    <w:p>
      <w:pPr>
        <w:spacing w:after="0" w:line="198" w:lineRule="exact"/>
        <w:rPr>
          <w:sz w:val="20"/>
          <w:szCs w:val="20"/>
          <w:color w:val="auto"/>
        </w:rPr>
      </w:pPr>
    </w:p>
    <w:p>
      <w:pPr>
        <w:ind w:left="1380" w:hanging="492"/>
        <w:spacing w:after="0"/>
        <w:tabs>
          <w:tab w:leader="none" w:pos="13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8" w:lineRule="exact"/>
        <w:rPr>
          <w:sz w:val="20"/>
          <w:szCs w:val="20"/>
          <w:color w:val="auto"/>
        </w:rPr>
      </w:pPr>
    </w:p>
    <w:p>
      <w:pPr>
        <w:ind w:right="2519" w:firstLine="887"/>
        <w:spacing w:after="0" w:line="376" w:lineRule="auto"/>
        <w:rPr>
          <w:sz w:val="20"/>
          <w:szCs w:val="20"/>
          <w:color w:val="auto"/>
        </w:rPr>
      </w:pPr>
      <w:r>
        <w:rPr>
          <w:rFonts w:ascii="Courier New" w:cs="Courier New" w:eastAsia="Courier New" w:hAnsi="Courier New"/>
          <w:sz w:val="16"/>
          <w:szCs w:val="16"/>
          <w:color w:val="auto"/>
        </w:rPr>
        <w:t>Unless the context otherwise requires, the following terms shall have the meanings set forth below:</w:t>
      </w:r>
    </w:p>
    <w:p>
      <w:pPr>
        <w:spacing w:after="0" w:line="1" w:lineRule="exact"/>
        <w:rPr>
          <w:sz w:val="20"/>
          <w:szCs w:val="20"/>
          <w:color w:val="auto"/>
        </w:rPr>
      </w:pPr>
    </w:p>
    <w:p>
      <w:pPr>
        <w:ind w:right="2619" w:firstLine="888"/>
        <w:spacing w:after="0" w:line="376" w:lineRule="auto"/>
        <w:tabs>
          <w:tab w:leader="none" w:pos="12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"Election Date" shall mean the date of the Director's initial appointment to the Board of Directors and thereafter November 5 of any year.</w:t>
      </w:r>
    </w:p>
    <w:p>
      <w:pPr>
        <w:ind w:right="2619" w:firstLine="888"/>
        <w:spacing w:after="0" w:line="314" w:lineRule="auto"/>
        <w:tabs>
          <w:tab w:leader="none" w:pos="12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"Election Period" shall mean the period beginning November 5, 2001, and ending November 4, 2006, or a subsequent period of five years beginning on the day following the end of the prior Election Period.</w:t>
      </w:r>
    </w:p>
    <w:p>
      <w:pPr>
        <w:spacing w:after="0" w:line="46" w:lineRule="exact"/>
        <w:rPr>
          <w:rFonts w:ascii="Courier New" w:cs="Courier New" w:eastAsia="Courier New" w:hAnsi="Courier New"/>
          <w:sz w:val="16"/>
          <w:szCs w:val="16"/>
          <w:color w:val="auto"/>
        </w:rPr>
      </w:pPr>
    </w:p>
    <w:p>
      <w:pPr>
        <w:ind w:left="1280" w:hanging="392"/>
        <w:spacing w:after="0"/>
        <w:tabs>
          <w:tab w:leader="none" w:pos="12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shall mean a Nonstatutory Stock Option granted under the</w:t>
      </w:r>
    </w:p>
    <w:p>
      <w:pPr>
        <w:spacing w:after="0" w:line="3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Equity Plan.</w:t>
      </w:r>
    </w:p>
    <w:p>
      <w:pPr>
        <w:spacing w:after="0" w:line="167" w:lineRule="exact"/>
        <w:rPr>
          <w:rFonts w:ascii="Courier New" w:cs="Courier New" w:eastAsia="Courier New" w:hAnsi="Courier New"/>
          <w:sz w:val="16"/>
          <w:szCs w:val="16"/>
          <w:color w:val="auto"/>
        </w:rPr>
      </w:pPr>
    </w:p>
    <w:p>
      <w:pPr>
        <w:ind w:left="1280" w:hanging="392"/>
        <w:spacing w:after="0"/>
        <w:tabs>
          <w:tab w:leader="none" w:pos="12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"Equity Plan" shall mean the 2003 Equity Incentive Plan of the</w:t>
      </w:r>
    </w:p>
    <w:p>
      <w:pPr>
        <w:spacing w:after="0" w:line="3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67" w:lineRule="exact"/>
        <w:rPr>
          <w:rFonts w:ascii="Courier New" w:cs="Courier New" w:eastAsia="Courier New" w:hAnsi="Courier New"/>
          <w:sz w:val="16"/>
          <w:szCs w:val="16"/>
          <w:color w:val="auto"/>
        </w:rPr>
      </w:pPr>
    </w:p>
    <w:p>
      <w:pPr>
        <w:ind w:right="2519" w:firstLine="888"/>
        <w:spacing w:after="0" w:line="293" w:lineRule="auto"/>
        <w:tabs>
          <w:tab w:leader="none" w:pos="128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"Retirement" shall mean a Director's termination of membership on the Board of Directors at a time when (1) the Director is age 60 or older and has served at least five years on the Board of Directors, or (2) the Director has served at least ten years on the Board of Directors.</w:t>
      </w:r>
    </w:p>
    <w:p>
      <w:pPr>
        <w:spacing w:after="0" w:line="63" w:lineRule="exact"/>
        <w:rPr>
          <w:sz w:val="20"/>
          <w:szCs w:val="20"/>
          <w:color w:val="auto"/>
        </w:rPr>
      </w:pPr>
    </w:p>
    <w:p>
      <w:pPr>
        <w:ind w:right="2439" w:firstLine="887"/>
        <w:spacing w:after="0" w:line="376" w:lineRule="auto"/>
        <w:rPr>
          <w:sz w:val="20"/>
          <w:szCs w:val="20"/>
          <w:color w:val="auto"/>
        </w:rPr>
      </w:pPr>
      <w:r>
        <w:rPr>
          <w:rFonts w:ascii="Courier New" w:cs="Courier New" w:eastAsia="Courier New" w:hAnsi="Courier New"/>
          <w:sz w:val="16"/>
          <w:szCs w:val="16"/>
          <w:color w:val="auto"/>
        </w:rPr>
        <w:t>Any capitalized terms used below which are not otherwise defined above will have the meanings assigned to them in the Equity Plan.</w:t>
      </w:r>
    </w:p>
    <w:p>
      <w:pPr>
        <w:spacing w:after="0" w:line="1" w:lineRule="exact"/>
        <w:rPr>
          <w:sz w:val="20"/>
          <w:szCs w:val="20"/>
          <w:color w:val="auto"/>
        </w:rPr>
      </w:pPr>
    </w:p>
    <w:p>
      <w:pPr>
        <w:ind w:left="1380" w:hanging="492"/>
        <w:spacing w:after="0"/>
        <w:tabs>
          <w:tab w:leader="none" w:pos="13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 TO ELECT OPTIONS.</w:t>
      </w:r>
    </w:p>
    <w:p>
      <w:pPr>
        <w:spacing w:after="0" w:line="198" w:lineRule="exact"/>
        <w:rPr>
          <w:sz w:val="20"/>
          <w:szCs w:val="20"/>
          <w:color w:val="auto"/>
        </w:rPr>
      </w:pPr>
    </w:p>
    <w:p>
      <w:pPr>
        <w:ind w:right="2439" w:firstLine="888"/>
        <w:spacing w:after="0" w:line="260" w:lineRule="auto"/>
        <w:tabs>
          <w:tab w:leader="none" w:pos="12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Elective Options. A Director may elect to receive, in lieu of all cash compensation to which he or she would otherwise be entitled as a Director (other than reimbursement for expenses), an Option granted in accordance with the following. The election shall cover a period of whole years (except as provided below) determined by the Director at the time of election beginning on any Election Date as of which no prior election is in effect under these Terms and Conditions (or similar election under the Procedures Governing the Grant of Options to Non-Employee Directors Under the 1994 Executive Stock Option and Restricted Stock Plan of the Company or under the Deferred Stock Plan of the Company), and ending no later than the expiration of the then current Election Period. If the Election Date is other than November 5 of any year, the first year covered by an election shall be a partial year beginning on the Election Date and ending on the next succeeding November 4, and the number of shares covered by the Option for this first partial year shall be prorated (rounded to the nearest whole</w:t>
      </w:r>
    </w:p>
    <w:p>
      <w:pPr>
        <w:sectPr>
          <w:pgSz w:w="11900" w:h="16838" w:orient="portrait"/>
          <w:cols w:equalWidth="0" w:num="1">
            <w:col w:w="10219"/>
          </w:cols>
          <w:pgMar w:left="240" w:top="301" w:right="1440" w:bottom="1440" w:gutter="0" w:footer="0" w:header="0"/>
        </w:sectPr>
      </w:pPr>
    </w:p>
    <w:bookmarkStart w:id="26" w:name="page27"/>
    <w:bookmarkEnd w:id="26"/>
    <w:p>
      <w:pPr>
        <w:ind w:right="2339"/>
        <w:spacing w:after="0" w:line="262" w:lineRule="auto"/>
        <w:rPr>
          <w:sz w:val="20"/>
          <w:szCs w:val="20"/>
          <w:color w:val="auto"/>
        </w:rPr>
      </w:pPr>
      <w:r>
        <w:rPr>
          <w:rFonts w:ascii="Courier New" w:cs="Courier New" w:eastAsia="Courier New" w:hAnsi="Courier New"/>
          <w:sz w:val="16"/>
          <w:szCs w:val="16"/>
          <w:color w:val="auto"/>
        </w:rPr>
        <w:t>share) based on the ratio of the number of days in such partial year to 365. The election to receive an Option in lieu of cash compensation must be made on or before the commencement of the period covered by the election, except that for an election made by a Director in connection with his or her initial appointment to the Board of Directors, the election may be made within the first 10 days following the date of such appointment. Notwithstanding the foregoing, no Director who is a resident of the United Kingdom shall be eligible to make an election hereunder but rather shall be required to receive an Option in lieu of cash compensation and, as such, treated as if he or she had made an election covering a period of five years effective beginning on each Election Date as of which no prior election is in effect. The Option will be for the following number of shares, subject to adjustment pursuant to Paragraph 2(b), below:</w:t>
      </w:r>
    </w:p>
    <w:p>
      <w:pPr>
        <w:spacing w:after="0" w:line="200" w:lineRule="exact"/>
        <w:rPr>
          <w:sz w:val="20"/>
          <w:szCs w:val="20"/>
          <w:color w:val="auto"/>
        </w:rPr>
      </w:pPr>
    </w:p>
    <w:p>
      <w:pPr>
        <w:spacing w:after="0" w:line="269" w:lineRule="exact"/>
        <w:rPr>
          <w:sz w:val="20"/>
          <w:szCs w:val="20"/>
          <w:color w:val="auto"/>
        </w:rPr>
      </w:pPr>
    </w:p>
    <w:tbl>
      <w:tblPr>
        <w:tblLayout w:type="fixed"/>
        <w:tblInd w:w="2560" w:type="dxa"/>
        <w:tblCellMar>
          <w:top w:w="0" w:type="dxa"/>
          <w:left w:w="0" w:type="dxa"/>
          <w:bottom w:w="0" w:type="dxa"/>
          <w:right w:w="0" w:type="dxa"/>
        </w:tblCellMar>
      </w:tblPr>
      <w:tr>
        <w:trPr>
          <w:trHeight w:val="190"/>
        </w:trPr>
        <w:tc>
          <w:tcPr>
            <w:tcW w:w="3600" w:type="dxa"/>
            <w:vAlign w:val="bottom"/>
          </w:tcPr>
          <w:p>
            <w:pPr>
              <w:jc w:val="center"/>
              <w:ind w:right="1638"/>
              <w:spacing w:after="0"/>
              <w:rPr>
                <w:sz w:val="20"/>
                <w:szCs w:val="20"/>
                <w:color w:val="auto"/>
              </w:rPr>
            </w:pPr>
            <w:r>
              <w:rPr>
                <w:rFonts w:ascii="Courier New" w:cs="Courier New" w:eastAsia="Courier New" w:hAnsi="Courier New"/>
                <w:sz w:val="16"/>
                <w:szCs w:val="16"/>
                <w:color w:val="auto"/>
              </w:rPr>
              <w:t>Years of Cash</w:t>
            </w:r>
          </w:p>
        </w:tc>
        <w:tc>
          <w:tcPr>
            <w:tcW w:w="3100" w:type="dxa"/>
            <w:vAlign w:val="bottom"/>
          </w:tcPr>
          <w:p>
            <w:pPr>
              <w:jc w:val="right"/>
              <w:spacing w:after="0"/>
              <w:rPr>
                <w:sz w:val="20"/>
                <w:szCs w:val="20"/>
                <w:color w:val="auto"/>
              </w:rPr>
            </w:pPr>
            <w:r>
              <w:rPr>
                <w:rFonts w:ascii="Courier New" w:cs="Courier New" w:eastAsia="Courier New" w:hAnsi="Courier New"/>
                <w:sz w:val="16"/>
                <w:szCs w:val="16"/>
                <w:color w:val="auto"/>
              </w:rPr>
              <w:t>Shares Covered</w:t>
            </w:r>
          </w:p>
        </w:tc>
      </w:tr>
      <w:tr>
        <w:trPr>
          <w:trHeight w:val="190"/>
        </w:trPr>
        <w:tc>
          <w:tcPr>
            <w:tcW w:w="3600" w:type="dxa"/>
            <w:vAlign w:val="bottom"/>
          </w:tcPr>
          <w:p>
            <w:pPr>
              <w:jc w:val="center"/>
              <w:ind w:right="1638"/>
              <w:spacing w:after="0"/>
              <w:rPr>
                <w:sz w:val="20"/>
                <w:szCs w:val="20"/>
                <w:color w:val="auto"/>
              </w:rPr>
            </w:pPr>
            <w:r>
              <w:rPr>
                <w:rFonts w:ascii="Courier New" w:cs="Courier New" w:eastAsia="Courier New" w:hAnsi="Courier New"/>
                <w:sz w:val="16"/>
                <w:szCs w:val="16"/>
                <w:color w:val="auto"/>
              </w:rPr>
              <w:t>Compensation Waived</w:t>
            </w:r>
          </w:p>
        </w:tc>
        <w:tc>
          <w:tcPr>
            <w:tcW w:w="310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by Option</w:t>
            </w:r>
          </w:p>
        </w:tc>
      </w:tr>
      <w:tr>
        <w:trPr>
          <w:trHeight w:val="277"/>
        </w:trPr>
        <w:tc>
          <w:tcPr>
            <w:tcW w:w="3600" w:type="dxa"/>
            <w:vAlign w:val="bottom"/>
          </w:tcPr>
          <w:p>
            <w:pPr>
              <w:jc w:val="center"/>
              <w:ind w:right="1638"/>
              <w:spacing w:after="0"/>
              <w:rPr>
                <w:sz w:val="20"/>
                <w:szCs w:val="20"/>
                <w:color w:val="auto"/>
              </w:rPr>
            </w:pPr>
            <w:r>
              <w:rPr>
                <w:rFonts w:ascii="Courier New" w:cs="Courier New" w:eastAsia="Courier New" w:hAnsi="Courier New"/>
                <w:sz w:val="16"/>
                <w:szCs w:val="16"/>
                <w:color w:val="auto"/>
              </w:rPr>
              <w:t>-------------------</w:t>
            </w:r>
          </w:p>
        </w:tc>
        <w:tc>
          <w:tcPr>
            <w:tcW w:w="310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w:t>
            </w:r>
          </w:p>
        </w:tc>
      </w:tr>
      <w:tr>
        <w:trPr>
          <w:trHeight w:val="481"/>
        </w:trPr>
        <w:tc>
          <w:tcPr>
            <w:tcW w:w="3600" w:type="dxa"/>
            <w:vAlign w:val="bottom"/>
          </w:tcPr>
          <w:p>
            <w:pPr>
              <w:jc w:val="center"/>
              <w:ind w:right="1618"/>
              <w:spacing w:after="0"/>
              <w:rPr>
                <w:sz w:val="20"/>
                <w:szCs w:val="20"/>
                <w:color w:val="auto"/>
              </w:rPr>
            </w:pPr>
            <w:r>
              <w:rPr>
                <w:rFonts w:ascii="Courier New" w:cs="Courier New" w:eastAsia="Courier New" w:hAnsi="Courier New"/>
                <w:sz w:val="16"/>
                <w:szCs w:val="16"/>
                <w:color w:val="auto"/>
              </w:rPr>
              <w:t>5</w:t>
            </w:r>
          </w:p>
        </w:tc>
        <w:tc>
          <w:tcPr>
            <w:tcW w:w="310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50,000</w:t>
            </w:r>
          </w:p>
        </w:tc>
      </w:tr>
      <w:tr>
        <w:trPr>
          <w:trHeight w:val="190"/>
        </w:trPr>
        <w:tc>
          <w:tcPr>
            <w:tcW w:w="3600" w:type="dxa"/>
            <w:vAlign w:val="bottom"/>
          </w:tcPr>
          <w:p>
            <w:pPr>
              <w:jc w:val="center"/>
              <w:ind w:right="1618"/>
              <w:spacing w:after="0"/>
              <w:rPr>
                <w:sz w:val="20"/>
                <w:szCs w:val="20"/>
                <w:color w:val="auto"/>
              </w:rPr>
            </w:pPr>
            <w:r>
              <w:rPr>
                <w:rFonts w:ascii="Courier New" w:cs="Courier New" w:eastAsia="Courier New" w:hAnsi="Courier New"/>
                <w:sz w:val="16"/>
                <w:szCs w:val="16"/>
                <w:color w:val="auto"/>
              </w:rPr>
              <w:t>4</w:t>
            </w:r>
          </w:p>
        </w:tc>
        <w:tc>
          <w:tcPr>
            <w:tcW w:w="310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40,000</w:t>
            </w:r>
          </w:p>
        </w:tc>
      </w:tr>
      <w:tr>
        <w:trPr>
          <w:trHeight w:val="190"/>
        </w:trPr>
        <w:tc>
          <w:tcPr>
            <w:tcW w:w="3600" w:type="dxa"/>
            <w:vAlign w:val="bottom"/>
          </w:tcPr>
          <w:p>
            <w:pPr>
              <w:jc w:val="center"/>
              <w:ind w:right="1618"/>
              <w:spacing w:after="0"/>
              <w:rPr>
                <w:sz w:val="20"/>
                <w:szCs w:val="20"/>
                <w:color w:val="auto"/>
              </w:rPr>
            </w:pPr>
            <w:r>
              <w:rPr>
                <w:rFonts w:ascii="Courier New" w:cs="Courier New" w:eastAsia="Courier New" w:hAnsi="Courier New"/>
                <w:sz w:val="16"/>
                <w:szCs w:val="16"/>
                <w:color w:val="auto"/>
              </w:rPr>
              <w:t>3</w:t>
            </w:r>
          </w:p>
        </w:tc>
        <w:tc>
          <w:tcPr>
            <w:tcW w:w="310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30,000</w:t>
            </w:r>
          </w:p>
        </w:tc>
      </w:tr>
      <w:tr>
        <w:trPr>
          <w:trHeight w:val="190"/>
        </w:trPr>
        <w:tc>
          <w:tcPr>
            <w:tcW w:w="3600" w:type="dxa"/>
            <w:vAlign w:val="bottom"/>
          </w:tcPr>
          <w:p>
            <w:pPr>
              <w:jc w:val="center"/>
              <w:ind w:right="1618"/>
              <w:spacing w:after="0"/>
              <w:rPr>
                <w:sz w:val="20"/>
                <w:szCs w:val="20"/>
                <w:color w:val="auto"/>
              </w:rPr>
            </w:pPr>
            <w:r>
              <w:rPr>
                <w:rFonts w:ascii="Courier New" w:cs="Courier New" w:eastAsia="Courier New" w:hAnsi="Courier New"/>
                <w:sz w:val="16"/>
                <w:szCs w:val="16"/>
                <w:color w:val="auto"/>
              </w:rPr>
              <w:t>2</w:t>
            </w:r>
          </w:p>
        </w:tc>
        <w:tc>
          <w:tcPr>
            <w:tcW w:w="310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20,000</w:t>
            </w:r>
          </w:p>
        </w:tc>
      </w:tr>
      <w:tr>
        <w:trPr>
          <w:trHeight w:val="277"/>
        </w:trPr>
        <w:tc>
          <w:tcPr>
            <w:tcW w:w="3600" w:type="dxa"/>
            <w:vAlign w:val="bottom"/>
          </w:tcPr>
          <w:p>
            <w:pPr>
              <w:jc w:val="center"/>
              <w:ind w:right="1618"/>
              <w:spacing w:after="0"/>
              <w:rPr>
                <w:sz w:val="20"/>
                <w:szCs w:val="20"/>
                <w:color w:val="auto"/>
              </w:rPr>
            </w:pPr>
            <w:r>
              <w:rPr>
                <w:rFonts w:ascii="Courier New" w:cs="Courier New" w:eastAsia="Courier New" w:hAnsi="Courier New"/>
                <w:sz w:val="16"/>
                <w:szCs w:val="16"/>
                <w:color w:val="auto"/>
              </w:rPr>
              <w:t>1</w:t>
            </w:r>
          </w:p>
        </w:tc>
        <w:tc>
          <w:tcPr>
            <w:tcW w:w="3100" w:type="dxa"/>
            <w:vAlign w:val="bottom"/>
          </w:tcPr>
          <w:p>
            <w:pPr>
              <w:jc w:val="right"/>
              <w:ind w:right="198"/>
              <w:spacing w:after="0"/>
              <w:rPr>
                <w:sz w:val="20"/>
                <w:szCs w:val="20"/>
                <w:color w:val="auto"/>
              </w:rPr>
            </w:pPr>
            <w:r>
              <w:rPr>
                <w:rFonts w:ascii="Courier New" w:cs="Courier New" w:eastAsia="Courier New" w:hAnsi="Courier New"/>
                <w:sz w:val="16"/>
                <w:szCs w:val="16"/>
                <w:color w:val="auto"/>
              </w:rPr>
              <w:t>10,000</w:t>
            </w:r>
          </w:p>
        </w:tc>
      </w:tr>
    </w:tbl>
    <w:p>
      <w:pPr>
        <w:spacing w:after="0" w:line="292" w:lineRule="exact"/>
        <w:rPr>
          <w:sz w:val="20"/>
          <w:szCs w:val="20"/>
          <w:color w:val="auto"/>
        </w:rPr>
      </w:pPr>
    </w:p>
    <w:p>
      <w:pPr>
        <w:ind w:right="2339"/>
        <w:spacing w:after="0" w:line="266" w:lineRule="auto"/>
        <w:rPr>
          <w:sz w:val="20"/>
          <w:szCs w:val="20"/>
          <w:color w:val="auto"/>
        </w:rPr>
      </w:pPr>
      <w:r>
        <w:rPr>
          <w:rFonts w:ascii="Courier New" w:cs="Courier New" w:eastAsia="Courier New" w:hAnsi="Courier New"/>
          <w:sz w:val="16"/>
          <w:szCs w:val="16"/>
          <w:color w:val="auto"/>
        </w:rPr>
        <w:t>Said election shall be in writing and delivered to the Secretary of the Company. The date of grant of the Option shall be the date on which the period covered by the election begins. The Company shall effect the granting of Options under these Terms and Conditions by the execution of Option Agreements. Instead of electing to receive an Option in lieu of all cash compensation as provided above, a Director may make such election for only 75 percent or 50 percent of such cash compensation. In such event, the Option will be for 75 percent or 50 percent, respectively, of the number of shares otherwise provided above, again subject to adjustment pursuant to Paragraph 2(b), below.</w:t>
      </w:r>
    </w:p>
    <w:p>
      <w:pPr>
        <w:spacing w:after="0" w:line="88" w:lineRule="exact"/>
        <w:rPr>
          <w:sz w:val="20"/>
          <w:szCs w:val="20"/>
          <w:color w:val="auto"/>
        </w:rPr>
      </w:pPr>
    </w:p>
    <w:p>
      <w:pPr>
        <w:ind w:right="2439" w:firstLine="888"/>
        <w:spacing w:after="0" w:line="282" w:lineRule="auto"/>
        <w:tabs>
          <w:tab w:leader="none" w:pos="128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Based on Changes in the Market Price of Shares. For any Option granted pursuant to Paragraph 2(a) after November 5, 2001, each of the numbers in the schedule in Paragraph 2(a), above, under "Shares Covered by Option" shall be adjusted, in accordance with the following formula, to equal the value of X, where</w:t>
      </w:r>
    </w:p>
    <w:p>
      <w:pPr>
        <w:spacing w:after="0" w:line="200" w:lineRule="exact"/>
        <w:rPr>
          <w:sz w:val="20"/>
          <w:szCs w:val="20"/>
          <w:color w:val="auto"/>
        </w:rPr>
      </w:pPr>
    </w:p>
    <w:p>
      <w:pPr>
        <w:spacing w:after="0" w:line="252" w:lineRule="exact"/>
        <w:rPr>
          <w:sz w:val="20"/>
          <w:szCs w:val="20"/>
          <w:color w:val="auto"/>
        </w:rPr>
      </w:pPr>
    </w:p>
    <w:p>
      <w:pPr>
        <w:ind w:left="880"/>
        <w:spacing w:after="0"/>
        <w:tabs>
          <w:tab w:leader="none" w:pos="1160" w:val="left"/>
          <w:tab w:leader="none" w:pos="1760" w:val="left"/>
          <w:tab w:leader="none" w:pos="4320" w:val="left"/>
          <w:tab w:leader="none" w:pos="4620" w:val="left"/>
        </w:tabs>
        <w:rPr>
          <w:sz w:val="20"/>
          <w:szCs w:val="20"/>
          <w:color w:val="auto"/>
        </w:rPr>
      </w:pPr>
      <w:r>
        <w:rPr>
          <w:rFonts w:ascii="Courier New" w:cs="Courier New" w:eastAsia="Courier New" w:hAnsi="Courier New"/>
          <w:sz w:val="16"/>
          <w:szCs w:val="16"/>
          <w:color w:val="auto"/>
        </w:rPr>
        <w:t>X</w:t>
        <w:tab/>
        <w:t>=</w:t>
      </w:r>
      <w:r>
        <w:rPr>
          <w:sz w:val="20"/>
          <w:szCs w:val="20"/>
          <w:color w:val="auto"/>
        </w:rPr>
        <w:tab/>
      </w:r>
      <w:r>
        <w:rPr>
          <w:rFonts w:ascii="Courier New" w:cs="Courier New" w:eastAsia="Courier New" w:hAnsi="Courier New"/>
          <w:sz w:val="16"/>
          <w:szCs w:val="16"/>
          <w:color w:val="auto"/>
        </w:rPr>
        <w:t>Number shown in schedule</w:t>
        <w:tab/>
        <w:t>x</w:t>
        <w:tab/>
        <w:t>$28.38</w:t>
      </w:r>
    </w:p>
    <w:p>
      <w:pPr>
        <w:spacing w:after="0" w:line="3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right"/>
        <w:ind w:right="1239"/>
        <w:spacing w:after="0"/>
        <w:rPr>
          <w:sz w:val="20"/>
          <w:szCs w:val="20"/>
          <w:color w:val="auto"/>
        </w:rPr>
      </w:pPr>
      <w:r>
        <w:rPr>
          <w:rFonts w:ascii="Courier New" w:cs="Courier New" w:eastAsia="Courier New" w:hAnsi="Courier New"/>
          <w:sz w:val="16"/>
          <w:szCs w:val="16"/>
          <w:color w:val="auto"/>
        </w:rPr>
        <w:t>Market Price on the business day immediately proceeding the date of grant</w:t>
      </w:r>
    </w:p>
    <w:p>
      <w:pPr>
        <w:spacing w:after="0" w:line="358"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13" w:right="1440" w:bottom="1440" w:gutter="0" w:footer="0" w:header="0"/>
        </w:sectPr>
      </w:pPr>
    </w:p>
    <w:bookmarkStart w:id="27" w:name="page28"/>
    <w:bookmarkEnd w:id="27"/>
    <w:p>
      <w:pPr>
        <w:ind w:left="492" w:hanging="492"/>
        <w:spacing w:after="0"/>
        <w:tabs>
          <w:tab w:leader="none" w:pos="492"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GENERAL PROVISIONS</w:t>
      </w:r>
    </w:p>
    <w:p>
      <w:pPr>
        <w:spacing w:after="0" w:line="198" w:lineRule="exact"/>
        <w:rPr>
          <w:sz w:val="20"/>
          <w:szCs w:val="20"/>
          <w:color w:val="auto"/>
        </w:rPr>
      </w:pPr>
    </w:p>
    <w:p>
      <w:pPr>
        <w:ind w:left="-888" w:right="2339" w:firstLine="888"/>
        <w:spacing w:after="0" w:line="276" w:lineRule="auto"/>
        <w:tabs>
          <w:tab w:leader="none" w:pos="39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Exercise Price. The per share purchase price of the Shares under each Option granted pursuant to these Terms and Conditions shall be equal to one hundred percent (100%) of the fair market value per Share on the date of grant of such Option. The fair market value per Share on the date of grant shall be the Market Price for the business day immediately preceding the date of grant of such Option.</w:t>
      </w:r>
    </w:p>
    <w:p>
      <w:pPr>
        <w:spacing w:after="0" w:line="76" w:lineRule="exact"/>
        <w:rPr>
          <w:rFonts w:ascii="Courier New" w:cs="Courier New" w:eastAsia="Courier New" w:hAnsi="Courier New"/>
          <w:sz w:val="16"/>
          <w:szCs w:val="16"/>
          <w:color w:val="auto"/>
        </w:rPr>
      </w:pPr>
    </w:p>
    <w:p>
      <w:pPr>
        <w:ind w:left="-888" w:right="2819" w:firstLine="888"/>
        <w:spacing w:after="0" w:line="376" w:lineRule="auto"/>
        <w:tabs>
          <w:tab w:leader="none" w:pos="39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Period. The following shall apply for Options granted pursuant to these Terms and Conditions:</w:t>
      </w:r>
    </w:p>
    <w:p>
      <w:pPr>
        <w:ind w:left="-8" w:right="2439" w:firstLine="896"/>
        <w:spacing w:after="0" w:line="265" w:lineRule="auto"/>
        <w:tabs>
          <w:tab w:leader="none" w:pos="127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shall not initially be exercisable. On November 5 of each year following the date of grant of an Option, the Option shall become exercisable as to a number of shares equal to that number attributable to a period of one year under the Option. Notwithstanding the foregoing sentence, if an election covers a partial year as provided in Paragraph 2(a), above, then with respect to the number of shares attributable to that partial year the Option shall become exercisable on the later of the November 5 following the date of grant or the day that is six months after the date of grant, and thereafter the foregoing sentence shall apply to the Option.</w:t>
      </w:r>
    </w:p>
    <w:p>
      <w:pPr>
        <w:spacing w:after="0" w:line="84" w:lineRule="exact"/>
        <w:rPr>
          <w:rFonts w:ascii="Courier New" w:cs="Courier New" w:eastAsia="Courier New" w:hAnsi="Courier New"/>
          <w:sz w:val="16"/>
          <w:szCs w:val="16"/>
          <w:color w:val="auto"/>
        </w:rPr>
      </w:pPr>
    </w:p>
    <w:p>
      <w:pPr>
        <w:ind w:left="-8" w:right="2339" w:firstLine="896"/>
        <w:spacing w:after="0" w:line="314" w:lineRule="auto"/>
        <w:tabs>
          <w:tab w:leader="none" w:pos="127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termination of a Director's tenure as a Director, any portion of an Option which has not become exercisable shall lapse except as follows:</w:t>
      </w:r>
    </w:p>
    <w:p>
      <w:pPr>
        <w:spacing w:after="0" w:line="46" w:lineRule="exact"/>
        <w:rPr>
          <w:rFonts w:ascii="Courier New" w:cs="Courier New" w:eastAsia="Courier New" w:hAnsi="Courier New"/>
          <w:sz w:val="16"/>
          <w:szCs w:val="16"/>
          <w:color w:val="auto"/>
        </w:rPr>
      </w:pPr>
    </w:p>
    <w:p>
      <w:pPr>
        <w:ind w:left="892" w:right="2339" w:firstLine="883"/>
        <w:spacing w:after="0" w:line="265" w:lineRule="auto"/>
        <w:tabs>
          <w:tab w:leader="none" w:pos="2173"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 shall become immediately exercisable as to a prorated number of Shares based on the time served during the one-year period (or partial-year period, if applicable) indicated in Paragraph 3(b)(1), above, in which termination occurs; provided, however, that for this purpose, any Director whose term expires in any year who does not stand for election at the Annual Meeting of Shareholders that year but continues to serve until the date of such meeting will be treated as if he or she had served through November 4 of such year.</w:t>
      </w:r>
    </w:p>
    <w:p>
      <w:pPr>
        <w:spacing w:after="0" w:line="284" w:lineRule="exact"/>
        <w:rPr>
          <w:rFonts w:ascii="Courier New" w:cs="Courier New" w:eastAsia="Courier New" w:hAnsi="Courier New"/>
          <w:sz w:val="16"/>
          <w:szCs w:val="16"/>
          <w:color w:val="auto"/>
        </w:rPr>
      </w:pPr>
    </w:p>
    <w:p>
      <w:pPr>
        <w:ind w:left="892" w:right="2439" w:firstLine="883"/>
        <w:spacing w:after="0" w:line="314" w:lineRule="auto"/>
        <w:tabs>
          <w:tab w:leader="none" w:pos="2173" w:val="left"/>
        </w:tabs>
        <w:numPr>
          <w:ilvl w:val="2"/>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death or Disability of a Director, each Option of such Director shall become immediately exercisable as to 100% of the Shares covered thereby.</w:t>
      </w:r>
    </w:p>
    <w:p>
      <w:pPr>
        <w:spacing w:after="0" w:line="46" w:lineRule="exact"/>
        <w:rPr>
          <w:rFonts w:ascii="Courier New" w:cs="Courier New" w:eastAsia="Courier New" w:hAnsi="Courier New"/>
          <w:sz w:val="16"/>
          <w:szCs w:val="16"/>
          <w:color w:val="auto"/>
        </w:rPr>
      </w:pPr>
    </w:p>
    <w:p>
      <w:pPr>
        <w:ind w:left="-8" w:right="2519" w:firstLine="896"/>
        <w:spacing w:after="0" w:line="314" w:lineRule="auto"/>
        <w:tabs>
          <w:tab w:leader="none" w:pos="127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of a Triggering Event, each Option outstanding under these Terms and Conditions shall become immediately exercisable as to 100% of the Shares covered thereby.</w:t>
      </w:r>
    </w:p>
    <w:p>
      <w:pPr>
        <w:spacing w:after="0" w:line="46" w:lineRule="exact"/>
        <w:rPr>
          <w:rFonts w:ascii="Courier New" w:cs="Courier New" w:eastAsia="Courier New" w:hAnsi="Courier New"/>
          <w:sz w:val="16"/>
          <w:szCs w:val="16"/>
          <w:color w:val="auto"/>
        </w:rPr>
      </w:pPr>
    </w:p>
    <w:p>
      <w:pPr>
        <w:ind w:left="-8" w:right="2519" w:firstLine="896"/>
        <w:spacing w:after="0" w:line="272" w:lineRule="auto"/>
        <w:tabs>
          <w:tab w:leader="none" w:pos="1273" w:val="left"/>
        </w:tabs>
        <w:numPr>
          <w:ilvl w:val="1"/>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Once any portion of an Option becomes exercisable, it shall remain exercisable until the earlier of (A) ten years after the date of grant or (B) three years after the date the Director's membership on the Board of Directors terminates because of death or upon the Disability or Retirement of the Director, or three months after the date the Director's membership on the Board of Directors terminates in any other circumstances.</w:t>
      </w:r>
    </w:p>
    <w:p>
      <w:pPr>
        <w:spacing w:after="0" w:line="268" w:lineRule="exact"/>
        <w:rPr>
          <w:sz w:val="20"/>
          <w:szCs w:val="20"/>
          <w:color w:val="auto"/>
        </w:rPr>
      </w:pPr>
    </w:p>
    <w:p>
      <w:pPr>
        <w:ind w:left="2952"/>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331"/>
          </w:cols>
          <w:pgMar w:left="1128" w:top="1413" w:right="1440" w:bottom="1440" w:gutter="0" w:footer="0" w:header="0"/>
        </w:sectPr>
      </w:pPr>
    </w:p>
    <w:bookmarkStart w:id="28" w:name="page29"/>
    <w:bookmarkEnd w:id="28"/>
    <w:p>
      <w:pPr>
        <w:ind w:left="1380" w:hanging="492"/>
        <w:spacing w:after="0"/>
        <w:tabs>
          <w:tab w:leader="none" w:pos="13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PLAN.</w:t>
      </w:r>
    </w:p>
    <w:p>
      <w:pPr>
        <w:spacing w:after="0" w:line="198" w:lineRule="exact"/>
        <w:rPr>
          <w:sz w:val="20"/>
          <w:szCs w:val="20"/>
          <w:color w:val="auto"/>
        </w:rPr>
      </w:pPr>
    </w:p>
    <w:p>
      <w:pPr>
        <w:jc w:val="both"/>
        <w:ind w:right="2439" w:firstLine="887"/>
        <w:spacing w:after="0" w:line="377" w:lineRule="auto"/>
        <w:rPr>
          <w:sz w:val="20"/>
          <w:szCs w:val="20"/>
          <w:color w:val="auto"/>
        </w:rPr>
      </w:pPr>
      <w:r>
        <w:rPr>
          <w:rFonts w:ascii="Courier New" w:cs="Courier New" w:eastAsia="Courier New" w:hAnsi="Courier New"/>
          <w:sz w:val="16"/>
          <w:szCs w:val="16"/>
          <w:color w:val="auto"/>
        </w:rPr>
        <w:t>Except as otherwise provided in these Terms and Conditions, the Equity Plan shall apply to any Options granted pursuant to these Terms and Conditions.</w:t>
      </w:r>
    </w:p>
    <w:p>
      <w:pPr>
        <w:spacing w:after="0" w:line="379"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1414" w:right="1440" w:bottom="1440" w:gutter="0" w:footer="0" w:header="0"/>
        </w:sectPr>
      </w:pPr>
    </w:p>
    <w:bookmarkStart w:id="29" w:name="page30"/>
    <w:bookmarkEnd w:id="29"/>
    <w:p>
      <w:pPr>
        <w:jc w:val="right"/>
        <w:ind w:right="2339"/>
        <w:spacing w:after="0"/>
        <w:rPr>
          <w:sz w:val="20"/>
          <w:szCs w:val="20"/>
          <w:color w:val="auto"/>
        </w:rPr>
      </w:pPr>
      <w:r>
        <w:rPr>
          <w:rFonts w:ascii="Courier New" w:cs="Courier New" w:eastAsia="Courier New" w:hAnsi="Courier New"/>
          <w:sz w:val="16"/>
          <w:szCs w:val="16"/>
          <w:color w:val="auto"/>
        </w:rPr>
        <w:t>EXHIBIT 12.1</w:t>
      </w:r>
    </w:p>
    <w:p>
      <w:pPr>
        <w:spacing w:after="0" w:line="19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STATEMENT REGARDING COMPUTATION</w:t>
      </w:r>
    </w:p>
    <w:p>
      <w:pPr>
        <w:spacing w:after="0" w:line="3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OF RATIO OF EARNINGS TO FIXED CHARGES</w:t>
      </w:r>
    </w:p>
    <w:p>
      <w:pPr>
        <w:spacing w:after="0" w:line="8" w:lineRule="exact"/>
        <w:rPr>
          <w:sz w:val="20"/>
          <w:szCs w:val="20"/>
          <w:color w:val="auto"/>
        </w:rPr>
      </w:pPr>
    </w:p>
    <w:p>
      <w:pPr>
        <w:ind w:left="2080"/>
        <w:spacing w:after="0"/>
        <w:rPr>
          <w:sz w:val="20"/>
          <w:szCs w:val="20"/>
          <w:color w:val="auto"/>
        </w:rPr>
      </w:pPr>
      <w:r>
        <w:rPr>
          <w:rFonts w:ascii="Courier New" w:cs="Courier New" w:eastAsia="Courier New" w:hAnsi="Courier New"/>
          <w:sz w:val="16"/>
          <w:szCs w:val="16"/>
          <w:color w:val="auto"/>
        </w:rPr>
        <w:t>-------------------------------------</w:t>
      </w:r>
    </w:p>
    <w:p>
      <w:pPr>
        <w:spacing w:after="0" w:line="16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MANPOWER INC.</w:t>
      </w:r>
    </w:p>
    <w:p>
      <w:pPr>
        <w:spacing w:after="0" w:line="38"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0" w:type="dxa"/>
            <w:vAlign w:val="bottom"/>
            <w:gridSpan w:val="4"/>
          </w:tcPr>
          <w:p>
            <w:pPr>
              <w:jc w:val="right"/>
              <w:ind w:right="198"/>
              <w:spacing w:after="0"/>
              <w:rPr>
                <w:sz w:val="20"/>
                <w:szCs w:val="20"/>
                <w:color w:val="auto"/>
              </w:rPr>
            </w:pPr>
            <w:r>
              <w:rPr>
                <w:rFonts w:ascii="Courier New" w:cs="Courier New" w:eastAsia="Courier New" w:hAnsi="Courier New"/>
                <w:sz w:val="16"/>
                <w:szCs w:val="16"/>
                <w:color w:val="auto"/>
              </w:rPr>
              <w:t>6 MONTHS ENDED</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JUNE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80" w:type="dxa"/>
            <w:vAlign w:val="bottom"/>
            <w:gridSpan w:val="2"/>
          </w:tcPr>
          <w:p>
            <w:pPr>
              <w:jc w:val="right"/>
              <w:ind w:right="278"/>
              <w:spacing w:after="0"/>
              <w:rPr>
                <w:sz w:val="20"/>
                <w:szCs w:val="20"/>
                <w:color w:val="auto"/>
              </w:rPr>
            </w:pPr>
            <w:r>
              <w:rPr>
                <w:rFonts w:ascii="Courier New" w:cs="Courier New" w:eastAsia="Courier New" w:hAnsi="Courier New"/>
                <w:sz w:val="16"/>
                <w:szCs w:val="16"/>
                <w:color w:val="auto"/>
              </w:rPr>
              <w:t>2003</w:t>
            </w:r>
          </w:p>
        </w:tc>
        <w:tc>
          <w:tcPr>
            <w:tcW w:w="340" w:type="dxa"/>
            <w:vAlign w:val="bottom"/>
          </w:tcPr>
          <w:p>
            <w:pPr>
              <w:spacing w:after="0"/>
              <w:rPr>
                <w:sz w:val="16"/>
                <w:szCs w:val="16"/>
                <w:color w:val="auto"/>
              </w:rPr>
            </w:pP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w w:val="98"/>
              </w:rPr>
              <w:t>2002</w:t>
            </w: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81"/>
        </w:trPr>
        <w:tc>
          <w:tcPr>
            <w:tcW w:w="94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4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72.2</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52.9</w:t>
            </w:r>
          </w:p>
        </w:tc>
        <w:tc>
          <w:tcPr>
            <w:tcW w:w="0" w:type="dxa"/>
            <w:vAlign w:val="bottom"/>
          </w:tcPr>
          <w:p>
            <w:pPr>
              <w:spacing w:after="0"/>
              <w:rPr>
                <w:sz w:val="1"/>
                <w:szCs w:val="1"/>
                <w:color w:val="auto"/>
              </w:rPr>
            </w:pPr>
          </w:p>
        </w:tc>
      </w:tr>
      <w:tr>
        <w:trPr>
          <w:trHeight w:val="190"/>
        </w:trPr>
        <w:tc>
          <w:tcPr>
            <w:tcW w:w="3080" w:type="dxa"/>
            <w:vAlign w:val="bottom"/>
            <w:gridSpan w:val="5"/>
          </w:tcPr>
          <w:p>
            <w:pPr>
              <w:ind w:left="200"/>
              <w:spacing w:after="0"/>
              <w:rPr>
                <w:sz w:val="20"/>
                <w:szCs w:val="20"/>
                <w:color w:val="auto"/>
              </w:rPr>
            </w:pPr>
            <w:r>
              <w:rPr>
                <w:rFonts w:ascii="Courier New" w:cs="Courier New" w:eastAsia="Courier New" w:hAnsi="Courier New"/>
                <w:sz w:val="16"/>
                <w:szCs w:val="16"/>
                <w:color w:val="auto"/>
              </w:rPr>
              <w:t>Earnings before income taxes</w:t>
            </w:r>
          </w:p>
        </w:tc>
        <w:tc>
          <w:tcPr>
            <w:tcW w:w="26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5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Fixed charges</w:t>
            </w: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60.9</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56.2</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80" w:type="dxa"/>
            <w:vAlign w:val="bottom"/>
            <w:gridSpan w:val="2"/>
            <w:vMerge w:val="restart"/>
          </w:tcPr>
          <w:p>
            <w:pPr>
              <w:jc w:val="right"/>
              <w:ind w:right="78"/>
              <w:spacing w:after="0"/>
              <w:rPr>
                <w:sz w:val="20"/>
                <w:szCs w:val="20"/>
                <w:color w:val="auto"/>
              </w:rPr>
            </w:pPr>
            <w:r>
              <w:rPr>
                <w:rFonts w:ascii="Courier New" w:cs="Courier New" w:eastAsia="Courier New" w:hAnsi="Courier New"/>
                <w:sz w:val="32"/>
                <w:szCs w:val="32"/>
                <w:color w:val="auto"/>
                <w:w w:val="76"/>
                <w:vertAlign w:val="subscript"/>
              </w:rPr>
              <w:t>$</w:t>
            </w:r>
            <w:r>
              <w:rPr>
                <w:rFonts w:ascii="Courier New" w:cs="Courier New" w:eastAsia="Courier New" w:hAnsi="Courier New"/>
                <w:sz w:val="16"/>
                <w:szCs w:val="16"/>
                <w:color w:val="auto"/>
                <w:w w:val="76"/>
              </w:rPr>
              <w:t>-------</w:t>
            </w:r>
            <w:r>
              <w:rPr>
                <w:rFonts w:ascii="Courier New" w:cs="Courier New" w:eastAsia="Courier New" w:hAnsi="Courier New"/>
                <w:sz w:val="32"/>
                <w:szCs w:val="32"/>
                <w:color w:val="auto"/>
                <w:w w:val="76"/>
                <w:vertAlign w:val="subscript"/>
              </w:rPr>
              <w:t>133.1</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$ 109.1</w:t>
            </w: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81"/>
        </w:trPr>
        <w:tc>
          <w:tcPr>
            <w:tcW w:w="1500" w:type="dxa"/>
            <w:vAlign w:val="bottom"/>
            <w:gridSpan w:val="2"/>
          </w:tcPr>
          <w:p>
            <w:pPr>
              <w:spacing w:after="0"/>
              <w:rPr>
                <w:sz w:val="20"/>
                <w:szCs w:val="20"/>
                <w:color w:val="auto"/>
              </w:rPr>
            </w:pPr>
            <w:r>
              <w:rPr>
                <w:rFonts w:ascii="Courier New" w:cs="Courier New" w:eastAsia="Courier New" w:hAnsi="Courier New"/>
                <w:sz w:val="16"/>
                <w:szCs w:val="16"/>
                <w:color w:val="auto"/>
              </w:rPr>
              <w:t>Fixed charges:</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40" w:type="dxa"/>
            <w:vAlign w:val="bottom"/>
            <w:vMerge w:val="restart"/>
          </w:tcPr>
          <w:p>
            <w:pPr>
              <w:ind w:left="440"/>
              <w:spacing w:after="0"/>
              <w:rPr>
                <w:sz w:val="20"/>
                <w:szCs w:val="20"/>
                <w:color w:val="auto"/>
              </w:rPr>
            </w:pPr>
            <w:r>
              <w:rPr>
                <w:rFonts w:ascii="Courier New" w:cs="Courier New" w:eastAsia="Courier New" w:hAnsi="Courier New"/>
                <w:sz w:val="16"/>
                <w:szCs w:val="16"/>
                <w:color w:val="auto"/>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20.4</w:t>
            </w:r>
          </w:p>
        </w:tc>
        <w:tc>
          <w:tcPr>
            <w:tcW w:w="34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20.4</w:t>
            </w:r>
          </w:p>
        </w:tc>
        <w:tc>
          <w:tcPr>
            <w:tcW w:w="0" w:type="dxa"/>
            <w:vAlign w:val="bottom"/>
          </w:tcPr>
          <w:p>
            <w:pPr>
              <w:spacing w:after="0"/>
              <w:rPr>
                <w:sz w:val="1"/>
                <w:szCs w:val="1"/>
                <w:color w:val="auto"/>
              </w:rPr>
            </w:pPr>
          </w:p>
        </w:tc>
      </w:tr>
      <w:tr>
        <w:trPr>
          <w:trHeight w:val="190"/>
        </w:trPr>
        <w:tc>
          <w:tcPr>
            <w:tcW w:w="5680" w:type="dxa"/>
            <w:vAlign w:val="bottom"/>
            <w:gridSpan w:val="6"/>
          </w:tcPr>
          <w:p>
            <w:pPr>
              <w:ind w:left="400"/>
              <w:spacing w:after="0"/>
              <w:rPr>
                <w:sz w:val="20"/>
                <w:szCs w:val="20"/>
                <w:color w:val="auto"/>
              </w:rPr>
            </w:pPr>
            <w:r>
              <w:rPr>
                <w:rFonts w:ascii="Courier New" w:cs="Courier New" w:eastAsia="Courier New" w:hAnsi="Courier New"/>
                <w:sz w:val="16"/>
                <w:szCs w:val="16"/>
                <w:color w:val="auto"/>
              </w:rPr>
              <w:t>Interest (expensed or capitalized)</w:t>
            </w:r>
          </w:p>
        </w:tc>
        <w:tc>
          <w:tcPr>
            <w:tcW w:w="6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gridSpan w:val="6"/>
          </w:tcPr>
          <w:p>
            <w:pPr>
              <w:ind w:left="400"/>
              <w:spacing w:after="0"/>
              <w:rPr>
                <w:sz w:val="20"/>
                <w:szCs w:val="20"/>
                <w:color w:val="auto"/>
              </w:rPr>
            </w:pPr>
            <w:r>
              <w:rPr>
                <w:rFonts w:ascii="Courier New" w:cs="Courier New" w:eastAsia="Courier New" w:hAnsi="Courier New"/>
                <w:sz w:val="16"/>
                <w:szCs w:val="16"/>
                <w:color w:val="auto"/>
              </w:rPr>
              <w:t>Estimated interest portion of rent expense</w:t>
            </w:r>
          </w:p>
        </w:tc>
        <w:tc>
          <w:tcPr>
            <w:tcW w:w="640" w:type="dxa"/>
            <w:vAlign w:val="bottom"/>
          </w:tcPr>
          <w:p>
            <w:pPr>
              <w:spacing w:after="0"/>
              <w:rPr>
                <w:sz w:val="16"/>
                <w:szCs w:val="16"/>
                <w:color w:val="auto"/>
              </w:rPr>
            </w:pP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40.5</w:t>
            </w:r>
          </w:p>
        </w:tc>
        <w:tc>
          <w:tcPr>
            <w:tcW w:w="3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35.8</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40" w:type="dxa"/>
            <w:vAlign w:val="bottom"/>
            <w:vMerge w:val="restart"/>
          </w:tcPr>
          <w:p>
            <w:pPr>
              <w:ind w:left="440"/>
              <w:spacing w:after="0"/>
              <w:rPr>
                <w:sz w:val="20"/>
                <w:szCs w:val="20"/>
                <w:color w:val="auto"/>
              </w:rPr>
            </w:pPr>
            <w:r>
              <w:rPr>
                <w:rFonts w:ascii="Courier New" w:cs="Courier New" w:eastAsia="Courier New" w:hAnsi="Courier New"/>
                <w:sz w:val="8"/>
                <w:szCs w:val="8"/>
                <w:color w:val="auto"/>
                <w:w w:val="89"/>
                <w:vertAlign w:val="subscript"/>
              </w:rPr>
              <w:t>$</w:t>
            </w:r>
            <w:r>
              <w:rPr>
                <w:rFonts w:ascii="Courier New" w:cs="Courier New" w:eastAsia="Courier New" w:hAnsi="Courier New"/>
                <w:sz w:val="4"/>
                <w:szCs w:val="4"/>
                <w:color w:val="auto"/>
                <w:w w:val="89"/>
              </w:rPr>
              <w:t>-------</w:t>
            </w:r>
          </w:p>
        </w:tc>
        <w:tc>
          <w:tcPr>
            <w:tcW w:w="640" w:type="dxa"/>
            <w:vAlign w:val="bottom"/>
            <w:vMerge w:val="restart"/>
          </w:tcPr>
          <w:p>
            <w:pPr>
              <w:jc w:val="right"/>
              <w:ind w:right="78"/>
              <w:spacing w:after="0"/>
              <w:rPr>
                <w:sz w:val="20"/>
                <w:szCs w:val="20"/>
                <w:color w:val="auto"/>
              </w:rPr>
            </w:pPr>
            <w:r>
              <w:rPr>
                <w:rFonts w:ascii="Courier New" w:cs="Courier New" w:eastAsia="Courier New" w:hAnsi="Courier New"/>
                <w:sz w:val="16"/>
                <w:szCs w:val="16"/>
                <w:color w:val="auto"/>
              </w:rPr>
              <w:t>60.9</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40" w:type="dxa"/>
            <w:vAlign w:val="bottom"/>
            <w:vMerge w:val="continue"/>
          </w:tcPr>
          <w:p>
            <w:pPr>
              <w:spacing w:after="0"/>
              <w:rPr>
                <w:sz w:val="16"/>
                <w:szCs w:val="16"/>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56.2</w:t>
            </w: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481"/>
        </w:trPr>
        <w:tc>
          <w:tcPr>
            <w:tcW w:w="5680" w:type="dxa"/>
            <w:vAlign w:val="bottom"/>
            <w:gridSpan w:val="6"/>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640" w:type="dxa"/>
            <w:vAlign w:val="bottom"/>
          </w:tcPr>
          <w:p>
            <w:pPr>
              <w:spacing w:after="0"/>
              <w:rPr>
                <w:sz w:val="24"/>
                <w:szCs w:val="24"/>
                <w:color w:val="auto"/>
              </w:rPr>
            </w:pPr>
          </w:p>
        </w:tc>
        <w:tc>
          <w:tcPr>
            <w:tcW w:w="640" w:type="dxa"/>
            <w:vAlign w:val="bottom"/>
          </w:tcPr>
          <w:p>
            <w:pPr>
              <w:jc w:val="right"/>
              <w:ind w:right="78"/>
              <w:spacing w:after="0"/>
              <w:rPr>
                <w:sz w:val="20"/>
                <w:szCs w:val="20"/>
                <w:color w:val="auto"/>
              </w:rPr>
            </w:pPr>
            <w:r>
              <w:rPr>
                <w:rFonts w:ascii="Courier New" w:cs="Courier New" w:eastAsia="Courier New" w:hAnsi="Courier New"/>
                <w:sz w:val="16"/>
                <w:szCs w:val="16"/>
                <w:color w:val="auto"/>
              </w:rPr>
              <w:t>2.2</w:t>
            </w:r>
          </w:p>
        </w:tc>
        <w:tc>
          <w:tcPr>
            <w:tcW w:w="3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277"/>
        </w:trPr>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280" w:type="dxa"/>
            <w:vAlign w:val="bottom"/>
            <w:gridSpan w:val="2"/>
          </w:tcPr>
          <w:p>
            <w:pPr>
              <w:jc w:val="right"/>
              <w:ind w:right="78"/>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92"/>
        </w:trPr>
        <w:tc>
          <w:tcPr>
            <w:tcW w:w="7880" w:type="dxa"/>
            <w:vAlign w:val="bottom"/>
            <w:gridSpan w:val="10"/>
          </w:tcPr>
          <w:p>
            <w:pPr>
              <w:ind w:left="200"/>
              <w:spacing w:after="0"/>
              <w:rPr>
                <w:sz w:val="20"/>
                <w:szCs w:val="20"/>
                <w:color w:val="auto"/>
              </w:rPr>
            </w:pPr>
            <w:r>
              <w:rPr>
                <w:rFonts w:ascii="Courier New" w:cs="Courier New" w:eastAsia="Courier New" w:hAnsi="Courier New"/>
                <w:sz w:val="16"/>
                <w:szCs w:val="16"/>
                <w:color w:val="auto"/>
              </w:rPr>
              <w:t>YEARS ENDED DECEMBER 31, ---------------------------------------------------</w:t>
            </w:r>
          </w:p>
        </w:tc>
        <w:tc>
          <w:tcPr>
            <w:tcW w:w="0" w:type="dxa"/>
            <w:vAlign w:val="bottom"/>
          </w:tcPr>
          <w:p>
            <w:pPr>
              <w:spacing w:after="0"/>
              <w:rPr>
                <w:sz w:val="1"/>
                <w:szCs w:val="1"/>
                <w:color w:val="auto"/>
              </w:rPr>
            </w:pPr>
          </w:p>
        </w:tc>
      </w:tr>
      <w:tr>
        <w:trPr>
          <w:trHeight w:val="190"/>
        </w:trPr>
        <w:tc>
          <w:tcPr>
            <w:tcW w:w="3080" w:type="dxa"/>
            <w:vAlign w:val="bottom"/>
            <w:gridSpan w:val="5"/>
          </w:tcPr>
          <w:p>
            <w:pPr>
              <w:ind w:left="60"/>
              <w:spacing w:after="0"/>
              <w:rPr>
                <w:sz w:val="20"/>
                <w:szCs w:val="20"/>
                <w:color w:val="auto"/>
              </w:rPr>
            </w:pPr>
            <w:r>
              <w:rPr>
                <w:rFonts w:ascii="Courier New" w:cs="Courier New" w:eastAsia="Courier New" w:hAnsi="Courier New"/>
                <w:sz w:val="16"/>
                <w:szCs w:val="16"/>
                <w:color w:val="auto"/>
                <w:w w:val="94"/>
              </w:rPr>
              <w:t>2002 2001 2000 1999 1998 --------</w:t>
            </w:r>
          </w:p>
        </w:tc>
        <w:tc>
          <w:tcPr>
            <w:tcW w:w="3880" w:type="dxa"/>
            <w:vAlign w:val="bottom"/>
            <w:gridSpan w:val="3"/>
          </w:tcPr>
          <w:p>
            <w:pPr>
              <w:jc w:val="right"/>
              <w:ind w:right="18"/>
              <w:spacing w:after="0"/>
              <w:rPr>
                <w:sz w:val="20"/>
                <w:szCs w:val="20"/>
                <w:color w:val="auto"/>
              </w:rPr>
            </w:pPr>
            <w:r>
              <w:rPr>
                <w:rFonts w:ascii="Courier New" w:cs="Courier New" w:eastAsia="Courier New" w:hAnsi="Courier New"/>
                <w:sz w:val="16"/>
                <w:szCs w:val="16"/>
                <w:color w:val="auto"/>
              </w:rPr>
              <w:t>-------- -------- -------- --------</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Earnings:</w:t>
            </w:r>
          </w:p>
        </w:tc>
        <w:tc>
          <w:tcPr>
            <w:tcW w:w="0" w:type="dxa"/>
            <w:vAlign w:val="bottom"/>
          </w:tcPr>
          <w:p>
            <w:pPr>
              <w:spacing w:after="0"/>
              <w:rPr>
                <w:sz w:val="1"/>
                <w:szCs w:val="1"/>
                <w:color w:val="auto"/>
              </w:rPr>
            </w:pPr>
          </w:p>
        </w:tc>
      </w:tr>
      <w:tr>
        <w:trPr>
          <w:trHeight w:val="190"/>
        </w:trPr>
        <w:tc>
          <w:tcPr>
            <w:tcW w:w="6320" w:type="dxa"/>
            <w:vAlign w:val="bottom"/>
            <w:gridSpan w:val="7"/>
          </w:tcPr>
          <w:p>
            <w:pPr>
              <w:ind w:left="300"/>
              <w:spacing w:after="0"/>
              <w:rPr>
                <w:sz w:val="20"/>
                <w:szCs w:val="20"/>
                <w:color w:val="auto"/>
              </w:rPr>
            </w:pPr>
            <w:r>
              <w:rPr>
                <w:rFonts w:ascii="Courier New" w:cs="Courier New" w:eastAsia="Courier New" w:hAnsi="Courier New"/>
                <w:sz w:val="16"/>
                <w:szCs w:val="16"/>
                <w:color w:val="auto"/>
              </w:rPr>
              <w:t>Earnings before income taxes $ 188.0 $ 197.9 $ 265.2 $ 205.8</w:t>
            </w:r>
          </w:p>
        </w:tc>
        <w:tc>
          <w:tcPr>
            <w:tcW w:w="1560" w:type="dxa"/>
            <w:vAlign w:val="bottom"/>
            <w:gridSpan w:val="3"/>
          </w:tcPr>
          <w:p>
            <w:pPr>
              <w:jc w:val="right"/>
              <w:ind w:right="198"/>
              <w:spacing w:after="0"/>
              <w:rPr>
                <w:sz w:val="20"/>
                <w:szCs w:val="20"/>
                <w:color w:val="auto"/>
              </w:rPr>
            </w:pPr>
            <w:r>
              <w:rPr>
                <w:rFonts w:ascii="Courier New" w:cs="Courier New" w:eastAsia="Courier New" w:hAnsi="Courier New"/>
                <w:sz w:val="16"/>
                <w:szCs w:val="16"/>
                <w:color w:val="auto"/>
              </w:rPr>
              <w:t>$ 113.8 Fixed</w:t>
            </w:r>
          </w:p>
        </w:tc>
        <w:tc>
          <w:tcPr>
            <w:tcW w:w="0" w:type="dxa"/>
            <w:vAlign w:val="bottom"/>
          </w:tcPr>
          <w:p>
            <w:pPr>
              <w:spacing w:after="0"/>
              <w:rPr>
                <w:sz w:val="1"/>
                <w:szCs w:val="1"/>
                <w:color w:val="auto"/>
              </w:rPr>
            </w:pPr>
          </w:p>
        </w:tc>
      </w:tr>
      <w:tr>
        <w:trPr>
          <w:trHeight w:val="190"/>
        </w:trPr>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charges</w:t>
            </w:r>
          </w:p>
        </w:tc>
        <w:tc>
          <w:tcPr>
            <w:tcW w:w="560" w:type="dxa"/>
            <w:vAlign w:val="bottom"/>
          </w:tcPr>
          <w:p>
            <w:pPr>
              <w:jc w:val="right"/>
              <w:spacing w:after="0"/>
              <w:rPr>
                <w:sz w:val="20"/>
                <w:szCs w:val="20"/>
                <w:color w:val="auto"/>
              </w:rPr>
            </w:pPr>
            <w:r>
              <w:rPr>
                <w:rFonts w:ascii="Courier New" w:cs="Courier New" w:eastAsia="Courier New" w:hAnsi="Courier New"/>
                <w:sz w:val="16"/>
                <w:szCs w:val="16"/>
                <w:color w:val="auto"/>
              </w:rPr>
              <w:t>116.5</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107.4</w:t>
            </w:r>
          </w:p>
        </w:tc>
        <w:tc>
          <w:tcPr>
            <w:tcW w:w="540" w:type="dxa"/>
            <w:vAlign w:val="bottom"/>
          </w:tcPr>
          <w:p>
            <w:pPr>
              <w:jc w:val="right"/>
              <w:ind w:right="18"/>
              <w:spacing w:after="0"/>
              <w:rPr>
                <w:sz w:val="20"/>
                <w:szCs w:val="20"/>
                <w:color w:val="auto"/>
              </w:rPr>
            </w:pPr>
            <w:r>
              <w:rPr>
                <w:rFonts w:ascii="Courier New" w:cs="Courier New" w:eastAsia="Courier New" w:hAnsi="Courier New"/>
                <w:sz w:val="16"/>
                <w:szCs w:val="16"/>
                <w:color w:val="auto"/>
              </w:rPr>
              <w:t>94.0</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8"/>
              </w:rPr>
              <w:t>71.6</w:t>
            </w:r>
          </w:p>
        </w:tc>
        <w:tc>
          <w:tcPr>
            <w:tcW w:w="422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9"/>
              </w:rPr>
              <w:t>65.1 ------- ------- ------- ------- -------</w:t>
            </w:r>
          </w:p>
        </w:tc>
        <w:tc>
          <w:tcPr>
            <w:tcW w:w="580" w:type="dxa"/>
            <w:vAlign w:val="bottom"/>
          </w:tcPr>
          <w:p>
            <w:pPr>
              <w:jc w:val="right"/>
              <w:ind w:right="98"/>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90"/>
        </w:trPr>
        <w:tc>
          <w:tcPr>
            <w:tcW w:w="15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304.5 $ 305.3</w:t>
            </w:r>
          </w:p>
        </w:tc>
        <w:tc>
          <w:tcPr>
            <w:tcW w:w="158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$ 359.2 $ 277.4</w:t>
            </w:r>
          </w:p>
        </w:tc>
        <w:tc>
          <w:tcPr>
            <w:tcW w:w="4800" w:type="dxa"/>
            <w:vAlign w:val="bottom"/>
            <w:gridSpan w:val="5"/>
          </w:tcPr>
          <w:p>
            <w:pPr>
              <w:jc w:val="right"/>
              <w:ind w:right="58"/>
              <w:spacing w:after="0"/>
              <w:rPr>
                <w:sz w:val="20"/>
                <w:szCs w:val="20"/>
                <w:color w:val="auto"/>
              </w:rPr>
            </w:pPr>
            <w:r>
              <w:rPr>
                <w:rFonts w:ascii="Courier New" w:cs="Courier New" w:eastAsia="Courier New" w:hAnsi="Courier New"/>
                <w:sz w:val="16"/>
                <w:szCs w:val="16"/>
                <w:color w:val="auto"/>
              </w:rPr>
              <w:t>$ 178.9 ======= ======= ======= ======= =======</w:t>
            </w:r>
          </w:p>
        </w:tc>
        <w:tc>
          <w:tcPr>
            <w:tcW w:w="0" w:type="dxa"/>
            <w:vAlign w:val="bottom"/>
          </w:tcPr>
          <w:p>
            <w:pPr>
              <w:spacing w:after="0"/>
              <w:rPr>
                <w:sz w:val="1"/>
                <w:szCs w:val="1"/>
                <w:color w:val="auto"/>
              </w:rPr>
            </w:pPr>
          </w:p>
        </w:tc>
      </w:tr>
      <w:tr>
        <w:trPr>
          <w:trHeight w:val="190"/>
        </w:trPr>
        <w:tc>
          <w:tcPr>
            <w:tcW w:w="5680" w:type="dxa"/>
            <w:vAlign w:val="bottom"/>
            <w:gridSpan w:val="6"/>
          </w:tcPr>
          <w:p>
            <w:pPr>
              <w:ind w:left="60"/>
              <w:spacing w:after="0"/>
              <w:rPr>
                <w:sz w:val="20"/>
                <w:szCs w:val="20"/>
                <w:color w:val="auto"/>
              </w:rPr>
            </w:pPr>
            <w:r>
              <w:rPr>
                <w:rFonts w:ascii="Courier New" w:cs="Courier New" w:eastAsia="Courier New" w:hAnsi="Courier New"/>
                <w:sz w:val="16"/>
                <w:szCs w:val="16"/>
                <w:color w:val="auto"/>
              </w:rPr>
              <w:t>Fixed charges: Interest (expensed or capitalized) $ 42.4</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w w:val="97"/>
              </w:rPr>
              <w:t>$ 39.1</w:t>
            </w:r>
          </w:p>
        </w:tc>
        <w:tc>
          <w:tcPr>
            <w:tcW w:w="640" w:type="dxa"/>
            <w:vAlign w:val="bottom"/>
          </w:tcPr>
          <w:p>
            <w:pPr>
              <w:jc w:val="right"/>
              <w:spacing w:after="0"/>
              <w:rPr>
                <w:sz w:val="20"/>
                <w:szCs w:val="20"/>
                <w:color w:val="auto"/>
              </w:rPr>
            </w:pPr>
            <w:r>
              <w:rPr>
                <w:rFonts w:ascii="Courier New" w:cs="Courier New" w:eastAsia="Courier New" w:hAnsi="Courier New"/>
                <w:sz w:val="16"/>
                <w:szCs w:val="16"/>
                <w:color w:val="auto"/>
              </w:rPr>
              <w:t>$ 35.0</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$ 17.3 $</w:t>
            </w:r>
          </w:p>
        </w:tc>
        <w:tc>
          <w:tcPr>
            <w:tcW w:w="0" w:type="dxa"/>
            <w:vAlign w:val="bottom"/>
          </w:tcPr>
          <w:p>
            <w:pPr>
              <w:spacing w:after="0"/>
              <w:rPr>
                <w:sz w:val="1"/>
                <w:szCs w:val="1"/>
                <w:color w:val="auto"/>
              </w:rPr>
            </w:pPr>
          </w:p>
        </w:tc>
      </w:tr>
      <w:tr>
        <w:trPr>
          <w:trHeight w:val="220"/>
        </w:trPr>
        <w:tc>
          <w:tcPr>
            <w:tcW w:w="788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19.2 Estimated interest portion of rent expense 74.1 68.3 59.0 54.3 45.9 ------</w:t>
            </w:r>
          </w:p>
        </w:tc>
        <w:tc>
          <w:tcPr>
            <w:tcW w:w="0" w:type="dxa"/>
            <w:vAlign w:val="bottom"/>
          </w:tcPr>
          <w:p>
            <w:pPr>
              <w:spacing w:after="0"/>
              <w:rPr>
                <w:sz w:val="1"/>
                <w:szCs w:val="1"/>
                <w:color w:val="auto"/>
              </w:rPr>
            </w:pPr>
          </w:p>
        </w:tc>
      </w:tr>
    </w:tbl>
    <w:p>
      <w:pPr>
        <w:ind w:left="300" w:hanging="200"/>
        <w:spacing w:after="0"/>
        <w:tabs>
          <w:tab w:leader="none" w:pos="3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$ 116.5 $ 107.4 $ 94.0 $ 71.6 $ 65.1 =======</w:t>
      </w:r>
    </w:p>
    <w:p>
      <w:pPr>
        <w:spacing w:after="0" w:line="8" w:lineRule="exact"/>
        <w:rPr>
          <w:rFonts w:ascii="Courier New" w:cs="Courier New" w:eastAsia="Courier New" w:hAnsi="Courier New"/>
          <w:sz w:val="16"/>
          <w:szCs w:val="16"/>
          <w:color w:val="auto"/>
        </w:rPr>
      </w:pPr>
    </w:p>
    <w:p>
      <w:pPr>
        <w:jc w:val="center"/>
        <w:ind w:left="140" w:right="2439" w:hanging="49"/>
        <w:spacing w:after="0" w:line="27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 ======= ======= Ratio of earnings to fixed charges 2.6 2.8 3.8 3.9 2.7 ======== ======= ======== ======== ======== NOTE: The calculation of ratio of earnings to fixed charges set forth above is in accordance with Regulation S-K, Item 601(b)(12). This calculation is different than the fixed charge ratio that is required by our various borrowing facilities.</w:t>
      </w:r>
    </w:p>
    <w:p>
      <w:pPr>
        <w:sectPr>
          <w:pgSz w:w="11900" w:h="16838" w:orient="portrait"/>
          <w:cols w:equalWidth="0" w:num="1">
            <w:col w:w="10219"/>
          </w:cols>
          <w:pgMar w:left="240" w:top="301" w:right="1440" w:bottom="1440" w:gutter="0" w:footer="0" w:header="0"/>
        </w:sectPr>
      </w:pPr>
    </w:p>
    <w:bookmarkStart w:id="30" w:name="page31"/>
    <w:bookmarkEnd w:id="30"/>
    <w:p>
      <w:pPr>
        <w:ind w:left="6520"/>
        <w:spacing w:after="0"/>
        <w:rPr>
          <w:sz w:val="20"/>
          <w:szCs w:val="20"/>
          <w:color w:val="auto"/>
        </w:rPr>
      </w:pPr>
      <w:r>
        <w:rPr>
          <w:rFonts w:ascii="Courier New" w:cs="Courier New" w:eastAsia="Courier New" w:hAnsi="Courier New"/>
          <w:sz w:val="16"/>
          <w:szCs w:val="16"/>
          <w:color w:val="auto"/>
        </w:rPr>
        <w:t>EXHIBIT 99.1</w:t>
      </w:r>
    </w:p>
    <w:p>
      <w:pPr>
        <w:spacing w:after="0" w:line="38" w:lineRule="exact"/>
        <w:rPr>
          <w:sz w:val="20"/>
          <w:szCs w:val="20"/>
          <w:color w:val="auto"/>
        </w:rPr>
      </w:pPr>
    </w:p>
    <w:p>
      <w:pPr>
        <w:ind w:left="4840"/>
        <w:spacing w:after="0"/>
        <w:rPr>
          <w:sz w:val="20"/>
          <w:szCs w:val="20"/>
          <w:color w:val="auto"/>
        </w:rPr>
      </w:pPr>
      <w:r>
        <w:rPr>
          <w:rFonts w:ascii="Courier New" w:cs="Courier New" w:eastAsia="Courier New" w:hAnsi="Courier New"/>
          <w:sz w:val="16"/>
          <w:szCs w:val="16"/>
          <w:color w:val="auto"/>
        </w:rPr>
        <w:t>CERTIFICATION</w:t>
      </w:r>
    </w:p>
    <w:p>
      <w:pPr>
        <w:spacing w:after="0" w:line="168"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I, Jeffrey A. Joerres, Chairman and Chief Executive Officer of Manpower Inc.,</w:t>
      </w:r>
    </w:p>
    <w:p>
      <w:pPr>
        <w:spacing w:after="0" w:line="38" w:lineRule="exact"/>
        <w:rPr>
          <w:sz w:val="20"/>
          <w:szCs w:val="20"/>
          <w:color w:val="auto"/>
        </w:rPr>
      </w:pPr>
    </w:p>
    <w:p>
      <w:pPr>
        <w:jc w:val="center"/>
        <w:ind w:right="2479"/>
        <w:spacing w:after="0"/>
        <w:rPr>
          <w:sz w:val="20"/>
          <w:szCs w:val="20"/>
          <w:color w:val="auto"/>
        </w:rPr>
      </w:pPr>
      <w:r>
        <w:rPr>
          <w:rFonts w:ascii="Courier New" w:cs="Courier New" w:eastAsia="Courier New" w:hAnsi="Courier New"/>
          <w:sz w:val="16"/>
          <w:szCs w:val="16"/>
          <w:color w:val="auto"/>
        </w:rPr>
        <w:t>certify that:</w:t>
      </w:r>
    </w:p>
    <w:p>
      <w:pPr>
        <w:spacing w:after="0" w:line="168" w:lineRule="exact"/>
        <w:rPr>
          <w:sz w:val="20"/>
          <w:szCs w:val="20"/>
          <w:color w:val="auto"/>
        </w:rPr>
      </w:pPr>
    </w:p>
    <w:p>
      <w:pPr>
        <w:ind w:left="900" w:hanging="399"/>
        <w:spacing w:after="0"/>
        <w:tabs>
          <w:tab w:leader="none" w:pos="9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Manpower Inc.;</w:t>
      </w:r>
    </w:p>
    <w:p>
      <w:pPr>
        <w:spacing w:after="0" w:line="197" w:lineRule="exact"/>
        <w:rPr>
          <w:rFonts w:ascii="Courier New" w:cs="Courier New" w:eastAsia="Courier New" w:hAnsi="Courier New"/>
          <w:sz w:val="16"/>
          <w:szCs w:val="16"/>
          <w:color w:val="auto"/>
        </w:rPr>
      </w:pPr>
    </w:p>
    <w:p>
      <w:pPr>
        <w:ind w:left="1200" w:hanging="403"/>
        <w:spacing w:after="0"/>
        <w:tabs>
          <w:tab w:leader="none" w:pos="1200"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w:t>
      </w:r>
    </w:p>
    <w:p>
      <w:pPr>
        <w:spacing w:after="0" w:line="38" w:lineRule="exact"/>
        <w:rPr>
          <w:rFonts w:ascii="Courier New" w:cs="Courier New" w:eastAsia="Courier New" w:hAnsi="Courier New"/>
          <w:sz w:val="16"/>
          <w:szCs w:val="16"/>
          <w:color w:val="auto"/>
        </w:rPr>
      </w:pPr>
    </w:p>
    <w:p>
      <w:pPr>
        <w:jc w:val="both"/>
        <w:ind w:left="800" w:right="2339" w:hanging="4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a material fact or omit to state a material fact necessary to make the statements made, in light of the circumstances under which</w:t>
      </w:r>
    </w:p>
    <w:p>
      <w:pPr>
        <w:jc w:val="center"/>
        <w:ind w:right="1599"/>
        <w:spacing w:after="0"/>
        <w:rPr>
          <w:sz w:val="20"/>
          <w:szCs w:val="20"/>
          <w:color w:val="auto"/>
        </w:rPr>
      </w:pPr>
      <w:r>
        <w:rPr>
          <w:rFonts w:ascii="Courier New" w:cs="Courier New" w:eastAsia="Courier New" w:hAnsi="Courier New"/>
          <w:sz w:val="16"/>
          <w:szCs w:val="16"/>
          <w:color w:val="auto"/>
        </w:rPr>
        <w:t>such statements were made, not misleading with respect to the period</w:t>
      </w:r>
    </w:p>
    <w:p>
      <w:pPr>
        <w:spacing w:after="0" w:line="8"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6"/>
          <w:szCs w:val="16"/>
          <w:color w:val="auto"/>
        </w:rPr>
        <w:t>covered by this report;</w:t>
      </w:r>
    </w:p>
    <w:p>
      <w:pPr>
        <w:spacing w:after="0" w:line="168" w:lineRule="exact"/>
        <w:rPr>
          <w:sz w:val="20"/>
          <w:szCs w:val="20"/>
          <w:color w:val="auto"/>
        </w:rPr>
      </w:pPr>
    </w:p>
    <w:p>
      <w:pPr>
        <w:jc w:val="both"/>
        <w:ind w:left="940" w:right="2479" w:hanging="439"/>
        <w:spacing w:after="0" w:line="270" w:lineRule="auto"/>
        <w:tabs>
          <w:tab w:leader="none" w:pos="89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w:t>
      </w:r>
    </w:p>
    <w:p>
      <w:pPr>
        <w:spacing w:after="0" w:line="1" w:lineRule="exact"/>
        <w:rPr>
          <w:sz w:val="20"/>
          <w:szCs w:val="20"/>
          <w:color w:val="auto"/>
        </w:rPr>
      </w:pPr>
    </w:p>
    <w:p>
      <w:pPr>
        <w:jc w:val="both"/>
        <w:ind w:left="740" w:right="2339" w:firstLine="49"/>
        <w:spacing w:after="0" w:line="337" w:lineRule="auto"/>
        <w:rPr>
          <w:sz w:val="20"/>
          <w:szCs w:val="20"/>
          <w:color w:val="auto"/>
        </w:rPr>
      </w:pPr>
      <w:r>
        <w:rPr>
          <w:rFonts w:ascii="Courier New" w:cs="Courier New" w:eastAsia="Courier New" w:hAnsi="Courier New"/>
          <w:sz w:val="16"/>
          <w:szCs w:val="16"/>
          <w:color w:val="auto"/>
        </w:rPr>
        <w:t>respects the financial condition, results of operations and cash flows of the registrant as of, and for, the periods presented in this report;</w:t>
      </w:r>
    </w:p>
    <w:p>
      <w:pPr>
        <w:spacing w:after="0" w:line="30" w:lineRule="exact"/>
        <w:rPr>
          <w:sz w:val="20"/>
          <w:szCs w:val="20"/>
          <w:color w:val="auto"/>
        </w:rPr>
      </w:pPr>
    </w:p>
    <w:p>
      <w:pPr>
        <w:jc w:val="center"/>
        <w:ind w:left="940" w:right="2379" w:hanging="537"/>
        <w:spacing w:after="0" w:line="264" w:lineRule="auto"/>
        <w:tabs>
          <w:tab w:leader="none" w:pos="79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 defined in Exchange Act Rules 13a-15(e) and 15d-15(e)) for the</w:t>
      </w:r>
    </w:p>
    <w:p>
      <w:pPr>
        <w:spacing w:after="0" w:line="1" w:lineRule="exact"/>
        <w:rPr>
          <w:sz w:val="20"/>
          <w:szCs w:val="20"/>
          <w:color w:val="auto"/>
        </w:rPr>
      </w:pPr>
    </w:p>
    <w:p>
      <w:pPr>
        <w:ind w:left="3260"/>
        <w:spacing w:after="0"/>
        <w:rPr>
          <w:sz w:val="20"/>
          <w:szCs w:val="20"/>
          <w:color w:val="auto"/>
        </w:rPr>
      </w:pPr>
      <w:r>
        <w:rPr>
          <w:rFonts w:ascii="Courier New" w:cs="Courier New" w:eastAsia="Courier New" w:hAnsi="Courier New"/>
          <w:sz w:val="16"/>
          <w:szCs w:val="16"/>
          <w:color w:val="auto"/>
        </w:rPr>
        <w:t>registrant and have:</w:t>
      </w:r>
    </w:p>
    <w:p>
      <w:pPr>
        <w:spacing w:after="0" w:line="168" w:lineRule="exact"/>
        <w:rPr>
          <w:sz w:val="20"/>
          <w:szCs w:val="20"/>
          <w:color w:val="auto"/>
        </w:rPr>
      </w:pPr>
    </w:p>
    <w:p>
      <w:pPr>
        <w:jc w:val="both"/>
        <w:ind w:left="2320" w:right="2619" w:hanging="389"/>
        <w:spacing w:after="0" w:line="270" w:lineRule="auto"/>
        <w:tabs>
          <w:tab w:leader="none" w:pos="23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w:t>
      </w:r>
    </w:p>
    <w:p>
      <w:pPr>
        <w:spacing w:after="0" w:line="1" w:lineRule="exact"/>
        <w:rPr>
          <w:sz w:val="20"/>
          <w:szCs w:val="20"/>
          <w:color w:val="auto"/>
        </w:rPr>
      </w:pPr>
    </w:p>
    <w:p>
      <w:pPr>
        <w:jc w:val="center"/>
        <w:ind w:left="2400" w:right="100"/>
        <w:spacing w:after="0" w:line="272" w:lineRule="auto"/>
        <w:rPr>
          <w:sz w:val="20"/>
          <w:szCs w:val="20"/>
          <w:color w:val="auto"/>
        </w:rPr>
      </w:pPr>
      <w:r>
        <w:rPr>
          <w:rFonts w:ascii="Courier New" w:cs="Courier New" w:eastAsia="Courier New" w:hAnsi="Courier New"/>
          <w:sz w:val="16"/>
          <w:szCs w:val="16"/>
          <w:color w:val="auto"/>
        </w:rPr>
        <w:t>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sz w:val="20"/>
          <w:szCs w:val="20"/>
          <w:color w:val="auto"/>
        </w:rPr>
      </w:pPr>
    </w:p>
    <w:p>
      <w:pPr>
        <w:jc w:val="center"/>
        <w:ind w:left="2120" w:right="2339" w:hanging="484"/>
        <w:spacing w:after="0" w:line="282" w:lineRule="auto"/>
        <w:tabs>
          <w:tab w:leader="none" w:pos="2022"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Courier New" w:cs="Courier New" w:eastAsia="Courier New" w:hAnsi="Courier New"/>
          <w:sz w:val="16"/>
          <w:szCs w:val="16"/>
          <w:color w:val="auto"/>
        </w:rPr>
      </w:pPr>
    </w:p>
    <w:p>
      <w:pPr>
        <w:jc w:val="both"/>
        <w:ind w:left="2180" w:right="2479" w:hanging="397"/>
        <w:spacing w:after="0" w:line="264" w:lineRule="auto"/>
        <w:tabs>
          <w:tab w:leader="none" w:pos="2180"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w:t>
      </w:r>
    </w:p>
    <w:p>
      <w:pPr>
        <w:spacing w:after="0" w:line="1" w:lineRule="exact"/>
        <w:rPr>
          <w:sz w:val="20"/>
          <w:szCs w:val="20"/>
          <w:color w:val="auto"/>
        </w:rPr>
      </w:pPr>
    </w:p>
    <w:p>
      <w:pPr>
        <w:jc w:val="center"/>
        <w:ind w:left="2400" w:right="100"/>
        <w:spacing w:after="0" w:line="280" w:lineRule="auto"/>
        <w:rPr>
          <w:sz w:val="20"/>
          <w:szCs w:val="20"/>
          <w:color w:val="auto"/>
        </w:rPr>
      </w:pPr>
      <w:r>
        <w:rPr>
          <w:rFonts w:ascii="Courier New" w:cs="Courier New" w:eastAsia="Courier New" w:hAnsi="Courier New"/>
          <w:sz w:val="16"/>
          <w:szCs w:val="16"/>
          <w:color w:val="auto"/>
        </w:rPr>
        <w:t>registrant's fourth fiscal quarter in the case of an annual report) that has materially affected, or is reasonably likely to materially affect, the registrant's internal control over financial reporting; and</w:t>
      </w:r>
    </w:p>
    <w:p>
      <w:pPr>
        <w:spacing w:after="0" w:line="72" w:lineRule="exact"/>
        <w:rPr>
          <w:sz w:val="20"/>
          <w:szCs w:val="20"/>
          <w:color w:val="auto"/>
        </w:rPr>
      </w:pPr>
    </w:p>
    <w:p>
      <w:pPr>
        <w:ind w:left="1000" w:hanging="400"/>
        <w:spacing w:after="0"/>
        <w:tabs>
          <w:tab w:leader="none" w:pos="100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w:t>
      </w:r>
    </w:p>
    <w:p>
      <w:pPr>
        <w:spacing w:after="0" w:line="38" w:lineRule="exact"/>
        <w:rPr>
          <w:rFonts w:ascii="Courier New" w:cs="Courier New" w:eastAsia="Courier New" w:hAnsi="Courier New"/>
          <w:sz w:val="16"/>
          <w:szCs w:val="16"/>
          <w:color w:val="auto"/>
        </w:rPr>
      </w:pPr>
    </w:p>
    <w:p>
      <w:pPr>
        <w:jc w:val="both"/>
        <w:ind w:left="800" w:right="2379"/>
        <w:spacing w:after="0" w:line="25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our most recent evaluation of internal control over financial reporting, to the registrant's auditors and the audit committee of the registrant's board of directors (or persons performing the equivalent</w:t>
      </w:r>
    </w:p>
    <w:p>
      <w:pPr>
        <w:ind w:left="3700"/>
        <w:spacing w:after="0"/>
        <w:rPr>
          <w:sz w:val="20"/>
          <w:szCs w:val="20"/>
          <w:color w:val="auto"/>
        </w:rPr>
      </w:pPr>
      <w:r>
        <w:rPr>
          <w:rFonts w:ascii="Courier New" w:cs="Courier New" w:eastAsia="Courier New" w:hAnsi="Courier New"/>
          <w:sz w:val="16"/>
          <w:szCs w:val="16"/>
          <w:color w:val="auto"/>
        </w:rPr>
        <w:t>functions):</w:t>
      </w:r>
    </w:p>
    <w:p>
      <w:pPr>
        <w:spacing w:after="0" w:line="168" w:lineRule="exact"/>
        <w:rPr>
          <w:sz w:val="20"/>
          <w:szCs w:val="20"/>
          <w:color w:val="auto"/>
        </w:rPr>
      </w:pPr>
    </w:p>
    <w:p>
      <w:pPr>
        <w:jc w:val="center"/>
        <w:ind w:left="2040" w:right="2339" w:hanging="257"/>
        <w:spacing w:after="0" w:line="282" w:lineRule="auto"/>
        <w:tabs>
          <w:tab w:leader="none" w:pos="218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Courier New" w:cs="Courier New" w:eastAsia="Courier New" w:hAnsi="Courier New"/>
          <w:sz w:val="16"/>
          <w:szCs w:val="16"/>
          <w:color w:val="auto"/>
        </w:rPr>
      </w:pPr>
    </w:p>
    <w:p>
      <w:pPr>
        <w:ind w:left="2480" w:hanging="401"/>
        <w:spacing w:after="0"/>
        <w:tabs>
          <w:tab w:leader="none" w:pos="248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w:t>
      </w:r>
    </w:p>
    <w:p>
      <w:pPr>
        <w:spacing w:after="0" w:line="38" w:lineRule="exact"/>
        <w:rPr>
          <w:rFonts w:ascii="Courier New" w:cs="Courier New" w:eastAsia="Courier New" w:hAnsi="Courier New"/>
          <w:sz w:val="16"/>
          <w:szCs w:val="16"/>
          <w:color w:val="auto"/>
        </w:rPr>
      </w:pPr>
    </w:p>
    <w:p>
      <w:pPr>
        <w:ind w:left="2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or other employees who have a significant role</w:t>
      </w:r>
    </w:p>
    <w:p>
      <w:pPr>
        <w:spacing w:after="0" w:line="8" w:lineRule="exact"/>
        <w:rPr>
          <w:rFonts w:ascii="Courier New" w:cs="Courier New" w:eastAsia="Courier New" w:hAnsi="Courier New"/>
          <w:sz w:val="16"/>
          <w:szCs w:val="16"/>
          <w:color w:val="auto"/>
        </w:rPr>
      </w:pPr>
    </w:p>
    <w:p>
      <w:pPr>
        <w:ind w:left="23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the registrant's internal control over financial</w:t>
      </w:r>
    </w:p>
    <w:p>
      <w:pPr>
        <w:spacing w:after="0" w:line="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reporting.</w:t>
      </w:r>
    </w:p>
    <w:p>
      <w:pPr>
        <w:spacing w:after="0" w:line="358" w:lineRule="exact"/>
        <w:rPr>
          <w:sz w:val="20"/>
          <w:szCs w:val="20"/>
          <w:color w:val="auto"/>
        </w:rPr>
      </w:pPr>
    </w:p>
    <w:p>
      <w:pPr>
        <w:ind w:left="2960"/>
        <w:spacing w:after="0"/>
        <w:tabs>
          <w:tab w:leader="none" w:pos="3740" w:val="left"/>
        </w:tabs>
        <w:rPr>
          <w:sz w:val="20"/>
          <w:szCs w:val="20"/>
          <w:color w:val="auto"/>
        </w:rPr>
      </w:pPr>
      <w:r>
        <w:rPr>
          <w:rFonts w:ascii="Courier New" w:cs="Courier New" w:eastAsia="Courier New" w:hAnsi="Courier New"/>
          <w:sz w:val="16"/>
          <w:szCs w:val="16"/>
          <w:color w:val="auto"/>
        </w:rPr>
        <w:t>Dated:</w:t>
        <w:tab/>
        <w:t>August 4, 2003</w:t>
      </w:r>
    </w:p>
    <w:p>
      <w:pPr>
        <w:spacing w:after="0" w:line="38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/s/ Jeffrey A. Joerres</w:t>
      </w:r>
    </w:p>
    <w:p>
      <w:pPr>
        <w:spacing w:after="0" w:line="38"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Jeffrey A. Joerres</w:t>
      </w:r>
    </w:p>
    <w:p>
      <w:pPr>
        <w:spacing w:after="0" w:line="8"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Chairman, Chief Executive Officer</w:t>
      </w:r>
    </w:p>
    <w:p>
      <w:pPr>
        <w:sectPr>
          <w:pgSz w:w="11900" w:h="16838" w:orient="portrait"/>
          <w:cols w:equalWidth="0" w:num="1">
            <w:col w:w="10079"/>
          </w:cols>
          <w:pgMar w:left="380" w:top="1060" w:right="1440" w:bottom="1440" w:gutter="0" w:footer="0" w:header="0"/>
        </w:sectPr>
      </w:pPr>
    </w:p>
    <w:bookmarkStart w:id="31" w:name="page32"/>
    <w:bookmarkEnd w:id="31"/>
    <w:p>
      <w:pPr>
        <w:ind w:left="6560"/>
        <w:spacing w:after="0"/>
        <w:rPr>
          <w:sz w:val="20"/>
          <w:szCs w:val="20"/>
          <w:color w:val="auto"/>
        </w:rPr>
      </w:pPr>
      <w:r>
        <w:rPr>
          <w:rFonts w:ascii="Courier New" w:cs="Courier New" w:eastAsia="Courier New" w:hAnsi="Courier New"/>
          <w:sz w:val="16"/>
          <w:szCs w:val="16"/>
          <w:color w:val="auto"/>
        </w:rPr>
        <w:t>EXHIBIT 99.2</w:t>
      </w:r>
    </w:p>
    <w:p>
      <w:pPr>
        <w:spacing w:after="0" w:line="38" w:lineRule="exact"/>
        <w:rPr>
          <w:sz w:val="20"/>
          <w:szCs w:val="20"/>
          <w:color w:val="auto"/>
        </w:rPr>
      </w:pPr>
    </w:p>
    <w:p>
      <w:pPr>
        <w:ind w:left="4880"/>
        <w:spacing w:after="0"/>
        <w:rPr>
          <w:sz w:val="20"/>
          <w:szCs w:val="20"/>
          <w:color w:val="auto"/>
        </w:rPr>
      </w:pPr>
      <w:r>
        <w:rPr>
          <w:rFonts w:ascii="Courier New" w:cs="Courier New" w:eastAsia="Courier New" w:hAnsi="Courier New"/>
          <w:sz w:val="16"/>
          <w:szCs w:val="16"/>
          <w:color w:val="auto"/>
        </w:rPr>
        <w:t>CERTIFICATION</w:t>
      </w:r>
    </w:p>
    <w:p>
      <w:pPr>
        <w:spacing w:after="0" w:line="16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I, Michael J. Van Handel, Executive Vice President and Chief Financial Officer</w:t>
      </w:r>
    </w:p>
    <w:p>
      <w:pPr>
        <w:spacing w:after="0" w:line="3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of Manpower Inc., certify that:</w:t>
      </w:r>
    </w:p>
    <w:p>
      <w:pPr>
        <w:spacing w:after="0" w:line="168" w:lineRule="exact"/>
        <w:rPr>
          <w:sz w:val="20"/>
          <w:szCs w:val="20"/>
          <w:color w:val="auto"/>
        </w:rPr>
      </w:pPr>
    </w:p>
    <w:p>
      <w:pPr>
        <w:ind w:left="940" w:hanging="399"/>
        <w:spacing w:after="0"/>
        <w:tabs>
          <w:tab w:leader="none" w:pos="94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quarterly report on Form 10-Q of Manpower Inc.;</w:t>
      </w:r>
    </w:p>
    <w:p>
      <w:pPr>
        <w:spacing w:after="0" w:line="197" w:lineRule="exact"/>
        <w:rPr>
          <w:rFonts w:ascii="Courier New" w:cs="Courier New" w:eastAsia="Courier New" w:hAnsi="Courier New"/>
          <w:sz w:val="16"/>
          <w:szCs w:val="16"/>
          <w:color w:val="auto"/>
        </w:rPr>
      </w:pPr>
    </w:p>
    <w:p>
      <w:pPr>
        <w:ind w:left="1240" w:hanging="403"/>
        <w:spacing w:after="0"/>
        <w:tabs>
          <w:tab w:leader="none" w:pos="1240"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w:t>
      </w:r>
    </w:p>
    <w:p>
      <w:pPr>
        <w:spacing w:after="0" w:line="38"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of a material fact or omit to state a material fact necessary</w:t>
      </w:r>
    </w:p>
    <w:p>
      <w:pPr>
        <w:spacing w:after="0" w:line="8" w:lineRule="exact"/>
        <w:rPr>
          <w:sz w:val="20"/>
          <w:szCs w:val="20"/>
          <w:color w:val="auto"/>
        </w:rPr>
      </w:pPr>
    </w:p>
    <w:p>
      <w:pPr>
        <w:jc w:val="center"/>
        <w:ind w:left="1140" w:right="40"/>
        <w:spacing w:after="0" w:line="294" w:lineRule="auto"/>
        <w:rPr>
          <w:sz w:val="20"/>
          <w:szCs w:val="20"/>
          <w:color w:val="auto"/>
        </w:rPr>
      </w:pPr>
      <w:r>
        <w:rPr>
          <w:rFonts w:ascii="Courier New" w:cs="Courier New" w:eastAsia="Courier New" w:hAnsi="Courier New"/>
          <w:sz w:val="16"/>
          <w:szCs w:val="16"/>
          <w:color w:val="auto"/>
        </w:rPr>
        <w:t>to make the statements made, in light of the circumstances under which such statements were made, not misleading with respect to the period covered by this report;</w:t>
      </w:r>
    </w:p>
    <w:p>
      <w:pPr>
        <w:spacing w:after="0" w:line="62" w:lineRule="exact"/>
        <w:rPr>
          <w:sz w:val="20"/>
          <w:szCs w:val="20"/>
          <w:color w:val="auto"/>
        </w:rPr>
      </w:pPr>
    </w:p>
    <w:p>
      <w:pPr>
        <w:jc w:val="both"/>
        <w:ind w:left="980" w:right="2479" w:hanging="439"/>
        <w:spacing w:after="0" w:line="270" w:lineRule="auto"/>
        <w:tabs>
          <w:tab w:leader="none" w:pos="931"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w:t>
      </w:r>
    </w:p>
    <w:p>
      <w:pPr>
        <w:spacing w:after="0" w:line="1" w:lineRule="exact"/>
        <w:rPr>
          <w:sz w:val="20"/>
          <w:szCs w:val="20"/>
          <w:color w:val="auto"/>
        </w:rPr>
      </w:pPr>
    </w:p>
    <w:p>
      <w:pPr>
        <w:jc w:val="both"/>
        <w:ind w:left="780" w:right="2339" w:firstLine="49"/>
        <w:spacing w:after="0" w:line="337" w:lineRule="auto"/>
        <w:rPr>
          <w:sz w:val="20"/>
          <w:szCs w:val="20"/>
          <w:color w:val="auto"/>
        </w:rPr>
      </w:pPr>
      <w:r>
        <w:rPr>
          <w:rFonts w:ascii="Courier New" w:cs="Courier New" w:eastAsia="Courier New" w:hAnsi="Courier New"/>
          <w:sz w:val="16"/>
          <w:szCs w:val="16"/>
          <w:color w:val="auto"/>
        </w:rPr>
        <w:t>respects the financial condition, results of operations and cash flows of the registrant as of, and for, the periods presented in this report;</w:t>
      </w:r>
    </w:p>
    <w:p>
      <w:pPr>
        <w:spacing w:after="0" w:line="30" w:lineRule="exact"/>
        <w:rPr>
          <w:sz w:val="20"/>
          <w:szCs w:val="20"/>
          <w:color w:val="auto"/>
        </w:rPr>
      </w:pPr>
    </w:p>
    <w:p>
      <w:pPr>
        <w:jc w:val="center"/>
        <w:ind w:left="980" w:right="2379" w:hanging="537"/>
        <w:spacing w:after="0" w:line="270" w:lineRule="auto"/>
        <w:tabs>
          <w:tab w:leader="none" w:pos="83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are responsible for establishing and maintaining disclosure controls and procedures (as</w:t>
      </w:r>
    </w:p>
    <w:p>
      <w:pPr>
        <w:spacing w:after="0" w:line="1"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6"/>
          <w:szCs w:val="16"/>
          <w:color w:val="auto"/>
        </w:rPr>
        <w:t>defined in Exchange Act Rules 13a-15(e) and 15d-15(e)) for the</w:t>
      </w:r>
    </w:p>
    <w:p>
      <w:pPr>
        <w:spacing w:after="0" w:line="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6"/>
          <w:szCs w:val="16"/>
          <w:color w:val="auto"/>
        </w:rPr>
        <w:t>registrant and have:</w:t>
      </w:r>
    </w:p>
    <w:p>
      <w:pPr>
        <w:spacing w:after="0" w:line="168" w:lineRule="exact"/>
        <w:rPr>
          <w:sz w:val="20"/>
          <w:szCs w:val="20"/>
          <w:color w:val="auto"/>
        </w:rPr>
      </w:pPr>
    </w:p>
    <w:p>
      <w:pPr>
        <w:jc w:val="both"/>
        <w:ind w:left="2360" w:right="2619" w:hanging="389"/>
        <w:spacing w:after="0" w:line="270" w:lineRule="auto"/>
        <w:tabs>
          <w:tab w:leader="none" w:pos="236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w:t>
      </w:r>
    </w:p>
    <w:p>
      <w:pPr>
        <w:spacing w:after="0" w:line="1" w:lineRule="exact"/>
        <w:rPr>
          <w:sz w:val="20"/>
          <w:szCs w:val="20"/>
          <w:color w:val="auto"/>
        </w:rPr>
      </w:pPr>
    </w:p>
    <w:p>
      <w:pPr>
        <w:jc w:val="center"/>
        <w:ind w:left="2400" w:right="100"/>
        <w:spacing w:after="0" w:line="272" w:lineRule="auto"/>
        <w:rPr>
          <w:sz w:val="20"/>
          <w:szCs w:val="20"/>
          <w:color w:val="auto"/>
        </w:rPr>
      </w:pPr>
      <w:r>
        <w:rPr>
          <w:rFonts w:ascii="Courier New" w:cs="Courier New" w:eastAsia="Courier New" w:hAnsi="Courier New"/>
          <w:sz w:val="16"/>
          <w:szCs w:val="16"/>
          <w:color w:val="auto"/>
        </w:rPr>
        <w:t>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sz w:val="20"/>
          <w:szCs w:val="20"/>
          <w:color w:val="auto"/>
        </w:rPr>
      </w:pPr>
    </w:p>
    <w:p>
      <w:pPr>
        <w:jc w:val="center"/>
        <w:ind w:left="2160" w:right="2339" w:hanging="484"/>
        <w:spacing w:after="0" w:line="282" w:lineRule="auto"/>
        <w:tabs>
          <w:tab w:leader="none" w:pos="2062"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2" w:lineRule="exact"/>
        <w:rPr>
          <w:rFonts w:ascii="Courier New" w:cs="Courier New" w:eastAsia="Courier New" w:hAnsi="Courier New"/>
          <w:sz w:val="16"/>
          <w:szCs w:val="16"/>
          <w:color w:val="auto"/>
        </w:rPr>
      </w:pPr>
    </w:p>
    <w:p>
      <w:pPr>
        <w:ind w:left="2220" w:hanging="397"/>
        <w:spacing w:after="0"/>
        <w:tabs>
          <w:tab w:leader="none" w:pos="2220"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w:t>
      </w:r>
    </w:p>
    <w:p>
      <w:pPr>
        <w:spacing w:after="0" w:line="38" w:lineRule="exact"/>
        <w:rPr>
          <w:sz w:val="20"/>
          <w:szCs w:val="20"/>
          <w:color w:val="auto"/>
        </w:rPr>
      </w:pPr>
    </w:p>
    <w:p>
      <w:pPr>
        <w:jc w:val="center"/>
        <w:ind w:left="2400" w:right="100"/>
        <w:spacing w:after="0" w:line="268" w:lineRule="auto"/>
        <w:rPr>
          <w:sz w:val="20"/>
          <w:szCs w:val="20"/>
          <w:color w:val="auto"/>
        </w:rPr>
      </w:pPr>
      <w:r>
        <w:rPr>
          <w:rFonts w:ascii="Courier New" w:cs="Courier New" w:eastAsia="Courier New" w:hAnsi="Courier New"/>
          <w:sz w:val="16"/>
          <w:szCs w:val="16"/>
          <w:color w:val="auto"/>
        </w:rPr>
        <w:t>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sz w:val="20"/>
          <w:szCs w:val="20"/>
          <w:color w:val="auto"/>
        </w:rPr>
      </w:pPr>
    </w:p>
    <w:p>
      <w:pPr>
        <w:ind w:left="1040" w:hanging="400"/>
        <w:spacing w:after="0"/>
        <w:tabs>
          <w:tab w:leader="none" w:pos="10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w:t>
      </w:r>
    </w:p>
    <w:p>
      <w:pPr>
        <w:spacing w:after="0" w:line="38" w:lineRule="exact"/>
        <w:rPr>
          <w:rFonts w:ascii="Courier New" w:cs="Courier New" w:eastAsia="Courier New" w:hAnsi="Courier New"/>
          <w:sz w:val="16"/>
          <w:szCs w:val="16"/>
          <w:color w:val="auto"/>
        </w:rPr>
      </w:pP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our most recent evaluation of internal control over financial</w:t>
      </w:r>
    </w:p>
    <w:p>
      <w:pPr>
        <w:spacing w:after="0" w:line="8" w:lineRule="exact"/>
        <w:rPr>
          <w:sz w:val="20"/>
          <w:szCs w:val="20"/>
          <w:color w:val="auto"/>
        </w:rPr>
      </w:pPr>
    </w:p>
    <w:p>
      <w:pPr>
        <w:jc w:val="center"/>
        <w:ind w:left="1140" w:right="40"/>
        <w:spacing w:after="0" w:line="294" w:lineRule="auto"/>
        <w:rPr>
          <w:sz w:val="20"/>
          <w:szCs w:val="20"/>
          <w:color w:val="auto"/>
        </w:rPr>
      </w:pPr>
      <w:r>
        <w:rPr>
          <w:rFonts w:ascii="Courier New" w:cs="Courier New" w:eastAsia="Courier New" w:hAnsi="Courier New"/>
          <w:sz w:val="16"/>
          <w:szCs w:val="16"/>
          <w:color w:val="auto"/>
        </w:rPr>
        <w:t>reporting, to the registrant's auditors and the audit committee of the registrant's board of directors (or persons performing the equivalent functions):</w:t>
      </w:r>
    </w:p>
    <w:p>
      <w:pPr>
        <w:spacing w:after="0" w:line="62" w:lineRule="exact"/>
        <w:rPr>
          <w:sz w:val="20"/>
          <w:szCs w:val="20"/>
          <w:color w:val="auto"/>
        </w:rPr>
      </w:pPr>
    </w:p>
    <w:p>
      <w:pPr>
        <w:jc w:val="center"/>
        <w:ind w:left="2080" w:right="2339" w:hanging="257"/>
        <w:spacing w:after="0" w:line="282" w:lineRule="auto"/>
        <w:tabs>
          <w:tab w:leader="none" w:pos="222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2" w:lineRule="exact"/>
        <w:rPr>
          <w:rFonts w:ascii="Courier New" w:cs="Courier New" w:eastAsia="Courier New" w:hAnsi="Courier New"/>
          <w:sz w:val="16"/>
          <w:szCs w:val="16"/>
          <w:color w:val="auto"/>
        </w:rPr>
      </w:pPr>
    </w:p>
    <w:p>
      <w:pPr>
        <w:ind w:left="2520" w:hanging="401"/>
        <w:spacing w:after="0"/>
        <w:tabs>
          <w:tab w:leader="none" w:pos="2520"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w:t>
      </w:r>
    </w:p>
    <w:p>
      <w:pPr>
        <w:spacing w:after="0" w:line="38"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or other employees who have a significant role</w:t>
      </w:r>
    </w:p>
    <w:p>
      <w:pPr>
        <w:spacing w:after="0" w:line="8" w:lineRule="exact"/>
        <w:rPr>
          <w:rFonts w:ascii="Courier New" w:cs="Courier New" w:eastAsia="Courier New" w:hAnsi="Courier New"/>
          <w:sz w:val="16"/>
          <w:szCs w:val="16"/>
          <w:color w:val="auto"/>
        </w:rPr>
      </w:pPr>
    </w:p>
    <w:p>
      <w:pPr>
        <w:ind w:left="24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in the registrant's internal control over financial</w:t>
      </w:r>
    </w:p>
    <w:p>
      <w:pPr>
        <w:spacing w:after="0" w:line="8"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reporting.</w:t>
      </w:r>
    </w:p>
    <w:p>
      <w:pPr>
        <w:spacing w:after="0" w:line="358" w:lineRule="exact"/>
        <w:rPr>
          <w:sz w:val="20"/>
          <w:szCs w:val="20"/>
          <w:color w:val="auto"/>
        </w:rPr>
      </w:pPr>
    </w:p>
    <w:p>
      <w:pPr>
        <w:ind w:left="3000"/>
        <w:spacing w:after="0"/>
        <w:tabs>
          <w:tab w:leader="none" w:pos="3780" w:val="left"/>
        </w:tabs>
        <w:rPr>
          <w:sz w:val="20"/>
          <w:szCs w:val="20"/>
          <w:color w:val="auto"/>
        </w:rPr>
      </w:pPr>
      <w:r>
        <w:rPr>
          <w:rFonts w:ascii="Courier New" w:cs="Courier New" w:eastAsia="Courier New" w:hAnsi="Courier New"/>
          <w:sz w:val="16"/>
          <w:szCs w:val="16"/>
          <w:color w:val="auto"/>
        </w:rPr>
        <w:t>Dated:</w:t>
        <w:tab/>
        <w:t>August 4, 2003</w:t>
      </w:r>
    </w:p>
    <w:p>
      <w:pPr>
        <w:spacing w:after="0" w:line="38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/s/ Michael J. Van Handel</w:t>
      </w:r>
    </w:p>
    <w:p>
      <w:pPr>
        <w:spacing w:after="0" w:line="38"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Michael J. Van Handel</w:t>
      </w:r>
    </w:p>
    <w:p>
      <w:pPr>
        <w:spacing w:after="0" w:line="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Executive Vice President,</w:t>
      </w:r>
    </w:p>
    <w:p>
      <w:pPr>
        <w:spacing w:after="0" w:line="8"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Chief Financial Officer</w:t>
      </w:r>
    </w:p>
    <w:p>
      <w:pPr>
        <w:sectPr>
          <w:pgSz w:w="11900" w:h="16838" w:orient="portrait"/>
          <w:cols w:equalWidth="0" w:num="1">
            <w:col w:w="10119"/>
          </w:cols>
          <w:pgMar w:left="340" w:top="1249" w:right="1440" w:bottom="1440" w:gutter="0" w:footer="0" w:header="0"/>
        </w:sectPr>
      </w:pPr>
    </w:p>
    <w:bookmarkStart w:id="32" w:name="page33"/>
    <w:bookmarkEnd w:id="32"/>
    <w:p>
      <w:pPr>
        <w:jc w:val="right"/>
        <w:ind w:right="2379"/>
        <w:spacing w:after="0"/>
        <w:rPr>
          <w:sz w:val="20"/>
          <w:szCs w:val="20"/>
          <w:color w:val="auto"/>
        </w:rPr>
      </w:pPr>
      <w:r>
        <w:rPr>
          <w:rFonts w:ascii="Courier New" w:cs="Courier New" w:eastAsia="Courier New" w:hAnsi="Courier New"/>
          <w:sz w:val="16"/>
          <w:szCs w:val="16"/>
          <w:color w:val="auto"/>
        </w:rPr>
        <w:t>EXHIBIT 99.3</w:t>
      </w:r>
    </w:p>
    <w:p>
      <w:pPr>
        <w:spacing w:after="0" w:line="388"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STATEMENT</w:t>
      </w:r>
    </w:p>
    <w:p>
      <w:pPr>
        <w:spacing w:after="0" w:line="388" w:lineRule="exact"/>
        <w:rPr>
          <w:sz w:val="20"/>
          <w:szCs w:val="20"/>
          <w:color w:val="auto"/>
        </w:rPr>
      </w:pPr>
    </w:p>
    <w:p>
      <w:pPr>
        <w:jc w:val="center"/>
        <w:ind w:right="2379"/>
        <w:spacing w:after="0" w:line="314" w:lineRule="auto"/>
        <w:rPr>
          <w:sz w:val="20"/>
          <w:szCs w:val="20"/>
          <w:color w:val="auto"/>
        </w:rPr>
      </w:pPr>
      <w:r>
        <w:rPr>
          <w:rFonts w:ascii="Courier New" w:cs="Courier New" w:eastAsia="Courier New" w:hAnsi="Courier New"/>
          <w:sz w:val="16"/>
          <w:szCs w:val="16"/>
          <w:color w:val="auto"/>
        </w:rPr>
        <w:t>Pursuant to ss. 906 of the Sarbanes-Oxley Act of 2002, 18 U.S.C. ss. 1350, the undersigned officer of Manpower Inc. (the "Company"), hereby certifies that to his knowledge:</w:t>
      </w:r>
    </w:p>
    <w:p>
      <w:pPr>
        <w:spacing w:after="0" w:line="47" w:lineRule="exact"/>
        <w:rPr>
          <w:sz w:val="20"/>
          <w:szCs w:val="20"/>
          <w:color w:val="auto"/>
        </w:rPr>
      </w:pPr>
    </w:p>
    <w:p>
      <w:pPr>
        <w:jc w:val="both"/>
        <w:ind w:left="1880" w:right="2479" w:hanging="884"/>
        <w:spacing w:after="0" w:line="270" w:lineRule="auto"/>
        <w:tabs>
          <w:tab w:leader="none" w:pos="18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 ended June 30, 2003 fully complies with the requirements of</w:t>
      </w:r>
    </w:p>
    <w:p>
      <w:pPr>
        <w:spacing w:after="0" w:line="1"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6"/>
          <w:szCs w:val="16"/>
          <w:color w:val="auto"/>
        </w:rPr>
        <w:t>Section 13(a) or 15(d), as applicable, of the Securities</w:t>
      </w:r>
    </w:p>
    <w:p>
      <w:pPr>
        <w:spacing w:after="0" w:line="8"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6"/>
          <w:szCs w:val="16"/>
          <w:color w:val="auto"/>
        </w:rPr>
        <w:t>Exchange Act of 1934, and</w:t>
      </w:r>
    </w:p>
    <w:p>
      <w:pPr>
        <w:spacing w:after="0" w:line="168" w:lineRule="exact"/>
        <w:rPr>
          <w:sz w:val="20"/>
          <w:szCs w:val="20"/>
          <w:color w:val="auto"/>
        </w:rPr>
      </w:pPr>
    </w:p>
    <w:p>
      <w:pPr>
        <w:jc w:val="center"/>
        <w:ind w:left="1780" w:right="2379" w:hanging="784"/>
        <w:spacing w:after="0" w:line="270" w:lineRule="auto"/>
        <w:tabs>
          <w:tab w:leader="none" w:pos="187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operations of the Company.</w:t>
      </w:r>
    </w:p>
    <w:p>
      <w:pPr>
        <w:spacing w:after="0" w:line="35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MANPOWER INC.</w:t>
      </w:r>
    </w:p>
    <w:p>
      <w:pPr>
        <w:spacing w:after="0" w:line="198" w:lineRule="exact"/>
        <w:rPr>
          <w:sz w:val="20"/>
          <w:szCs w:val="20"/>
          <w:color w:val="auto"/>
        </w:rPr>
      </w:pPr>
    </w:p>
    <w:p>
      <w:pPr>
        <w:ind w:left="2820"/>
        <w:spacing w:after="0"/>
        <w:tabs>
          <w:tab w:leader="none" w:pos="3580" w:val="left"/>
        </w:tabs>
        <w:rPr>
          <w:sz w:val="20"/>
          <w:szCs w:val="20"/>
          <w:color w:val="auto"/>
        </w:rPr>
      </w:pPr>
      <w:r>
        <w:rPr>
          <w:rFonts w:ascii="Courier New" w:cs="Courier New" w:eastAsia="Courier New" w:hAnsi="Courier New"/>
          <w:sz w:val="16"/>
          <w:szCs w:val="16"/>
          <w:color w:val="auto"/>
        </w:rPr>
        <w:t>Dated:</w:t>
        <w:tab/>
        <w:t>August 4, 2003</w:t>
      </w:r>
    </w:p>
    <w:p>
      <w:pPr>
        <w:spacing w:after="0" w:line="200" w:lineRule="exact"/>
        <w:rPr>
          <w:sz w:val="20"/>
          <w:szCs w:val="20"/>
          <w:color w:val="auto"/>
        </w:rPr>
      </w:pPr>
    </w:p>
    <w:p>
      <w:pPr>
        <w:spacing w:after="0" w:line="377"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/s/ Jeffrey A. Joerres</w:t>
      </w:r>
    </w:p>
    <w:p>
      <w:pPr>
        <w:spacing w:after="0" w:line="38" w:lineRule="exact"/>
        <w:rPr>
          <w:sz w:val="20"/>
          <w:szCs w:val="20"/>
          <w:color w:val="auto"/>
        </w:rPr>
      </w:pPr>
    </w:p>
    <w:p>
      <w:pPr>
        <w:ind w:left="2180" w:hanging="198"/>
        <w:spacing w:after="0"/>
        <w:tabs>
          <w:tab w:leader="none" w:pos="218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ind w:left="30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Jeffrey A. Joerres</w:t>
      </w:r>
    </w:p>
    <w:p>
      <w:pPr>
        <w:spacing w:after="0" w:line="8"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Chairman,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379"/>
        <w:spacing w:after="0" w:line="276" w:lineRule="auto"/>
        <w:rPr>
          <w:sz w:val="20"/>
          <w:szCs w:val="20"/>
          <w:color w:val="auto"/>
        </w:rPr>
      </w:pPr>
      <w:r>
        <w:rPr>
          <w:rFonts w:ascii="Courier New" w:cs="Courier New" w:eastAsia="Courier New" w:hAnsi="Courier New"/>
          <w:sz w:val="16"/>
          <w:szCs w:val="16"/>
          <w:color w:val="auto"/>
        </w:rPr>
        <w:t>This certification accompanies this Quarterly Report on Form 10-Q pursuant to Section 906 of the Sarbanes-Oxley Act of 2002 and shall not be deemed filed by the Company for purposes of the Securities Exchange Act of 1934. A signed original of this written statement required by Section 906 has been provided to Manpower Inc. and will be retained by Manpower Inc. and furnished to the Securities and Exchange Commission or its staff upon request.</w:t>
      </w:r>
    </w:p>
    <w:p>
      <w:pPr>
        <w:sectPr>
          <w:pgSz w:w="11900" w:h="16838" w:orient="portrait"/>
          <w:cols w:equalWidth="0" w:num="1">
            <w:col w:w="10179"/>
          </w:cols>
          <w:pgMar w:left="280" w:top="1439" w:right="1440" w:bottom="1440" w:gutter="0" w:footer="0" w:header="0"/>
        </w:sectPr>
      </w:pPr>
    </w:p>
    <w:bookmarkStart w:id="33" w:name="page34"/>
    <w:bookmarkEnd w:id="33"/>
    <w:p>
      <w:pPr>
        <w:ind w:left="6560"/>
        <w:spacing w:after="0"/>
        <w:rPr>
          <w:sz w:val="20"/>
          <w:szCs w:val="20"/>
          <w:color w:val="auto"/>
        </w:rPr>
      </w:pPr>
      <w:r>
        <w:rPr>
          <w:rFonts w:ascii="Courier New" w:cs="Courier New" w:eastAsia="Courier New" w:hAnsi="Courier New"/>
          <w:sz w:val="16"/>
          <w:szCs w:val="16"/>
          <w:color w:val="auto"/>
        </w:rPr>
        <w:t>EXHIBIT 99.4</w:t>
      </w:r>
    </w:p>
    <w:p>
      <w:pPr>
        <w:spacing w:after="0" w:line="388" w:lineRule="exact"/>
        <w:rPr>
          <w:sz w:val="20"/>
          <w:szCs w:val="20"/>
          <w:color w:val="auto"/>
        </w:rPr>
      </w:pPr>
    </w:p>
    <w:p>
      <w:pPr>
        <w:ind w:left="5240"/>
        <w:spacing w:after="0"/>
        <w:rPr>
          <w:sz w:val="20"/>
          <w:szCs w:val="20"/>
          <w:color w:val="auto"/>
        </w:rPr>
      </w:pPr>
      <w:r>
        <w:rPr>
          <w:rFonts w:ascii="Courier New" w:cs="Courier New" w:eastAsia="Courier New" w:hAnsi="Courier New"/>
          <w:sz w:val="16"/>
          <w:szCs w:val="16"/>
          <w:color w:val="auto"/>
        </w:rPr>
        <w:t>STATEMENT</w:t>
      </w:r>
    </w:p>
    <w:p>
      <w:pPr>
        <w:spacing w:after="0" w:line="388" w:lineRule="exact"/>
        <w:rPr>
          <w:sz w:val="20"/>
          <w:szCs w:val="20"/>
          <w:color w:val="auto"/>
        </w:rPr>
      </w:pPr>
    </w:p>
    <w:p>
      <w:pPr>
        <w:jc w:val="center"/>
        <w:ind w:right="2379"/>
        <w:spacing w:after="0" w:line="314" w:lineRule="auto"/>
        <w:rPr>
          <w:sz w:val="20"/>
          <w:szCs w:val="20"/>
          <w:color w:val="auto"/>
        </w:rPr>
      </w:pPr>
      <w:r>
        <w:rPr>
          <w:rFonts w:ascii="Courier New" w:cs="Courier New" w:eastAsia="Courier New" w:hAnsi="Courier New"/>
          <w:sz w:val="16"/>
          <w:szCs w:val="16"/>
          <w:color w:val="auto"/>
        </w:rPr>
        <w:t>Pursuant to ss. 906 of the Sarbanes-Oxley Act of 2002, 18 U.S.C. ss. 1350, the undersigned officer of Manpower Inc. (the "Company"), hereby certifies that to his knowledge:</w:t>
      </w:r>
    </w:p>
    <w:p>
      <w:pPr>
        <w:spacing w:after="0" w:line="47" w:lineRule="exact"/>
        <w:rPr>
          <w:sz w:val="20"/>
          <w:szCs w:val="20"/>
          <w:color w:val="auto"/>
        </w:rPr>
      </w:pPr>
    </w:p>
    <w:p>
      <w:pPr>
        <w:ind w:left="1880" w:hanging="884"/>
        <w:spacing w:after="0"/>
        <w:tabs>
          <w:tab w:leader="none" w:pos="188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Quarterly Report on Form 10-Q for the quarter</w:t>
      </w:r>
    </w:p>
    <w:p>
      <w:pPr>
        <w:spacing w:after="0" w:line="38" w:lineRule="exact"/>
        <w:rPr>
          <w:sz w:val="20"/>
          <w:szCs w:val="20"/>
          <w:color w:val="auto"/>
        </w:rPr>
      </w:pPr>
    </w:p>
    <w:p>
      <w:pPr>
        <w:jc w:val="center"/>
        <w:ind w:left="2060" w:right="100"/>
        <w:spacing w:after="0" w:line="294" w:lineRule="auto"/>
        <w:rPr>
          <w:sz w:val="20"/>
          <w:szCs w:val="20"/>
          <w:color w:val="auto"/>
        </w:rPr>
      </w:pPr>
      <w:r>
        <w:rPr>
          <w:rFonts w:ascii="Courier New" w:cs="Courier New" w:eastAsia="Courier New" w:hAnsi="Courier New"/>
          <w:sz w:val="16"/>
          <w:szCs w:val="16"/>
          <w:color w:val="auto"/>
        </w:rPr>
        <w:t>ended June 30, 2003 fully complies with the requirements of Section 13(a) or 15(d), as applicable, of the Securities Exchange Act of 1934, and</w:t>
      </w:r>
    </w:p>
    <w:p>
      <w:pPr>
        <w:spacing w:after="0" w:line="62" w:lineRule="exact"/>
        <w:rPr>
          <w:sz w:val="20"/>
          <w:szCs w:val="20"/>
          <w:color w:val="auto"/>
        </w:rPr>
      </w:pPr>
    </w:p>
    <w:p>
      <w:pPr>
        <w:ind w:left="1880" w:hanging="884"/>
        <w:spacing w:after="0"/>
        <w:tabs>
          <w:tab w:leader="none" w:pos="188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w:t>
      </w:r>
    </w:p>
    <w:p>
      <w:pPr>
        <w:spacing w:after="0" w:line="38"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6"/>
          <w:szCs w:val="16"/>
          <w:color w:val="auto"/>
        </w:rPr>
        <w:t>all material respects, the financial condition and results of</w:t>
      </w:r>
    </w:p>
    <w:p>
      <w:pPr>
        <w:spacing w:after="0" w:line="8"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6"/>
          <w:szCs w:val="16"/>
          <w:color w:val="auto"/>
        </w:rPr>
        <w:t>operations of the Company.</w:t>
      </w:r>
    </w:p>
    <w:p>
      <w:pPr>
        <w:spacing w:after="0" w:line="35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MANPOWER INC.</w:t>
      </w:r>
    </w:p>
    <w:p>
      <w:pPr>
        <w:spacing w:after="0" w:line="198" w:lineRule="exact"/>
        <w:rPr>
          <w:sz w:val="20"/>
          <w:szCs w:val="20"/>
          <w:color w:val="auto"/>
        </w:rPr>
      </w:pPr>
    </w:p>
    <w:p>
      <w:pPr>
        <w:ind w:left="2820"/>
        <w:spacing w:after="0"/>
        <w:tabs>
          <w:tab w:leader="none" w:pos="3580" w:val="left"/>
        </w:tabs>
        <w:rPr>
          <w:sz w:val="20"/>
          <w:szCs w:val="20"/>
          <w:color w:val="auto"/>
        </w:rPr>
      </w:pPr>
      <w:r>
        <w:rPr>
          <w:rFonts w:ascii="Courier New" w:cs="Courier New" w:eastAsia="Courier New" w:hAnsi="Courier New"/>
          <w:sz w:val="16"/>
          <w:szCs w:val="16"/>
          <w:color w:val="auto"/>
        </w:rPr>
        <w:t>Dated:</w:t>
        <w:tab/>
        <w:t>August 4, 2003</w:t>
      </w:r>
    </w:p>
    <w:p>
      <w:pPr>
        <w:spacing w:after="0" w:line="200" w:lineRule="exact"/>
        <w:rPr>
          <w:sz w:val="20"/>
          <w:szCs w:val="20"/>
          <w:color w:val="auto"/>
        </w:rPr>
      </w:pPr>
    </w:p>
    <w:p>
      <w:pPr>
        <w:spacing w:after="0" w:line="377"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/s/ Michael J. Van Handel</w:t>
      </w:r>
    </w:p>
    <w:p>
      <w:pPr>
        <w:spacing w:after="0" w:line="38"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Michael J. Van Handel</w:t>
      </w:r>
    </w:p>
    <w:p>
      <w:pPr>
        <w:spacing w:after="0" w:line="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Executive Vice President,</w:t>
      </w:r>
    </w:p>
    <w:p>
      <w:pPr>
        <w:spacing w:after="0" w:line="8"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2379"/>
        <w:spacing w:after="0" w:line="276" w:lineRule="auto"/>
        <w:rPr>
          <w:sz w:val="20"/>
          <w:szCs w:val="20"/>
          <w:color w:val="auto"/>
        </w:rPr>
      </w:pPr>
      <w:r>
        <w:rPr>
          <w:rFonts w:ascii="Courier New" w:cs="Courier New" w:eastAsia="Courier New" w:hAnsi="Courier New"/>
          <w:sz w:val="16"/>
          <w:szCs w:val="16"/>
          <w:color w:val="auto"/>
        </w:rPr>
        <w:t>This certification accompanies this Quarterly Report on Form 10-Q pursuant to Section 906 of the Sarbanes-Oxley Act of 2002 and shall not be deemed filed by the Company for purposes of the Securities Exchange Act of 1934. A signed original of this written statement required by Section 906 has been provided to Manpower Inc. and will be retained by Manpower Inc. and furnished to the Securities and Exchange Commission or its staff upon request.</w:t>
      </w:r>
    </w:p>
    <w:sectPr>
      <w:pgSz w:w="11900" w:h="16838" w:orient="portrait"/>
      <w:cols w:equalWidth="0" w:num="1">
        <w:col w:w="10179"/>
      </w:cols>
      <w:pgMar w:left="280" w:top="106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1)"/>
      <w:numFmt w:val="decimal"/>
      <w:start w:val="1"/>
    </w:lvl>
  </w:abstractNum>
  <w:abstractNum w:abstractNumId="2">
    <w:nsid w:val="3F2DBA31"/>
    <w:multiLevelType w:val="hybridMultilevel"/>
    <w:lvl w:ilvl="0">
      <w:lvlJc w:val="left"/>
      <w:lvlText w:val="(%1)"/>
      <w:numFmt w:val="decimal"/>
      <w:start w:val="7"/>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lvl w:ilvl="1">
      <w:lvlJc w:val="left"/>
      <w:lvlText w:val="(%2)"/>
      <w:numFmt w:val="lowerRoman"/>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lowerLetter"/>
      <w:start w:val="1"/>
    </w:lvl>
  </w:abstractNum>
  <w:abstractNum w:abstractNumId="8">
    <w:nsid w:val="333AB105"/>
    <w:multiLevelType w:val="hybridMultilevel"/>
    <w:lvl w:ilvl="0">
      <w:lvlJc w:val="left"/>
      <w:lvlText w:val="%1."/>
      <w:numFmt w:val="decimal"/>
      <w:start w:val="2"/>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decimal"/>
      <w:start w:val="3"/>
    </w:lvl>
  </w:abstractNum>
  <w:abstractNum w:abstractNumId="12">
    <w:nsid w:val="6763845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3">
    <w:nsid w:val="75A2A8D4"/>
    <w:multiLevelType w:val="hybridMultilevel"/>
    <w:lvl w:ilvl="0">
      <w:lvlJc w:val="left"/>
      <w:lvlText w:val="%1."/>
      <w:numFmt w:val="decimal"/>
      <w:start w:val="4"/>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lvl w:ilvl="1">
      <w:lvlJc w:val="left"/>
      <w:lvlText w:val="%2."/>
      <w:numFmt w:val="decimal"/>
      <w:start w:val="2"/>
    </w:lvl>
  </w:abstractNum>
  <w:abstractNum w:abstractNumId="16">
    <w:nsid w:val="4353D0CD"/>
    <w:multiLevelType w:val="hybridMultilevel"/>
    <w:lvl w:ilvl="0">
      <w:lvlJc w:val="left"/>
      <w:lvlText w:val="%1."/>
      <w:numFmt w:val="decimal"/>
      <w:start w:val="3"/>
    </w:lvl>
  </w:abstractNum>
  <w:abstractNum w:abstractNumId="17">
    <w:nsid w:val="B03E0C6"/>
    <w:multiLevelType w:val="hybridMultilevel"/>
    <w:lvl w:ilvl="0">
      <w:lvlJc w:val="left"/>
      <w:lvlText w:val="%1."/>
      <w:numFmt w:val="decimal"/>
      <w:start w:val="4"/>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Letter"/>
      <w:start w:val="2"/>
    </w:lvl>
    <w:lvl w:ilvl="1">
      <w:lvlJc w:val="left"/>
      <w:lvlText w:val="(%2)"/>
      <w:numFmt w:val="lowerLetter"/>
      <w:start w:val="3"/>
    </w:lvl>
  </w:abstractNum>
  <w:abstractNum w:abstractNumId="20">
    <w:nsid w:val="71F32454"/>
    <w:multiLevelType w:val="hybridMultilevel"/>
    <w:lvl w:ilvl="0">
      <w:lvlJc w:val="left"/>
      <w:lvlText w:val="%1."/>
      <w:numFmt w:val="decimal"/>
      <w:start w:val="5"/>
    </w:lvl>
  </w:abstractNum>
  <w:abstractNum w:abstractNumId="21">
    <w:nsid w:val="2CA88611"/>
    <w:multiLevelType w:val="hybridMultilevel"/>
    <w:lvl w:ilvl="0">
      <w:lvlJc w:val="left"/>
      <w:lvlText w:val="(%1)"/>
      <w:numFmt w:val="lowerLetter"/>
      <w:start w:val="1"/>
    </w:lvl>
    <w:lvl w:ilvl="1">
      <w:lvlJc w:val="left"/>
      <w:lvlText w:val="(%2)"/>
      <w:numFmt w:val="lowerLetter"/>
      <w:start w:val="2"/>
    </w:lvl>
  </w:abstractNum>
  <w:abstractNum w:abstractNumId="22">
    <w:nsid w:val="836C40E"/>
    <w:multiLevelType w:val="hybridMultilevel"/>
    <w:lvl w:ilvl="0">
      <w:lvlJc w:val="left"/>
      <w:lvlText w:val="%1."/>
      <w:numFmt w:val="decimal"/>
      <w:start w:val="1"/>
    </w:lvl>
    <w:lvl w:ilvl="1">
      <w:lvlJc w:val="left"/>
      <w:lvlText w:val="%2."/>
      <w:numFmt w:val="decimal"/>
      <w:start w:val="2"/>
    </w:lvl>
  </w:abstractNum>
  <w:abstractNum w:abstractNumId="23">
    <w:nsid w:val="2901D82"/>
    <w:multiLevelType w:val="hybridMultilevel"/>
    <w:lvl w:ilvl="0">
      <w:lvlJc w:val="left"/>
      <w:lvlText w:val="%1."/>
      <w:numFmt w:val="decimal"/>
      <w:start w:val="3"/>
    </w:lvl>
  </w:abstractNum>
  <w:abstractNum w:abstractNumId="24">
    <w:nsid w:val="3A95F874"/>
    <w:multiLevelType w:val="hybridMultilevel"/>
    <w:lvl w:ilvl="0">
      <w:lvlJc w:val="left"/>
      <w:lvlText w:val="%1."/>
      <w:numFmt w:val="decimal"/>
      <w:start w:val="4"/>
    </w:lvl>
  </w:abstractNum>
  <w:abstractNum w:abstractNumId="25">
    <w:nsid w:val="8138641"/>
    <w:multiLevelType w:val="hybridMultilevel"/>
    <w:lvl w:ilvl="0">
      <w:lvlJc w:val="left"/>
      <w:lvlText w:val="(%1)"/>
      <w:numFmt w:val="lowerLetter"/>
      <w:start w:val="1"/>
    </w:lvl>
  </w:abstractNum>
  <w:abstractNum w:abstractNumId="26">
    <w:nsid w:val="1E7FF521"/>
    <w:multiLevelType w:val="hybridMultilevel"/>
    <w:lvl w:ilvl="0">
      <w:lvlJc w:val="left"/>
      <w:lvlText w:val="(%1)"/>
      <w:numFmt w:val="lowerLetter"/>
      <w:start w:val="2"/>
    </w:lvl>
    <w:lvl w:ilvl="1">
      <w:lvlJc w:val="left"/>
      <w:lvlText w:val="(%2)"/>
      <w:numFmt w:val="lowerLetter"/>
      <w:start w:val="3"/>
    </w:lvl>
  </w:abstractNum>
  <w:abstractNum w:abstractNumId="27">
    <w:nsid w:val="7C3DBD3D"/>
    <w:multiLevelType w:val="hybridMultilevel"/>
    <w:lvl w:ilvl="0">
      <w:lvlJc w:val="left"/>
      <w:lvlText w:val="%1."/>
      <w:numFmt w:val="decimal"/>
      <w:start w:val="5"/>
    </w:lvl>
  </w:abstractNum>
  <w:abstractNum w:abstractNumId="28">
    <w:nsid w:val="737B8DDC"/>
    <w:multiLevelType w:val="hybridMultilevel"/>
    <w:lvl w:ilvl="0">
      <w:lvlJc w:val="left"/>
      <w:lvlText w:val="(%1)"/>
      <w:numFmt w:val="lowerLetter"/>
      <w:start w:val="1"/>
    </w:lvl>
    <w:lvl w:ilvl="1">
      <w:lvlJc w:val="left"/>
      <w:lvlText w:val="(%2)"/>
      <w:numFmt w:val="lowerLetter"/>
      <w:start w:val="2"/>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1)"/>
      <w:numFmt w:val="decimal"/>
      <w:start w:val="2"/>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2019-12-20T04:48:31Z</dcterms:created>
  <dcterms:modified xsi:type="dcterms:W3CDTF">2019-12-20T04:48:31Z</dcterms:modified>
</cp:coreProperties>
</file>