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MANPOWER INC.</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 AS AMENDED</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COMSYS IT PARTNERS, INC.</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000-27792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-768985</wp:posOffset>
            </wp:positionH>
            <wp:positionV relativeFrom="paragraph">
              <wp:posOffset>539750</wp:posOffset>
            </wp:positionV>
            <wp:extent cx="7322820" cy="5993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22820" cy="5993130"/>
                    </a:xfrm>
                    <a:prstGeom prst="rect">
                      <a:avLst/>
                    </a:prstGeom>
                    <a:noFill/>
                  </pic:spPr>
                </pic:pic>
              </a:graphicData>
            </a:graphic>
          </wp:anchor>
        </w:drawing>
      </w:r>
    </w:p>
    <w:p>
      <w:pPr>
        <w:sectPr>
          <w:pgSz w:w="11900" w:h="16838" w:orient="portrait"/>
          <w:cols w:equalWidth="0" w:num="1">
            <w:col w:w="10240"/>
          </w:cols>
          <w:pgMar w:left="1440" w:top="415" w:right="219" w:bottom="1440" w:gutter="0" w:footer="0" w:header="0"/>
        </w:sectPr>
      </w:pPr>
    </w:p>
    <w:bookmarkStart w:id="1" w:name="page2"/>
    <w:bookmarkEnd w:id="1"/>
    <w:tbl>
      <w:tblPr>
        <w:tblLayout w:type="fixed"/>
        <w:tblInd w:w="140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4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400" w:type="dxa"/>
            <w:vAlign w:val="bottom"/>
          </w:tcPr>
          <w:p>
            <w:pPr>
              <w:jc w:val="right"/>
              <w:spacing w:after="0"/>
              <w:rPr>
                <w:sz w:val="20"/>
                <w:szCs w:val="20"/>
                <w:color w:val="auto"/>
              </w:rPr>
            </w:pPr>
            <w:r>
              <w:rPr>
                <w:rFonts w:ascii="Arial" w:cs="Arial" w:eastAsia="Arial" w:hAnsi="Arial"/>
                <w:sz w:val="17"/>
                <w:szCs w:val="17"/>
                <w:color w:val="FFFFFF"/>
              </w:rPr>
              <w:t>2</w:t>
            </w:r>
          </w:p>
        </w:tc>
      </w:tr>
      <w:tr>
        <w:trPr>
          <w:trHeight w:val="202"/>
        </w:trPr>
        <w:tc>
          <w:tcPr>
            <w:tcW w:w="4960" w:type="dxa"/>
            <w:vAlign w:val="bottom"/>
          </w:tcPr>
          <w:p>
            <w:pPr>
              <w:spacing w:after="0"/>
              <w:rPr>
                <w:sz w:val="17"/>
                <w:szCs w:val="17"/>
                <w:color w:val="auto"/>
              </w:rPr>
            </w:pPr>
          </w:p>
        </w:tc>
        <w:tc>
          <w:tcPr>
            <w:tcW w:w="3140" w:type="dxa"/>
            <w:vAlign w:val="bottom"/>
          </w:tcPr>
          <w:p>
            <w:pPr>
              <w:ind w:left="2160"/>
              <w:spacing w:after="0"/>
              <w:rPr>
                <w:sz w:val="20"/>
                <w:szCs w:val="20"/>
                <w:color w:val="auto"/>
              </w:rPr>
            </w:pPr>
            <w:r>
              <w:rPr>
                <w:rFonts w:ascii="Arial" w:cs="Arial" w:eastAsia="Arial" w:hAnsi="Arial"/>
                <w:sz w:val="17"/>
                <w:szCs w:val="17"/>
                <w:color w:val="FFFFFF"/>
              </w:rPr>
              <w:t>2010</w:t>
            </w:r>
          </w:p>
        </w:tc>
        <w:tc>
          <w:tcPr>
            <w:tcW w:w="40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220345</wp:posOffset>
            </wp:positionV>
            <wp:extent cx="7004685" cy="5253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46"/>
          <w:szCs w:val="46"/>
          <w:color w:val="5F81AA"/>
        </w:rPr>
        <w:t>Forward-Looking Statement</w:t>
      </w:r>
    </w:p>
    <w:p>
      <w:pPr>
        <w:spacing w:after="0" w:line="166" w:lineRule="exact"/>
        <w:rPr>
          <w:sz w:val="20"/>
          <w:szCs w:val="20"/>
          <w:color w:val="auto"/>
        </w:rPr>
      </w:pPr>
    </w:p>
    <w:p>
      <w:pPr>
        <w:ind w:right="2280"/>
        <w:spacing w:after="0" w:line="253" w:lineRule="auto"/>
        <w:rPr>
          <w:sz w:val="20"/>
          <w:szCs w:val="20"/>
          <w:color w:val="auto"/>
        </w:rPr>
      </w:pPr>
      <w:r>
        <w:rPr>
          <w:rFonts w:ascii="Arial" w:cs="Arial" w:eastAsia="Arial" w:hAnsi="Arial"/>
          <w:sz w:val="21"/>
          <w:szCs w:val="21"/>
          <w:color w:val="auto"/>
        </w:rPr>
        <w:t>This presentation includes forward-looking statements which are subject to risks and uncertainties. Actual results might differ materially from those projected in the forward-looking statements. Additional information concerning factors that could cause actual results to materially differ from those in the forward-looking statements is contained in the Company’s Annual Report on Form 10-K dated December 31, 2009, which information is incorporated herein by reference, and such other factors as may be described from time to time in the Company’s SEC filings.</w:t>
      </w:r>
    </w:p>
    <w:p>
      <w:pPr>
        <w:spacing w:after="0" w:line="285" w:lineRule="exact"/>
        <w:rPr>
          <w:sz w:val="20"/>
          <w:szCs w:val="20"/>
          <w:color w:val="auto"/>
        </w:rPr>
      </w:pPr>
    </w:p>
    <w:p>
      <w:pPr>
        <w:ind w:right="2300"/>
        <w:spacing w:after="0" w:line="252" w:lineRule="auto"/>
        <w:rPr>
          <w:sz w:val="20"/>
          <w:szCs w:val="20"/>
          <w:color w:val="auto"/>
        </w:rPr>
      </w:pPr>
      <w:r>
        <w:rPr>
          <w:rFonts w:ascii="Arial" w:cs="Arial" w:eastAsia="Arial" w:hAnsi="Arial"/>
          <w:sz w:val="21"/>
          <w:szCs w:val="21"/>
          <w:color w:val="auto"/>
        </w:rPr>
        <w:t xml:space="preserve">This presentation does not constitute an offer of any securities for sale. The exchange offer related to the acquisition of COMSYS IT Partners, Inc. has not commenced. Manpower intends to commence an exchange offer and file a Schedule TO and a registration statement on Form S-4, and COMSYS intends to file a Solicitation/Recommendation Statement on Schedule 14D-9 with the Securities and Exchange Commission in connection with the transaction. Manpower and COMSYS expect to mail a Preliminary Prospectus, the Schedule 14D-9 and related exchange offer materials to stockholders of COMSYS. These documents, however, are not currently available. INVESTORS AND SECURITY HOLDERS ARE URGED TO READ THESE DOCUMENTS CAREFULLY WHEN THEY ARE AVAILABLE BECAUSE THEY CONTAIN IMPORTANT INFORMATION ABOUT MANPOWER, COMSYS AND THE TRANSACTION. Documents filed with the SEC by Manpower and COMSYS may be obtained without charge at the SEC's website at </w:t>
      </w:r>
      <w:r>
        <w:rPr>
          <w:rFonts w:ascii="Arial" w:cs="Arial" w:eastAsia="Arial" w:hAnsi="Arial"/>
          <w:sz w:val="21"/>
          <w:szCs w:val="21"/>
          <w:u w:val="single" w:color="auto"/>
          <w:color w:val="6698C2"/>
        </w:rPr>
        <w:t>www.sec.gov</w:t>
      </w:r>
      <w:r>
        <w:rPr>
          <w:rFonts w:ascii="Arial" w:cs="Arial" w:eastAsia="Arial" w:hAnsi="Arial"/>
          <w:sz w:val="21"/>
          <w:szCs w:val="21"/>
          <w:color w:val="auto"/>
        </w:rPr>
        <w:t xml:space="preserve">, and at Manpower's website at </w:t>
      </w:r>
      <w:r>
        <w:rPr>
          <w:rFonts w:ascii="Arial" w:cs="Arial" w:eastAsia="Arial" w:hAnsi="Arial"/>
          <w:sz w:val="21"/>
          <w:szCs w:val="21"/>
          <w:u w:val="single" w:color="auto"/>
          <w:color w:val="6698C2"/>
        </w:rPr>
        <w:t>www.manpower.com</w:t>
      </w:r>
      <w:r>
        <w:rPr>
          <w:rFonts w:ascii="Arial" w:cs="Arial" w:eastAsia="Arial" w:hAnsi="Arial"/>
          <w:sz w:val="21"/>
          <w:szCs w:val="21"/>
          <w:color w:val="auto"/>
        </w:rPr>
        <w:t xml:space="preserve"> or COMSYS' website at </w:t>
      </w:r>
      <w:r>
        <w:rPr>
          <w:rFonts w:ascii="Arial" w:cs="Arial" w:eastAsia="Arial" w:hAnsi="Arial"/>
          <w:sz w:val="21"/>
          <w:szCs w:val="21"/>
          <w:u w:val="single" w:color="auto"/>
          <w:color w:val="6698C2"/>
        </w:rPr>
        <w:t>www.comsys.com</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455930</wp:posOffset>
            </wp:positionV>
            <wp:extent cx="7272655"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9900"/>
          </w:cols>
          <w:pgMar w:left="960" w:top="527" w:right="1039" w:bottom="1440" w:gutter="0" w:footer="0" w:header="0"/>
        </w:sectPr>
      </w:pPr>
    </w:p>
    <w:bookmarkStart w:id="2" w:name="page3"/>
    <w:bookmarkEnd w:id="2"/>
    <w:tbl>
      <w:tblPr>
        <w:tblLayout w:type="fixed"/>
        <w:tblInd w:w="112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4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400" w:type="dxa"/>
            <w:vAlign w:val="bottom"/>
          </w:tcPr>
          <w:p>
            <w:pPr>
              <w:jc w:val="right"/>
              <w:spacing w:after="0"/>
              <w:rPr>
                <w:sz w:val="20"/>
                <w:szCs w:val="20"/>
                <w:color w:val="auto"/>
              </w:rPr>
            </w:pPr>
            <w:r>
              <w:rPr>
                <w:rFonts w:ascii="Arial" w:cs="Arial" w:eastAsia="Arial" w:hAnsi="Arial"/>
                <w:sz w:val="17"/>
                <w:szCs w:val="17"/>
                <w:color w:val="FFFFFF"/>
              </w:rPr>
              <w:t>3</w:t>
            </w:r>
          </w:p>
        </w:tc>
      </w:tr>
      <w:tr>
        <w:trPr>
          <w:trHeight w:val="202"/>
        </w:trPr>
        <w:tc>
          <w:tcPr>
            <w:tcW w:w="4960" w:type="dxa"/>
            <w:vAlign w:val="bottom"/>
          </w:tcPr>
          <w:p>
            <w:pPr>
              <w:spacing w:after="0"/>
              <w:rPr>
                <w:sz w:val="17"/>
                <w:szCs w:val="17"/>
                <w:color w:val="auto"/>
              </w:rPr>
            </w:pPr>
          </w:p>
        </w:tc>
        <w:tc>
          <w:tcPr>
            <w:tcW w:w="3140" w:type="dxa"/>
            <w:vAlign w:val="bottom"/>
          </w:tcPr>
          <w:p>
            <w:pPr>
              <w:ind w:left="2160"/>
              <w:spacing w:after="0"/>
              <w:rPr>
                <w:sz w:val="20"/>
                <w:szCs w:val="20"/>
                <w:color w:val="auto"/>
              </w:rPr>
            </w:pPr>
            <w:r>
              <w:rPr>
                <w:rFonts w:ascii="Arial" w:cs="Arial" w:eastAsia="Arial" w:hAnsi="Arial"/>
                <w:sz w:val="17"/>
                <w:szCs w:val="17"/>
                <w:color w:val="FFFFFF"/>
              </w:rPr>
              <w:t>2010</w:t>
            </w:r>
          </w:p>
        </w:tc>
        <w:tc>
          <w:tcPr>
            <w:tcW w:w="40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45"/>
          <w:szCs w:val="45"/>
          <w:color w:val="5F81AA"/>
        </w:rPr>
        <w:t>At Manpower, our job is helping the world work, and today it’s more important than ever before.</w:t>
      </w:r>
    </w:p>
    <w:p>
      <w:pPr>
        <w:sectPr>
          <w:pgSz w:w="11900" w:h="16838" w:orient="portrait"/>
          <w:cols w:equalWidth="0" w:num="1">
            <w:col w:w="9640"/>
          </w:cols>
          <w:pgMar w:left="1240" w:top="446" w:right="1019" w:bottom="1440" w:gutter="0" w:footer="0" w:header="0"/>
        </w:sectPr>
      </w:pPr>
    </w:p>
    <w:p>
      <w:pPr>
        <w:spacing w:after="0" w:line="129" w:lineRule="exact"/>
        <w:rPr>
          <w:sz w:val="20"/>
          <w:szCs w:val="20"/>
          <w:color w:val="auto"/>
        </w:rPr>
      </w:pPr>
    </w:p>
    <w:p>
      <w:pPr>
        <w:ind w:left="80"/>
        <w:spacing w:after="0"/>
        <w:rPr>
          <w:sz w:val="20"/>
          <w:szCs w:val="20"/>
          <w:color w:val="auto"/>
        </w:rPr>
      </w:pPr>
      <w:r>
        <w:rPr>
          <w:rFonts w:ascii="Arial" w:cs="Arial" w:eastAsia="Arial" w:hAnsi="Arial"/>
          <w:sz w:val="28"/>
          <w:szCs w:val="28"/>
          <w:color w:val="auto"/>
        </w:rPr>
        <w:t xml:space="preserve">Despite the challenging business environment, we </w:t>
      </w:r>
      <w:r>
        <w:rPr>
          <w:rFonts w:ascii="Arial" w:cs="Arial" w:eastAsia="Arial" w:hAnsi="Arial"/>
          <w:sz w:val="28"/>
          <w:szCs w:val="28"/>
          <w:b w:val="1"/>
          <w:bCs w:val="1"/>
          <w:color w:val="6698C2"/>
        </w:rPr>
        <w:t>remain true to our long-term strategy</w:t>
      </w:r>
      <w:r>
        <w:rPr>
          <w:rFonts w:ascii="Arial" w:cs="Arial" w:eastAsia="Arial" w:hAnsi="Arial"/>
          <w:sz w:val="28"/>
          <w:szCs w:val="28"/>
          <w:b w:val="1"/>
          <w:bCs w:val="1"/>
          <w:color w:val="000000"/>
        </w:rPr>
        <w:t>.</w:t>
      </w:r>
      <w:r>
        <w:rPr>
          <w:rFonts w:ascii="Arial" w:cs="Arial" w:eastAsia="Arial" w:hAnsi="Arial"/>
          <w:sz w:val="28"/>
          <w:szCs w:val="28"/>
          <w:b w:val="1"/>
          <w:bCs w:val="1"/>
          <w:color w:val="6698C2"/>
        </w:rPr>
        <w:t xml:space="preserve"> </w:t>
      </w:r>
      <w:r>
        <w:rPr>
          <w:rFonts w:ascii="Arial" w:cs="Arial" w:eastAsia="Arial" w:hAnsi="Arial"/>
          <w:sz w:val="28"/>
          <w:szCs w:val="28"/>
          <w:color w:val="000000"/>
        </w:rPr>
        <w:t>This is no easy task: It</w:t>
      </w:r>
      <w:r>
        <w:rPr>
          <w:rFonts w:ascii="Arial" w:cs="Arial" w:eastAsia="Arial" w:hAnsi="Arial"/>
          <w:sz w:val="28"/>
          <w:szCs w:val="28"/>
          <w:b w:val="1"/>
          <w:bCs w:val="1"/>
          <w:color w:val="6698C2"/>
        </w:rPr>
        <w:t xml:space="preserve"> </w:t>
      </w:r>
      <w:r>
        <w:rPr>
          <w:rFonts w:ascii="Arial" w:cs="Arial" w:eastAsia="Arial" w:hAnsi="Arial"/>
          <w:sz w:val="28"/>
          <w:szCs w:val="28"/>
          <w:color w:val="000000"/>
        </w:rPr>
        <w:t>requires careful planning, expertise and agility. With confidence and focus Manpower will emerge stronger and smarter than 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2547620</wp:posOffset>
            </wp:positionV>
            <wp:extent cx="7272655"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80"/>
        <w:spacing w:after="0" w:line="279" w:lineRule="auto"/>
        <w:rPr>
          <w:sz w:val="20"/>
          <w:szCs w:val="20"/>
          <w:color w:val="auto"/>
        </w:rPr>
      </w:pPr>
      <w:r>
        <w:rPr>
          <w:rFonts w:ascii="Arial" w:cs="Arial" w:eastAsia="Arial" w:hAnsi="Arial"/>
          <w:sz w:val="23"/>
          <w:szCs w:val="23"/>
          <w:b w:val="1"/>
          <w:bCs w:val="1"/>
          <w:color w:val="7EA190"/>
        </w:rPr>
        <w:t xml:space="preserve">OUR VISION </w:t>
      </w:r>
      <w:r>
        <w:rPr>
          <w:rFonts w:ascii="Arial" w:cs="Arial" w:eastAsia="Arial" w:hAnsi="Arial"/>
          <w:sz w:val="23"/>
          <w:szCs w:val="23"/>
          <w:color w:val="000000"/>
        </w:rPr>
        <w:t>is to lead in the</w:t>
      </w:r>
      <w:r>
        <w:rPr>
          <w:rFonts w:ascii="Arial" w:cs="Arial" w:eastAsia="Arial" w:hAnsi="Arial"/>
          <w:sz w:val="23"/>
          <w:szCs w:val="23"/>
          <w:b w:val="1"/>
          <w:bCs w:val="1"/>
          <w:color w:val="7EA190"/>
        </w:rPr>
        <w:t xml:space="preserve"> </w:t>
      </w:r>
      <w:r>
        <w:rPr>
          <w:rFonts w:ascii="Arial" w:cs="Arial" w:eastAsia="Arial" w:hAnsi="Arial"/>
          <w:sz w:val="23"/>
          <w:szCs w:val="23"/>
          <w:color w:val="000000"/>
        </w:rPr>
        <w:t>creation and delivery of services that enable our clients to win in the changing world of work.</w:t>
      </w:r>
    </w:p>
    <w:p>
      <w:pPr>
        <w:sectPr>
          <w:pgSz w:w="11900" w:h="16838" w:orient="portrait"/>
          <w:cols w:equalWidth="0" w:num="2">
            <w:col w:w="5300" w:space="660"/>
            <w:col w:w="3680"/>
          </w:cols>
          <w:pgMar w:left="1240" w:top="446" w:right="10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41"/>
        </w:trPr>
        <w:tc>
          <w:tcPr>
            <w:tcW w:w="4240" w:type="dxa"/>
            <w:vAlign w:val="bottom"/>
            <w:gridSpan w:val="2"/>
          </w:tcPr>
          <w:p>
            <w:pPr>
              <w:ind w:left="1340"/>
              <w:spacing w:after="0"/>
              <w:rPr>
                <w:sz w:val="20"/>
                <w:szCs w:val="20"/>
                <w:color w:val="auto"/>
              </w:rPr>
            </w:pPr>
            <w:r>
              <w:rPr>
                <w:rFonts w:ascii="Arial" w:cs="Arial" w:eastAsia="Arial" w:hAnsi="Arial"/>
                <w:sz w:val="21"/>
                <w:szCs w:val="21"/>
                <w:color w:val="FFFFFF"/>
              </w:rPr>
              <w:t>Manpower Inc. (NYSE: MAN)</w:t>
            </w:r>
          </w:p>
        </w:tc>
        <w:tc>
          <w:tcPr>
            <w:tcW w:w="920" w:type="dxa"/>
            <w:vAlign w:val="bottom"/>
          </w:tcPr>
          <w:p>
            <w:pPr>
              <w:spacing w:after="0"/>
              <w:rPr>
                <w:sz w:val="21"/>
                <w:szCs w:val="21"/>
                <w:color w:val="auto"/>
              </w:rPr>
            </w:pPr>
          </w:p>
        </w:tc>
        <w:tc>
          <w:tcPr>
            <w:tcW w:w="4520" w:type="dxa"/>
            <w:vAlign w:val="bottom"/>
          </w:tcPr>
          <w:p>
            <w:pPr>
              <w:ind w:left="3300"/>
              <w:spacing w:after="0"/>
              <w:rPr>
                <w:sz w:val="20"/>
                <w:szCs w:val="20"/>
                <w:color w:val="auto"/>
              </w:rPr>
            </w:pPr>
            <w:r>
              <w:rPr>
                <w:rFonts w:ascii="Arial" w:cs="Arial" w:eastAsia="Arial" w:hAnsi="Arial"/>
                <w:sz w:val="17"/>
                <w:szCs w:val="17"/>
                <w:color w:val="FFFFFF"/>
              </w:rPr>
              <w:t>February</w:t>
            </w:r>
          </w:p>
        </w:tc>
        <w:tc>
          <w:tcPr>
            <w:tcW w:w="280" w:type="dxa"/>
            <w:vAlign w:val="bottom"/>
          </w:tcPr>
          <w:p>
            <w:pPr>
              <w:jc w:val="right"/>
              <w:ind w:right="36"/>
              <w:spacing w:after="0"/>
              <w:rPr>
                <w:sz w:val="20"/>
                <w:szCs w:val="20"/>
                <w:color w:val="auto"/>
              </w:rPr>
            </w:pPr>
            <w:r>
              <w:rPr>
                <w:rFonts w:ascii="Arial" w:cs="Arial" w:eastAsia="Arial" w:hAnsi="Arial"/>
                <w:sz w:val="17"/>
                <w:szCs w:val="17"/>
                <w:color w:val="FFFFFF"/>
              </w:rPr>
              <w:t>4</w:t>
            </w: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520" w:type="dxa"/>
            <w:vAlign w:val="bottom"/>
          </w:tcPr>
          <w:p>
            <w:pPr>
              <w:ind w:left="3300"/>
              <w:spacing w:after="0"/>
              <w:rPr>
                <w:sz w:val="20"/>
                <w:szCs w:val="20"/>
                <w:color w:val="auto"/>
              </w:rPr>
            </w:pPr>
            <w:r>
              <w:rPr>
                <w:rFonts w:ascii="Arial" w:cs="Arial" w:eastAsia="Arial" w:hAnsi="Arial"/>
                <w:sz w:val="17"/>
                <w:szCs w:val="17"/>
                <w:color w:val="FFFFFF"/>
              </w:rPr>
              <w:t>2010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4240" w:type="dxa"/>
            <w:vAlign w:val="bottom"/>
            <w:gridSpan w:val="2"/>
          </w:tcPr>
          <w:p>
            <w:pPr>
              <w:jc w:val="center"/>
              <w:ind w:right="332"/>
              <w:spacing w:after="0"/>
              <w:rPr>
                <w:sz w:val="20"/>
                <w:szCs w:val="20"/>
                <w:color w:val="auto"/>
              </w:rPr>
            </w:pPr>
            <w:r>
              <w:rPr>
                <w:rFonts w:ascii="Arial" w:cs="Arial" w:eastAsia="Arial" w:hAnsi="Arial"/>
                <w:sz w:val="46"/>
                <w:szCs w:val="46"/>
                <w:color w:val="5F81AA"/>
                <w:w w:val="99"/>
              </w:rPr>
              <w:t>Manpower Facts</w:t>
            </w:r>
          </w:p>
        </w:tc>
        <w:tc>
          <w:tcPr>
            <w:tcW w:w="9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2280" w:type="dxa"/>
            <w:vAlign w:val="bottom"/>
          </w:tcPr>
          <w:p>
            <w:pPr>
              <w:spacing w:after="0"/>
              <w:rPr>
                <w:sz w:val="20"/>
                <w:szCs w:val="20"/>
                <w:color w:val="auto"/>
              </w:rPr>
            </w:pPr>
            <w:r>
              <w:rPr>
                <w:rFonts w:ascii="Arial" w:cs="Arial" w:eastAsia="Arial" w:hAnsi="Arial"/>
                <w:sz w:val="28"/>
                <w:szCs w:val="28"/>
                <w:i w:val="1"/>
                <w:iCs w:val="1"/>
                <w:color w:val="D47C18"/>
              </w:rPr>
              <w:t>400,000 clients</w:t>
            </w:r>
          </w:p>
        </w:tc>
        <w:tc>
          <w:tcPr>
            <w:tcW w:w="2880" w:type="dxa"/>
            <w:vAlign w:val="bottom"/>
            <w:gridSpan w:val="2"/>
          </w:tcPr>
          <w:p>
            <w:pPr>
              <w:ind w:left="520"/>
              <w:spacing w:after="0"/>
              <w:rPr>
                <w:sz w:val="20"/>
                <w:szCs w:val="20"/>
                <w:color w:val="auto"/>
              </w:rPr>
            </w:pPr>
            <w:r>
              <w:rPr>
                <w:rFonts w:ascii="Arial" w:cs="Arial" w:eastAsia="Arial" w:hAnsi="Arial"/>
                <w:sz w:val="31"/>
                <w:szCs w:val="31"/>
                <w:color w:val="C8504F"/>
                <w:w w:val="92"/>
              </w:rPr>
              <w:t>28,000 employees</w:t>
            </w:r>
          </w:p>
        </w:tc>
        <w:tc>
          <w:tcPr>
            <w:tcW w:w="4520" w:type="dxa"/>
            <w:vAlign w:val="bottom"/>
            <w:vMerge w:val="restart"/>
          </w:tcPr>
          <w:p>
            <w:pPr>
              <w:ind w:left="1300"/>
              <w:spacing w:after="0"/>
              <w:rPr>
                <w:sz w:val="20"/>
                <w:szCs w:val="20"/>
                <w:color w:val="auto"/>
              </w:rPr>
            </w:pPr>
            <w:r>
              <w:rPr>
                <w:rFonts w:ascii="Arial" w:cs="Arial" w:eastAsia="Arial" w:hAnsi="Arial"/>
                <w:sz w:val="28"/>
                <w:szCs w:val="28"/>
                <w:color w:val="7EA190"/>
              </w:rPr>
              <w:t>82 countries/territories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160" w:type="dxa"/>
            <w:vAlign w:val="bottom"/>
            <w:gridSpan w:val="3"/>
            <w:vMerge w:val="restart"/>
          </w:tcPr>
          <w:p>
            <w:pPr>
              <w:ind w:left="1040"/>
              <w:spacing w:after="0"/>
              <w:rPr>
                <w:sz w:val="20"/>
                <w:szCs w:val="20"/>
                <w:color w:val="auto"/>
              </w:rPr>
            </w:pPr>
            <w:r>
              <w:rPr>
                <w:rFonts w:ascii="Arial" w:cs="Arial" w:eastAsia="Arial" w:hAnsi="Arial"/>
                <w:sz w:val="28"/>
                <w:szCs w:val="28"/>
                <w:color w:val="6698C2"/>
              </w:rPr>
              <w:t>$16 billion in revenues in 2009</w:t>
            </w:r>
          </w:p>
        </w:tc>
        <w:tc>
          <w:tcPr>
            <w:tcW w:w="4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160" w:type="dxa"/>
            <w:vAlign w:val="bottom"/>
            <w:gridSpan w:val="3"/>
            <w:vMerge w:val="continue"/>
          </w:tcPr>
          <w:p>
            <w:pPr>
              <w:spacing w:after="0"/>
              <w:rPr>
                <w:sz w:val="17"/>
                <w:szCs w:val="17"/>
                <w:color w:val="auto"/>
              </w:rPr>
            </w:pPr>
          </w:p>
        </w:tc>
        <w:tc>
          <w:tcPr>
            <w:tcW w:w="4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8"/>
        </w:trPr>
        <w:tc>
          <w:tcPr>
            <w:tcW w:w="4240" w:type="dxa"/>
            <w:vAlign w:val="bottom"/>
            <w:gridSpan w:val="2"/>
          </w:tcPr>
          <w:p>
            <w:pPr>
              <w:jc w:val="center"/>
              <w:ind w:right="312"/>
              <w:spacing w:after="0"/>
              <w:rPr>
                <w:sz w:val="20"/>
                <w:szCs w:val="20"/>
                <w:color w:val="auto"/>
              </w:rPr>
            </w:pPr>
            <w:r>
              <w:rPr>
                <w:rFonts w:ascii="Arial" w:cs="Arial" w:eastAsia="Arial" w:hAnsi="Arial"/>
                <w:sz w:val="37"/>
                <w:szCs w:val="37"/>
                <w:color w:val="C8504F"/>
                <w:w w:val="99"/>
              </w:rPr>
              <w:t>3 million placements</w:t>
            </w:r>
          </w:p>
        </w:tc>
        <w:tc>
          <w:tcPr>
            <w:tcW w:w="5720" w:type="dxa"/>
            <w:vAlign w:val="bottom"/>
            <w:gridSpan w:val="3"/>
          </w:tcPr>
          <w:p>
            <w:pPr>
              <w:jc w:val="right"/>
              <w:spacing w:after="0"/>
              <w:rPr>
                <w:sz w:val="20"/>
                <w:szCs w:val="20"/>
                <w:color w:val="auto"/>
              </w:rPr>
            </w:pPr>
            <w:r>
              <w:rPr>
                <w:rFonts w:ascii="Arial" w:cs="Arial" w:eastAsia="Arial" w:hAnsi="Arial"/>
                <w:sz w:val="91"/>
                <w:szCs w:val="91"/>
                <w:i w:val="1"/>
                <w:iCs w:val="1"/>
                <w:color w:val="D47C18"/>
                <w:w w:val="90"/>
                <w:vertAlign w:val="subscript"/>
              </w:rPr>
              <w:t>4,000 offices</w:t>
            </w:r>
            <w:r>
              <w:rPr>
                <w:rFonts w:ascii="Arial" w:cs="Arial" w:eastAsia="Arial" w:hAnsi="Arial"/>
                <w:sz w:val="37"/>
                <w:szCs w:val="37"/>
                <w:color w:val="5F81AA"/>
                <w:w w:val="90"/>
              </w:rPr>
              <w:t xml:space="preserve">  9 million trained</w:t>
            </w:r>
          </w:p>
        </w:tc>
        <w:tc>
          <w:tcPr>
            <w:tcW w:w="0" w:type="dxa"/>
            <w:vAlign w:val="bottom"/>
          </w:tcPr>
          <w:p>
            <w:pPr>
              <w:spacing w:after="0"/>
              <w:rPr>
                <w:sz w:val="1"/>
                <w:szCs w:val="1"/>
                <w:color w:val="auto"/>
              </w:rPr>
            </w:pPr>
          </w:p>
        </w:tc>
      </w:tr>
      <w:tr>
        <w:trPr>
          <w:trHeight w:val="314"/>
        </w:trPr>
        <w:tc>
          <w:tcPr>
            <w:tcW w:w="4240" w:type="dxa"/>
            <w:vAlign w:val="bottom"/>
            <w:gridSpan w:val="2"/>
          </w:tcPr>
          <w:p>
            <w:pPr>
              <w:ind w:left="420"/>
              <w:spacing w:after="0"/>
              <w:rPr>
                <w:sz w:val="20"/>
                <w:szCs w:val="20"/>
                <w:color w:val="auto"/>
              </w:rPr>
            </w:pPr>
            <w:r>
              <w:rPr>
                <w:rFonts w:ascii="Arial" w:cs="Arial" w:eastAsia="Arial" w:hAnsi="Arial"/>
                <w:sz w:val="20"/>
                <w:szCs w:val="20"/>
                <w:b w:val="1"/>
                <w:bCs w:val="1"/>
                <w:color w:val="auto"/>
              </w:rPr>
              <w:t xml:space="preserve">2009 Segment Revenues </w:t>
            </w:r>
            <w:r>
              <w:rPr>
                <w:rFonts w:ascii="Arial" w:cs="Arial" w:eastAsia="Arial" w:hAnsi="Arial"/>
                <w:sz w:val="20"/>
                <w:szCs w:val="20"/>
                <w:i w:val="1"/>
                <w:iCs w:val="1"/>
                <w:color w:val="auto"/>
              </w:rPr>
              <w:t>in millions ($)</w:t>
            </w:r>
          </w:p>
        </w:tc>
        <w:tc>
          <w:tcPr>
            <w:tcW w:w="920" w:type="dxa"/>
            <w:vAlign w:val="bottom"/>
          </w:tcPr>
          <w:p>
            <w:pPr>
              <w:spacing w:after="0"/>
              <w:rPr>
                <w:sz w:val="24"/>
                <w:szCs w:val="24"/>
                <w:color w:val="auto"/>
              </w:rPr>
            </w:pPr>
          </w:p>
        </w:tc>
        <w:tc>
          <w:tcPr>
            <w:tcW w:w="4800" w:type="dxa"/>
            <w:vAlign w:val="bottom"/>
            <w:gridSpan w:val="2"/>
          </w:tcPr>
          <w:p>
            <w:pPr>
              <w:ind w:left="140"/>
              <w:spacing w:after="0"/>
              <w:rPr>
                <w:sz w:val="20"/>
                <w:szCs w:val="20"/>
                <w:color w:val="auto"/>
              </w:rPr>
            </w:pPr>
            <w:r>
              <w:rPr>
                <w:rFonts w:ascii="Arial" w:cs="Arial" w:eastAsia="Arial" w:hAnsi="Arial"/>
                <w:sz w:val="20"/>
                <w:szCs w:val="20"/>
                <w:b w:val="1"/>
                <w:bCs w:val="1"/>
                <w:color w:val="auto"/>
                <w:w w:val="99"/>
              </w:rPr>
              <w:t xml:space="preserve">2009 Segment Operating Unit Profit* </w:t>
            </w:r>
            <w:r>
              <w:rPr>
                <w:rFonts w:ascii="Arial" w:cs="Arial" w:eastAsia="Arial" w:hAnsi="Arial"/>
                <w:sz w:val="20"/>
                <w:szCs w:val="20"/>
                <w:i w:val="1"/>
                <w:iCs w:val="1"/>
                <w:color w:val="auto"/>
                <w:w w:val="99"/>
              </w:rPr>
              <w:t>in millions ($)</w:t>
            </w:r>
          </w:p>
        </w:tc>
        <w:tc>
          <w:tcPr>
            <w:tcW w:w="0" w:type="dxa"/>
            <w:vAlign w:val="bottom"/>
          </w:tcPr>
          <w:p>
            <w:pPr>
              <w:spacing w:after="0"/>
              <w:rPr>
                <w:sz w:val="1"/>
                <w:szCs w:val="1"/>
                <w:color w:val="auto"/>
              </w:rPr>
            </w:pPr>
          </w:p>
        </w:tc>
      </w:tr>
      <w:tr>
        <w:trPr>
          <w:trHeight w:val="1009"/>
        </w:trPr>
        <w:tc>
          <w:tcPr>
            <w:tcW w:w="2280" w:type="dxa"/>
            <w:vAlign w:val="bottom"/>
          </w:tcPr>
          <w:p>
            <w:pPr>
              <w:spacing w:after="0"/>
              <w:rPr>
                <w:sz w:val="24"/>
                <w:szCs w:val="24"/>
                <w:color w:val="auto"/>
              </w:rPr>
            </w:pPr>
          </w:p>
        </w:tc>
        <w:tc>
          <w:tcPr>
            <w:tcW w:w="2880" w:type="dxa"/>
            <w:vAlign w:val="bottom"/>
            <w:gridSpan w:val="2"/>
          </w:tcPr>
          <w:p>
            <w:pPr>
              <w:ind w:left="420"/>
              <w:spacing w:after="0"/>
              <w:rPr>
                <w:sz w:val="20"/>
                <w:szCs w:val="20"/>
                <w:color w:val="auto"/>
              </w:rPr>
            </w:pPr>
            <w:r>
              <w:rPr>
                <w:rFonts w:ascii="Arial" w:cs="Arial" w:eastAsia="Arial" w:hAnsi="Arial"/>
                <w:sz w:val="15"/>
                <w:szCs w:val="15"/>
                <w:color w:val="auto"/>
              </w:rPr>
              <w:t xml:space="preserve">Americas 2,561.0 </w:t>
            </w:r>
            <w:r>
              <w:rPr>
                <w:rFonts w:ascii="Arial" w:cs="Arial" w:eastAsia="Arial" w:hAnsi="Arial"/>
                <w:sz w:val="15"/>
                <w:szCs w:val="15"/>
                <w:i w:val="1"/>
                <w:iCs w:val="1"/>
                <w:color w:val="auto"/>
              </w:rPr>
              <w:t>(16%)</w:t>
            </w:r>
          </w:p>
        </w:tc>
        <w:tc>
          <w:tcPr>
            <w:tcW w:w="4520" w:type="dxa"/>
            <w:vAlign w:val="bottom"/>
          </w:tcPr>
          <w:p>
            <w:pPr>
              <w:ind w:left="2960"/>
              <w:spacing w:after="0"/>
              <w:rPr>
                <w:sz w:val="20"/>
                <w:szCs w:val="20"/>
                <w:color w:val="auto"/>
              </w:rPr>
            </w:pPr>
            <w:r>
              <w:rPr>
                <w:rFonts w:ascii="Arial" w:cs="Arial" w:eastAsia="Arial" w:hAnsi="Arial"/>
                <w:sz w:val="15"/>
                <w:szCs w:val="15"/>
                <w:color w:val="auto"/>
              </w:rPr>
              <w:t>Americas (4.0)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3"/>
                <w:szCs w:val="23"/>
                <w:color w:val="auto"/>
              </w:rPr>
            </w:pPr>
          </w:p>
        </w:tc>
        <w:tc>
          <w:tcPr>
            <w:tcW w:w="1960" w:type="dxa"/>
            <w:vAlign w:val="bottom"/>
          </w:tcPr>
          <w:p>
            <w:pPr>
              <w:ind w:left="420"/>
              <w:spacing w:after="0"/>
              <w:rPr>
                <w:sz w:val="20"/>
                <w:szCs w:val="20"/>
                <w:color w:val="auto"/>
              </w:rPr>
            </w:pPr>
            <w:r>
              <w:rPr>
                <w:rFonts w:ascii="Arial" w:cs="Arial" w:eastAsia="Arial" w:hAnsi="Arial"/>
                <w:sz w:val="15"/>
                <w:szCs w:val="15"/>
                <w:color w:val="auto"/>
              </w:rPr>
              <w:t xml:space="preserve">France 4,675.5 </w:t>
            </w:r>
            <w:r>
              <w:rPr>
                <w:rFonts w:ascii="Arial" w:cs="Arial" w:eastAsia="Arial" w:hAnsi="Arial"/>
                <w:sz w:val="15"/>
                <w:szCs w:val="15"/>
                <w:i w:val="1"/>
                <w:iCs w:val="1"/>
                <w:color w:val="auto"/>
              </w:rPr>
              <w:t>(29%)</w:t>
            </w:r>
          </w:p>
        </w:tc>
        <w:tc>
          <w:tcPr>
            <w:tcW w:w="920" w:type="dxa"/>
            <w:vAlign w:val="bottom"/>
          </w:tcPr>
          <w:p>
            <w:pPr>
              <w:spacing w:after="0"/>
              <w:rPr>
                <w:sz w:val="23"/>
                <w:szCs w:val="23"/>
                <w:color w:val="auto"/>
              </w:rPr>
            </w:pPr>
          </w:p>
        </w:tc>
        <w:tc>
          <w:tcPr>
            <w:tcW w:w="4520" w:type="dxa"/>
            <w:vAlign w:val="bottom"/>
          </w:tcPr>
          <w:p>
            <w:pPr>
              <w:ind w:left="2960"/>
              <w:spacing w:after="0"/>
              <w:rPr>
                <w:sz w:val="20"/>
                <w:szCs w:val="20"/>
                <w:color w:val="auto"/>
              </w:rPr>
            </w:pPr>
            <w:r>
              <w:rPr>
                <w:rFonts w:ascii="Arial" w:cs="Arial" w:eastAsia="Arial" w:hAnsi="Arial"/>
                <w:sz w:val="15"/>
                <w:szCs w:val="15"/>
                <w:color w:val="auto"/>
              </w:rPr>
              <w:t>France 26.4</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3"/>
                <w:szCs w:val="23"/>
                <w:color w:val="auto"/>
              </w:rPr>
            </w:pPr>
          </w:p>
        </w:tc>
        <w:tc>
          <w:tcPr>
            <w:tcW w:w="1960" w:type="dxa"/>
            <w:vAlign w:val="bottom"/>
          </w:tcPr>
          <w:p>
            <w:pPr>
              <w:ind w:left="420"/>
              <w:spacing w:after="0"/>
              <w:rPr>
                <w:sz w:val="20"/>
                <w:szCs w:val="20"/>
                <w:color w:val="auto"/>
              </w:rPr>
            </w:pPr>
            <w:r>
              <w:rPr>
                <w:rFonts w:ascii="Arial" w:cs="Arial" w:eastAsia="Arial" w:hAnsi="Arial"/>
                <w:sz w:val="15"/>
                <w:szCs w:val="15"/>
                <w:color w:val="auto"/>
              </w:rPr>
              <w:t xml:space="preserve">EMEA 6,322.5 </w:t>
            </w:r>
            <w:r>
              <w:rPr>
                <w:rFonts w:ascii="Arial" w:cs="Arial" w:eastAsia="Arial" w:hAnsi="Arial"/>
                <w:sz w:val="15"/>
                <w:szCs w:val="15"/>
                <w:i w:val="1"/>
                <w:iCs w:val="1"/>
                <w:color w:val="auto"/>
              </w:rPr>
              <w:t>(39%)</w:t>
            </w:r>
          </w:p>
        </w:tc>
        <w:tc>
          <w:tcPr>
            <w:tcW w:w="920" w:type="dxa"/>
            <w:vAlign w:val="bottom"/>
          </w:tcPr>
          <w:p>
            <w:pPr>
              <w:spacing w:after="0"/>
              <w:rPr>
                <w:sz w:val="23"/>
                <w:szCs w:val="23"/>
                <w:color w:val="auto"/>
              </w:rPr>
            </w:pPr>
          </w:p>
        </w:tc>
        <w:tc>
          <w:tcPr>
            <w:tcW w:w="4520" w:type="dxa"/>
            <w:vAlign w:val="bottom"/>
          </w:tcPr>
          <w:p>
            <w:pPr>
              <w:ind w:left="2960"/>
              <w:spacing w:after="0"/>
              <w:rPr>
                <w:sz w:val="20"/>
                <w:szCs w:val="20"/>
                <w:color w:val="auto"/>
              </w:rPr>
            </w:pPr>
            <w:r>
              <w:rPr>
                <w:rFonts w:ascii="Arial" w:cs="Arial" w:eastAsia="Arial" w:hAnsi="Arial"/>
                <w:sz w:val="15"/>
                <w:szCs w:val="15"/>
                <w:color w:val="auto"/>
              </w:rPr>
              <w:t>EMEA 73.0</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3"/>
                <w:szCs w:val="23"/>
                <w:color w:val="auto"/>
              </w:rPr>
            </w:pPr>
          </w:p>
        </w:tc>
        <w:tc>
          <w:tcPr>
            <w:tcW w:w="2880" w:type="dxa"/>
            <w:vAlign w:val="bottom"/>
            <w:gridSpan w:val="2"/>
          </w:tcPr>
          <w:p>
            <w:pPr>
              <w:ind w:left="420"/>
              <w:spacing w:after="0"/>
              <w:rPr>
                <w:sz w:val="20"/>
                <w:szCs w:val="20"/>
                <w:color w:val="auto"/>
              </w:rPr>
            </w:pPr>
            <w:r>
              <w:rPr>
                <w:rFonts w:ascii="Arial" w:cs="Arial" w:eastAsia="Arial" w:hAnsi="Arial"/>
                <w:sz w:val="15"/>
                <w:szCs w:val="15"/>
                <w:color w:val="auto"/>
              </w:rPr>
              <w:t xml:space="preserve">Asia Pacific 1,728.0 </w:t>
            </w:r>
            <w:r>
              <w:rPr>
                <w:rFonts w:ascii="Arial" w:cs="Arial" w:eastAsia="Arial" w:hAnsi="Arial"/>
                <w:sz w:val="15"/>
                <w:szCs w:val="15"/>
                <w:i w:val="1"/>
                <w:iCs w:val="1"/>
                <w:color w:val="auto"/>
              </w:rPr>
              <w:t>(11%)</w:t>
            </w:r>
          </w:p>
        </w:tc>
        <w:tc>
          <w:tcPr>
            <w:tcW w:w="4520" w:type="dxa"/>
            <w:vAlign w:val="bottom"/>
          </w:tcPr>
          <w:p>
            <w:pPr>
              <w:ind w:left="2960"/>
              <w:spacing w:after="0"/>
              <w:rPr>
                <w:sz w:val="20"/>
                <w:szCs w:val="20"/>
                <w:color w:val="auto"/>
              </w:rPr>
            </w:pPr>
            <w:r>
              <w:rPr>
                <w:rFonts w:ascii="Arial" w:cs="Arial" w:eastAsia="Arial" w:hAnsi="Arial"/>
                <w:sz w:val="15"/>
                <w:szCs w:val="15"/>
                <w:color w:val="auto"/>
              </w:rPr>
              <w:t>Asia Pacific 29.1</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3"/>
                <w:szCs w:val="23"/>
                <w:color w:val="auto"/>
              </w:rPr>
            </w:pPr>
          </w:p>
        </w:tc>
        <w:tc>
          <w:tcPr>
            <w:tcW w:w="2880" w:type="dxa"/>
            <w:vAlign w:val="bottom"/>
            <w:gridSpan w:val="2"/>
          </w:tcPr>
          <w:p>
            <w:pPr>
              <w:ind w:left="420"/>
              <w:spacing w:after="0"/>
              <w:rPr>
                <w:sz w:val="20"/>
                <w:szCs w:val="20"/>
                <w:color w:val="auto"/>
              </w:rPr>
            </w:pPr>
            <w:r>
              <w:rPr>
                <w:rFonts w:ascii="Arial" w:cs="Arial" w:eastAsia="Arial" w:hAnsi="Arial"/>
                <w:sz w:val="15"/>
                <w:szCs w:val="15"/>
                <w:color w:val="auto"/>
              </w:rPr>
              <w:t xml:space="preserve">Right Management 559.4 </w:t>
            </w:r>
            <w:r>
              <w:rPr>
                <w:rFonts w:ascii="Arial" w:cs="Arial" w:eastAsia="Arial" w:hAnsi="Arial"/>
                <w:sz w:val="15"/>
                <w:szCs w:val="15"/>
                <w:i w:val="1"/>
                <w:iCs w:val="1"/>
                <w:color w:val="auto"/>
              </w:rPr>
              <w:t>(4%)</w:t>
            </w:r>
          </w:p>
        </w:tc>
        <w:tc>
          <w:tcPr>
            <w:tcW w:w="4800" w:type="dxa"/>
            <w:vAlign w:val="bottom"/>
            <w:gridSpan w:val="2"/>
          </w:tcPr>
          <w:p>
            <w:pPr>
              <w:ind w:left="2960"/>
              <w:spacing w:after="0"/>
              <w:rPr>
                <w:sz w:val="20"/>
                <w:szCs w:val="20"/>
                <w:color w:val="auto"/>
              </w:rPr>
            </w:pPr>
            <w:r>
              <w:rPr>
                <w:rFonts w:ascii="Arial" w:cs="Arial" w:eastAsia="Arial" w:hAnsi="Arial"/>
                <w:sz w:val="15"/>
                <w:szCs w:val="15"/>
                <w:color w:val="auto"/>
              </w:rPr>
              <w:t>Right Management 113.4</w:t>
            </w: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3"/>
                <w:szCs w:val="23"/>
                <w:color w:val="auto"/>
              </w:rPr>
            </w:pPr>
          </w:p>
        </w:tc>
        <w:tc>
          <w:tcPr>
            <w:tcW w:w="2880" w:type="dxa"/>
            <w:vAlign w:val="bottom"/>
            <w:gridSpan w:val="2"/>
          </w:tcPr>
          <w:p>
            <w:pPr>
              <w:ind w:left="420"/>
              <w:spacing w:after="0"/>
              <w:rPr>
                <w:sz w:val="20"/>
                <w:szCs w:val="20"/>
                <w:color w:val="auto"/>
              </w:rPr>
            </w:pPr>
            <w:r>
              <w:rPr>
                <w:rFonts w:ascii="Arial" w:cs="Arial" w:eastAsia="Arial" w:hAnsi="Arial"/>
                <w:sz w:val="15"/>
                <w:szCs w:val="15"/>
                <w:color w:val="auto"/>
              </w:rPr>
              <w:t xml:space="preserve">Jefferson Wells 192.3 </w:t>
            </w:r>
            <w:r>
              <w:rPr>
                <w:rFonts w:ascii="Arial" w:cs="Arial" w:eastAsia="Arial" w:hAnsi="Arial"/>
                <w:sz w:val="15"/>
                <w:szCs w:val="15"/>
                <w:i w:val="1"/>
                <w:iCs w:val="1"/>
                <w:color w:val="auto"/>
              </w:rPr>
              <w:t>(1%)</w:t>
            </w:r>
          </w:p>
        </w:tc>
        <w:tc>
          <w:tcPr>
            <w:tcW w:w="4520" w:type="dxa"/>
            <w:vAlign w:val="bottom"/>
          </w:tcPr>
          <w:p>
            <w:pPr>
              <w:ind w:left="2960"/>
              <w:spacing w:after="0"/>
              <w:rPr>
                <w:sz w:val="20"/>
                <w:szCs w:val="20"/>
                <w:color w:val="auto"/>
              </w:rPr>
            </w:pPr>
            <w:r>
              <w:rPr>
                <w:rFonts w:ascii="Arial" w:cs="Arial" w:eastAsia="Arial" w:hAnsi="Arial"/>
                <w:sz w:val="15"/>
                <w:szCs w:val="15"/>
                <w:color w:val="auto"/>
              </w:rPr>
              <w:t>Jefferson Wells (15.4)</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500" w:right="2080"/>
        <w:spacing w:after="0" w:line="256" w:lineRule="auto"/>
        <w:rPr>
          <w:sz w:val="20"/>
          <w:szCs w:val="20"/>
          <w:color w:val="auto"/>
        </w:rPr>
      </w:pPr>
      <w:r>
        <w:rPr>
          <w:rFonts w:ascii="Arial" w:cs="Arial" w:eastAsia="Arial" w:hAnsi="Arial"/>
          <w:sz w:val="15"/>
          <w:szCs w:val="15"/>
          <w:color w:val="auto"/>
        </w:rPr>
        <w:t>*Excludes non-recurring items as detailed in our earnings release and further explained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267335</wp:posOffset>
            </wp:positionV>
            <wp:extent cx="7272655"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9960"/>
          </w:cols>
          <w:pgMar w:left="1020" w:top="446" w:right="919" w:bottom="1440" w:gutter="0" w:footer="0" w:header="0"/>
        </w:sectPr>
      </w:pPr>
    </w:p>
    <w:bookmarkStart w:id="4" w:name="page5"/>
    <w:bookmarkEnd w:id="4"/>
    <w:tbl>
      <w:tblPr>
        <w:tblLayout w:type="fixed"/>
        <w:tblInd w:w="118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4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400" w:type="dxa"/>
            <w:vAlign w:val="bottom"/>
          </w:tcPr>
          <w:p>
            <w:pPr>
              <w:jc w:val="right"/>
              <w:spacing w:after="0"/>
              <w:rPr>
                <w:sz w:val="20"/>
                <w:szCs w:val="20"/>
                <w:color w:val="auto"/>
              </w:rPr>
            </w:pPr>
            <w:r>
              <w:rPr>
                <w:rFonts w:ascii="Arial" w:cs="Arial" w:eastAsia="Arial" w:hAnsi="Arial"/>
                <w:sz w:val="17"/>
                <w:szCs w:val="17"/>
                <w:color w:val="FFFFFF"/>
              </w:rPr>
              <w:t>5</w:t>
            </w:r>
          </w:p>
        </w:tc>
      </w:tr>
      <w:tr>
        <w:trPr>
          <w:trHeight w:val="202"/>
        </w:trPr>
        <w:tc>
          <w:tcPr>
            <w:tcW w:w="4960" w:type="dxa"/>
            <w:vAlign w:val="bottom"/>
          </w:tcPr>
          <w:p>
            <w:pPr>
              <w:spacing w:after="0"/>
              <w:rPr>
                <w:sz w:val="17"/>
                <w:szCs w:val="17"/>
                <w:color w:val="auto"/>
              </w:rPr>
            </w:pPr>
          </w:p>
        </w:tc>
        <w:tc>
          <w:tcPr>
            <w:tcW w:w="3140" w:type="dxa"/>
            <w:vAlign w:val="bottom"/>
          </w:tcPr>
          <w:p>
            <w:pPr>
              <w:ind w:left="2160"/>
              <w:spacing w:after="0"/>
              <w:rPr>
                <w:sz w:val="20"/>
                <w:szCs w:val="20"/>
                <w:color w:val="auto"/>
              </w:rPr>
            </w:pPr>
            <w:r>
              <w:rPr>
                <w:rFonts w:ascii="Arial" w:cs="Arial" w:eastAsia="Arial" w:hAnsi="Arial"/>
                <w:sz w:val="17"/>
                <w:szCs w:val="17"/>
                <w:color w:val="FFFFFF"/>
              </w:rPr>
              <w:t>2010</w:t>
            </w:r>
          </w:p>
        </w:tc>
        <w:tc>
          <w:tcPr>
            <w:tcW w:w="400" w:type="dxa"/>
            <w:vAlign w:val="bottom"/>
          </w:tcPr>
          <w:p>
            <w:pPr>
              <w:spacing w:after="0"/>
              <w:rPr>
                <w:sz w:val="17"/>
                <w:szCs w:val="17"/>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ind w:left="60"/>
        <w:spacing w:after="0"/>
        <w:rPr>
          <w:sz w:val="20"/>
          <w:szCs w:val="20"/>
          <w:color w:val="auto"/>
        </w:rPr>
      </w:pPr>
      <w:r>
        <w:rPr>
          <w:rFonts w:ascii="Arial" w:cs="Arial" w:eastAsia="Arial" w:hAnsi="Arial"/>
          <w:sz w:val="46"/>
          <w:szCs w:val="46"/>
          <w:color w:val="5F81AA"/>
        </w:rPr>
        <w:t>The Manpower Group of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46"/>
          <w:szCs w:val="46"/>
          <w:color w:val="5F81AA"/>
        </w:rPr>
        <w:t>We Offer Solutions for Employers of all Sizes</w:t>
      </w:r>
    </w:p>
    <w:p>
      <w:pPr>
        <w:spacing w:after="0" w:line="398" w:lineRule="exact"/>
        <w:rPr>
          <w:sz w:val="20"/>
          <w:szCs w:val="20"/>
          <w:color w:val="auto"/>
        </w:rPr>
      </w:pPr>
    </w:p>
    <w:p>
      <w:pPr>
        <w:ind w:left="540"/>
        <w:spacing w:after="0"/>
        <w:rPr>
          <w:sz w:val="20"/>
          <w:szCs w:val="20"/>
          <w:color w:val="auto"/>
        </w:rPr>
      </w:pPr>
      <w:r>
        <w:rPr>
          <w:rFonts w:ascii="Arial" w:cs="Arial" w:eastAsia="Arial" w:hAnsi="Arial"/>
          <w:sz w:val="28"/>
          <w:szCs w:val="28"/>
          <w:color w:val="7EA190"/>
        </w:rPr>
        <w:t>End-to-End Services for the</w:t>
      </w:r>
    </w:p>
    <w:p>
      <w:pPr>
        <w:ind w:left="540"/>
        <w:spacing w:after="0"/>
        <w:rPr>
          <w:sz w:val="20"/>
          <w:szCs w:val="20"/>
          <w:color w:val="auto"/>
        </w:rPr>
      </w:pPr>
      <w:r>
        <w:rPr>
          <w:rFonts w:ascii="Arial" w:cs="Arial" w:eastAsia="Arial" w:hAnsi="Arial"/>
          <w:sz w:val="28"/>
          <w:szCs w:val="28"/>
          <w:color w:val="7EA190"/>
        </w:rPr>
        <w:t>Employment Lifecycle</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Our comprehensive range of services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allows us to help employers raise their</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productivity through improved quality,</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efficiency and cost-reduction strategies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at every stage of their business evolution.</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And because we focus on their talent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needs, they can concentrate on their</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core business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1023620</wp:posOffset>
            </wp:positionV>
            <wp:extent cx="7272655"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9680"/>
          </w:cols>
          <w:pgMar w:left="1180" w:top="446" w:right="1039" w:bottom="1440" w:gutter="0" w:footer="0" w:header="0"/>
        </w:sectPr>
      </w:pPr>
    </w:p>
    <w:bookmarkStart w:id="5" w:name="page6"/>
    <w:bookmarkEnd w:id="5"/>
    <w:p>
      <w:pPr>
        <w:ind w:left="1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t>Manpower Inc. (NYSE: MAN)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45"/>
          <w:szCs w:val="45"/>
          <w:color w:val="5F81AA"/>
        </w:rPr>
        <w:t>A Recognized Leader</w:t>
      </w:r>
    </w:p>
    <w:p>
      <w:pPr>
        <w:spacing w:after="0" w:line="67" w:lineRule="exact"/>
        <w:rPr>
          <w:sz w:val="20"/>
          <w:szCs w:val="20"/>
          <w:color w:val="auto"/>
        </w:rPr>
      </w:pPr>
    </w:p>
    <w:p>
      <w:pPr>
        <w:spacing w:after="0"/>
        <w:rPr>
          <w:sz w:val="20"/>
          <w:szCs w:val="20"/>
          <w:color w:val="auto"/>
        </w:rPr>
      </w:pPr>
      <w:r>
        <w:rPr>
          <w:rFonts w:ascii="Arial" w:cs="Arial" w:eastAsia="Arial" w:hAnsi="Arial"/>
          <w:sz w:val="34"/>
          <w:szCs w:val="34"/>
          <w:color w:val="7EA190"/>
        </w:rPr>
        <w:t>Recent accolades</w:t>
      </w:r>
    </w:p>
    <w:p>
      <w:pPr>
        <w:spacing w:after="0" w:line="304" w:lineRule="exact"/>
        <w:rPr>
          <w:sz w:val="20"/>
          <w:szCs w:val="20"/>
          <w:color w:val="auto"/>
        </w:rPr>
      </w:pPr>
    </w:p>
    <w:p>
      <w:pPr>
        <w:ind w:left="1080"/>
        <w:spacing w:after="0"/>
        <w:rPr>
          <w:sz w:val="20"/>
          <w:szCs w:val="20"/>
          <w:color w:val="auto"/>
        </w:rPr>
      </w:pPr>
      <w:r>
        <w:rPr>
          <w:rFonts w:ascii="Arial" w:cs="Arial" w:eastAsia="Arial" w:hAnsi="Arial"/>
          <w:sz w:val="15"/>
          <w:szCs w:val="15"/>
          <w:color w:val="FFFFFF"/>
        </w:rPr>
        <w:t>America’s Most Shareholder-Friendly</w:t>
      </w:r>
    </w:p>
    <w:p>
      <w:pPr>
        <w:spacing w:after="0" w:line="140" w:lineRule="exact"/>
        <w:rPr>
          <w:sz w:val="20"/>
          <w:szCs w:val="20"/>
          <w:color w:val="auto"/>
        </w:rPr>
      </w:pPr>
    </w:p>
    <w:p>
      <w:pPr>
        <w:ind w:left="220" w:right="700"/>
        <w:spacing w:after="0" w:line="221" w:lineRule="auto"/>
        <w:rPr>
          <w:sz w:val="20"/>
          <w:szCs w:val="20"/>
          <w:color w:val="auto"/>
        </w:rPr>
      </w:pPr>
      <w:r>
        <w:rPr>
          <w:rFonts w:ascii="Arial" w:cs="Arial" w:eastAsia="Arial" w:hAnsi="Arial"/>
          <w:sz w:val="13"/>
          <w:szCs w:val="13"/>
          <w:color w:val="auto"/>
        </w:rPr>
        <w:t>In 2009, Institutional Investor magazine named Manpower the Most Shareholder-Friendly Company in the Business</w:t>
      </w:r>
    </w:p>
    <w:p>
      <w:pPr>
        <w:jc w:val="both"/>
        <w:ind w:left="220" w:right="780" w:firstLine="1"/>
        <w:spacing w:after="0" w:line="235" w:lineRule="auto"/>
        <w:tabs>
          <w:tab w:leader="none" w:pos="35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Professional Services category for the fourth year in a row, based on interviews with directors of research, chief investment officers, portfolio managers and analysts.</w:t>
      </w:r>
    </w:p>
    <w:p>
      <w:pPr>
        <w:spacing w:after="0" w:line="20" w:lineRule="exact"/>
        <w:rPr>
          <w:sz w:val="20"/>
          <w:szCs w:val="20"/>
          <w:color w:val="auto"/>
        </w:rPr>
      </w:pPr>
      <w:r>
        <w:rPr>
          <w:sz w:val="20"/>
          <w:szCs w:val="20"/>
          <w:color w:val="auto"/>
        </w:rPr>
        <w:br w:type="column"/>
      </w:r>
    </w:p>
    <w:p>
      <w:pPr>
        <w:ind w:left="3060"/>
        <w:spacing w:after="0"/>
        <w:tabs>
          <w:tab w:leader="none" w:pos="4320" w:val="left"/>
        </w:tabs>
        <w:rPr>
          <w:sz w:val="20"/>
          <w:szCs w:val="20"/>
          <w:color w:val="auto"/>
        </w:rPr>
      </w:pPr>
      <w:r>
        <w:rPr>
          <w:rFonts w:ascii="Arial" w:cs="Arial" w:eastAsia="Arial" w:hAnsi="Arial"/>
          <w:sz w:val="17"/>
          <w:szCs w:val="17"/>
          <w:color w:val="FFFFFF"/>
        </w:rPr>
        <w:t>February</w:t>
      </w:r>
      <w:r>
        <w:rPr>
          <w:sz w:val="20"/>
          <w:szCs w:val="20"/>
          <w:color w:val="auto"/>
        </w:rPr>
        <w:tab/>
      </w:r>
      <w:r>
        <w:rPr>
          <w:rFonts w:ascii="Arial" w:cs="Arial" w:eastAsia="Arial" w:hAnsi="Arial"/>
          <w:sz w:val="17"/>
          <w:szCs w:val="17"/>
          <w:color w:val="FFFFFF"/>
        </w:rPr>
        <w:t>6</w:t>
      </w:r>
    </w:p>
    <w:p>
      <w:pPr>
        <w:ind w:left="3060"/>
        <w:spacing w:after="0"/>
        <w:rPr>
          <w:sz w:val="20"/>
          <w:szCs w:val="20"/>
          <w:color w:val="auto"/>
        </w:rPr>
      </w:pPr>
      <w:r>
        <w:rPr>
          <w:rFonts w:ascii="Arial" w:cs="Arial" w:eastAsia="Arial" w:hAnsi="Arial"/>
          <w:sz w:val="17"/>
          <w:szCs w:val="17"/>
          <w:color w:val="FFFFFF"/>
        </w:rPr>
        <w:t>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40"/>
        <w:spacing w:after="0"/>
        <w:rPr>
          <w:sz w:val="20"/>
          <w:szCs w:val="20"/>
          <w:color w:val="auto"/>
        </w:rPr>
      </w:pPr>
      <w:r>
        <w:rPr>
          <w:rFonts w:ascii="Arial" w:cs="Arial" w:eastAsia="Arial" w:hAnsi="Arial"/>
          <w:sz w:val="15"/>
          <w:szCs w:val="15"/>
          <w:color w:val="FFFFFF"/>
        </w:rPr>
        <w:t>Fortune Global 500</w:t>
      </w:r>
    </w:p>
    <w:p>
      <w:pPr>
        <w:spacing w:after="0" w:line="370" w:lineRule="exact"/>
        <w:rPr>
          <w:sz w:val="20"/>
          <w:szCs w:val="20"/>
          <w:color w:val="auto"/>
        </w:rPr>
      </w:pPr>
    </w:p>
    <w:p>
      <w:pPr>
        <w:ind w:right="1200"/>
        <w:spacing w:after="0" w:line="245" w:lineRule="auto"/>
        <w:rPr>
          <w:sz w:val="20"/>
          <w:szCs w:val="20"/>
          <w:color w:val="auto"/>
        </w:rPr>
      </w:pPr>
      <w:r>
        <w:rPr>
          <w:rFonts w:ascii="Arial" w:cs="Arial" w:eastAsia="Arial" w:hAnsi="Arial"/>
          <w:sz w:val="13"/>
          <w:szCs w:val="13"/>
          <w:color w:val="auto"/>
        </w:rPr>
        <w:t>Manpower ranked 432nd on the 2009 Fortune Global 500 list of the largest companies in the world.</w:t>
      </w:r>
    </w:p>
    <w:p>
      <w:pPr>
        <w:spacing w:after="0" w:line="391" w:lineRule="exact"/>
        <w:rPr>
          <w:sz w:val="20"/>
          <w:szCs w:val="20"/>
          <w:color w:val="auto"/>
        </w:rPr>
      </w:pPr>
    </w:p>
    <w:p>
      <w:pPr>
        <w:sectPr>
          <w:pgSz w:w="11900" w:h="16838" w:orient="portrait"/>
          <w:cols w:equalWidth="0" w:num="2">
            <w:col w:w="4460" w:space="720"/>
            <w:col w:w="4440"/>
          </w:cols>
          <w:pgMar w:left="1240" w:top="474" w:right="1039" w:bottom="1440" w:gutter="0" w:footer="0" w:header="0"/>
        </w:sectPr>
      </w:pPr>
    </w:p>
    <w:p>
      <w:pPr>
        <w:spacing w:after="0" w:line="266" w:lineRule="exact"/>
        <w:rPr>
          <w:sz w:val="20"/>
          <w:szCs w:val="20"/>
          <w:color w:val="auto"/>
        </w:rPr>
      </w:pPr>
    </w:p>
    <w:p>
      <w:pPr>
        <w:ind w:left="1060"/>
        <w:spacing w:after="0"/>
        <w:rPr>
          <w:sz w:val="20"/>
          <w:szCs w:val="20"/>
          <w:color w:val="auto"/>
        </w:rPr>
      </w:pPr>
      <w:r>
        <w:rPr>
          <w:rFonts w:ascii="Arial" w:cs="Arial" w:eastAsia="Arial" w:hAnsi="Arial"/>
          <w:sz w:val="15"/>
          <w:szCs w:val="15"/>
          <w:color w:val="FFFFFF"/>
        </w:rPr>
        <w:t>America’s Most Admired Companies</w:t>
      </w:r>
    </w:p>
    <w:p>
      <w:pPr>
        <w:spacing w:after="0" w:line="221" w:lineRule="exact"/>
        <w:rPr>
          <w:sz w:val="20"/>
          <w:szCs w:val="20"/>
          <w:color w:val="auto"/>
        </w:rPr>
      </w:pPr>
    </w:p>
    <w:p>
      <w:pPr>
        <w:ind w:left="200" w:right="840"/>
        <w:spacing w:after="0" w:line="215" w:lineRule="auto"/>
        <w:rPr>
          <w:sz w:val="20"/>
          <w:szCs w:val="20"/>
          <w:color w:val="auto"/>
        </w:rPr>
      </w:pPr>
      <w:r>
        <w:rPr>
          <w:rFonts w:ascii="Arial" w:cs="Arial" w:eastAsia="Arial" w:hAnsi="Arial"/>
          <w:sz w:val="14"/>
          <w:szCs w:val="14"/>
          <w:color w:val="auto"/>
        </w:rPr>
        <w:t>In 2009, Manpower was named as one of Fortune’s most admired companies in the staffing industry for the seventh year in a row by a group of 10,000 executives, directors and security analysts.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820"/>
        <w:spacing w:after="0"/>
        <w:rPr>
          <w:sz w:val="20"/>
          <w:szCs w:val="20"/>
          <w:color w:val="auto"/>
        </w:rPr>
      </w:pPr>
      <w:r>
        <w:rPr>
          <w:rFonts w:ascii="Arial" w:cs="Arial" w:eastAsia="Arial" w:hAnsi="Arial"/>
          <w:sz w:val="15"/>
          <w:szCs w:val="15"/>
          <w:color w:val="FFFFFF"/>
        </w:rPr>
        <w:t>Forbes Global</w:t>
      </w:r>
    </w:p>
    <w:p>
      <w:pPr>
        <w:ind w:left="820"/>
        <w:spacing w:after="0"/>
        <w:rPr>
          <w:sz w:val="20"/>
          <w:szCs w:val="20"/>
          <w:color w:val="auto"/>
        </w:rPr>
      </w:pPr>
      <w:r>
        <w:rPr>
          <w:rFonts w:ascii="Arial" w:cs="Arial" w:eastAsia="Arial" w:hAnsi="Arial"/>
          <w:sz w:val="15"/>
          <w:szCs w:val="15"/>
          <w:color w:val="FFFFFF"/>
        </w:rPr>
        <w:t>2000</w:t>
      </w:r>
    </w:p>
    <w:p>
      <w:pPr>
        <w:spacing w:after="0" w:line="152" w:lineRule="exact"/>
        <w:rPr>
          <w:sz w:val="20"/>
          <w:szCs w:val="20"/>
          <w:color w:val="auto"/>
        </w:rPr>
      </w:pPr>
    </w:p>
    <w:p>
      <w:pPr>
        <w:ind w:right="1320"/>
        <w:spacing w:after="0" w:line="235" w:lineRule="auto"/>
        <w:rPr>
          <w:sz w:val="20"/>
          <w:szCs w:val="20"/>
          <w:color w:val="auto"/>
        </w:rPr>
      </w:pPr>
      <w:r>
        <w:rPr>
          <w:rFonts w:ascii="Arial" w:cs="Arial" w:eastAsia="Arial" w:hAnsi="Arial"/>
          <w:sz w:val="13"/>
          <w:szCs w:val="13"/>
          <w:color w:val="auto"/>
        </w:rPr>
        <w:t>Named a Global High Performer in 2007, Manpower ranked 1,306th on the 2009 Forbes Global 2000 ranking of the largest public companies in the world.</w:t>
      </w:r>
    </w:p>
    <w:p>
      <w:pPr>
        <w:spacing w:after="0" w:line="234" w:lineRule="exact"/>
        <w:rPr>
          <w:sz w:val="20"/>
          <w:szCs w:val="20"/>
          <w:color w:val="auto"/>
        </w:rPr>
      </w:pPr>
    </w:p>
    <w:p>
      <w:pPr>
        <w:sectPr>
          <w:pgSz w:w="11900" w:h="16838" w:orient="portrait"/>
          <w:cols w:equalWidth="0" w:num="2">
            <w:col w:w="4400" w:space="720"/>
            <w:col w:w="4500"/>
          </w:cols>
          <w:pgMar w:left="1240" w:top="474" w:right="1039" w:bottom="1440" w:gutter="0" w:footer="0" w:header="0"/>
          <w:type w:val="continuous"/>
        </w:sectPr>
      </w:pPr>
    </w:p>
    <w:p>
      <w:pPr>
        <w:spacing w:after="0" w:line="335" w:lineRule="exact"/>
        <w:rPr>
          <w:sz w:val="20"/>
          <w:szCs w:val="20"/>
          <w:color w:val="auto"/>
        </w:rPr>
      </w:pPr>
    </w:p>
    <w:p>
      <w:pPr>
        <w:ind w:left="1080"/>
        <w:spacing w:after="0"/>
        <w:rPr>
          <w:sz w:val="20"/>
          <w:szCs w:val="20"/>
          <w:color w:val="auto"/>
        </w:rPr>
      </w:pPr>
      <w:r>
        <w:rPr>
          <w:rFonts w:ascii="Arial" w:cs="Arial" w:eastAsia="Arial" w:hAnsi="Arial"/>
          <w:sz w:val="15"/>
          <w:szCs w:val="15"/>
          <w:color w:val="FFFFFF"/>
        </w:rPr>
        <w:t>America’s Best Managed Companies</w:t>
      </w:r>
    </w:p>
    <w:p>
      <w:pPr>
        <w:spacing w:after="0" w:line="209" w:lineRule="exact"/>
        <w:rPr>
          <w:sz w:val="20"/>
          <w:szCs w:val="20"/>
          <w:color w:val="auto"/>
        </w:rPr>
      </w:pPr>
    </w:p>
    <w:p>
      <w:pPr>
        <w:ind w:left="240" w:right="660"/>
        <w:spacing w:after="0" w:line="215" w:lineRule="auto"/>
        <w:rPr>
          <w:sz w:val="20"/>
          <w:szCs w:val="20"/>
          <w:color w:val="auto"/>
        </w:rPr>
      </w:pPr>
      <w:r>
        <w:rPr>
          <w:rFonts w:ascii="Arial" w:cs="Arial" w:eastAsia="Arial" w:hAnsi="Arial"/>
          <w:sz w:val="14"/>
          <w:szCs w:val="14"/>
          <w:color w:val="auto"/>
        </w:rPr>
        <w:t>Forbes magazine named Manpower to its 2008 list of the best-managed companies for the sixth time, citing Manpower’s integrity in the areas of accounting and governance, financial condition and earnings quality.</w:t>
      </w:r>
    </w:p>
    <w:p>
      <w:pPr>
        <w:spacing w:after="0" w:line="200" w:lineRule="exact"/>
        <w:rPr>
          <w:sz w:val="20"/>
          <w:szCs w:val="20"/>
          <w:color w:val="auto"/>
        </w:rPr>
      </w:pPr>
    </w:p>
    <w:p>
      <w:pPr>
        <w:spacing w:after="0" w:line="347" w:lineRule="exact"/>
        <w:rPr>
          <w:sz w:val="20"/>
          <w:szCs w:val="20"/>
          <w:color w:val="auto"/>
        </w:rPr>
      </w:pPr>
    </w:p>
    <w:p>
      <w:pPr>
        <w:ind w:left="1040"/>
        <w:spacing w:after="0"/>
        <w:rPr>
          <w:sz w:val="20"/>
          <w:szCs w:val="20"/>
          <w:color w:val="auto"/>
        </w:rPr>
      </w:pPr>
      <w:r>
        <w:rPr>
          <w:rFonts w:ascii="Arial" w:cs="Arial" w:eastAsia="Arial" w:hAnsi="Arial"/>
          <w:sz w:val="15"/>
          <w:szCs w:val="15"/>
          <w:color w:val="FFFFFF"/>
        </w:rPr>
        <w:t>Fortune America 500</w:t>
      </w:r>
    </w:p>
    <w:p>
      <w:pPr>
        <w:spacing w:after="0" w:line="358" w:lineRule="exact"/>
        <w:rPr>
          <w:sz w:val="20"/>
          <w:szCs w:val="20"/>
          <w:color w:val="auto"/>
        </w:rPr>
      </w:pPr>
    </w:p>
    <w:p>
      <w:pPr>
        <w:ind w:left="300" w:right="840"/>
        <w:spacing w:after="0" w:line="225" w:lineRule="auto"/>
        <w:rPr>
          <w:sz w:val="20"/>
          <w:szCs w:val="20"/>
          <w:color w:val="auto"/>
        </w:rPr>
      </w:pPr>
      <w:r>
        <w:rPr>
          <w:rFonts w:ascii="Arial" w:cs="Arial" w:eastAsia="Arial" w:hAnsi="Arial"/>
          <w:sz w:val="14"/>
          <w:szCs w:val="14"/>
          <w:color w:val="auto"/>
        </w:rPr>
        <w:t>Manpower ranked 119th on the 2009 Fortune 500 list of the largest companies in America.</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840"/>
        <w:spacing w:after="0"/>
        <w:rPr>
          <w:sz w:val="20"/>
          <w:szCs w:val="20"/>
          <w:color w:val="auto"/>
        </w:rPr>
      </w:pPr>
      <w:r>
        <w:rPr>
          <w:rFonts w:ascii="Arial" w:cs="Arial" w:eastAsia="Arial" w:hAnsi="Arial"/>
          <w:sz w:val="15"/>
          <w:szCs w:val="15"/>
          <w:color w:val="FFFFFF"/>
        </w:rPr>
        <w:t>FTSE4Good</w:t>
      </w:r>
    </w:p>
    <w:p>
      <w:pPr>
        <w:ind w:left="840"/>
        <w:spacing w:after="0"/>
        <w:rPr>
          <w:sz w:val="20"/>
          <w:szCs w:val="20"/>
          <w:color w:val="auto"/>
        </w:rPr>
      </w:pPr>
      <w:r>
        <w:rPr>
          <w:rFonts w:ascii="Arial" w:cs="Arial" w:eastAsia="Arial" w:hAnsi="Arial"/>
          <w:sz w:val="15"/>
          <w:szCs w:val="15"/>
          <w:color w:val="FFFFFF"/>
        </w:rPr>
        <w:t>Index</w:t>
      </w:r>
    </w:p>
    <w:p>
      <w:pPr>
        <w:spacing w:after="0" w:line="25" w:lineRule="exact"/>
        <w:rPr>
          <w:sz w:val="20"/>
          <w:szCs w:val="20"/>
          <w:color w:val="auto"/>
        </w:rPr>
      </w:pPr>
    </w:p>
    <w:p>
      <w:pPr>
        <w:ind w:right="1060"/>
        <w:spacing w:after="0" w:line="213" w:lineRule="auto"/>
        <w:rPr>
          <w:sz w:val="20"/>
          <w:szCs w:val="20"/>
          <w:color w:val="auto"/>
        </w:rPr>
      </w:pPr>
      <w:r>
        <w:rPr>
          <w:rFonts w:ascii="Arial" w:cs="Arial" w:eastAsia="Arial" w:hAnsi="Arial"/>
          <w:sz w:val="14"/>
          <w:szCs w:val="14"/>
          <w:color w:val="auto"/>
        </w:rPr>
        <w:t>Since 2008, Manpower has been listed on the FTSE4Good Index Series, which measures the performance of companies that meet globally recognized corporate responsibility standards, and facilitates investment in those companies.</w:t>
      </w:r>
    </w:p>
    <w:p>
      <w:pPr>
        <w:spacing w:after="0" w:line="200" w:lineRule="exact"/>
        <w:rPr>
          <w:sz w:val="20"/>
          <w:szCs w:val="20"/>
          <w:color w:val="auto"/>
        </w:rPr>
      </w:pPr>
    </w:p>
    <w:p>
      <w:pPr>
        <w:spacing w:after="0" w:line="232" w:lineRule="exact"/>
        <w:rPr>
          <w:sz w:val="20"/>
          <w:szCs w:val="20"/>
          <w:color w:val="auto"/>
        </w:rPr>
      </w:pPr>
    </w:p>
    <w:p>
      <w:pPr>
        <w:ind w:left="840"/>
        <w:spacing w:after="0"/>
        <w:rPr>
          <w:sz w:val="20"/>
          <w:szCs w:val="20"/>
          <w:color w:val="auto"/>
        </w:rPr>
      </w:pPr>
      <w:r>
        <w:rPr>
          <w:rFonts w:ascii="Arial" w:cs="Arial" w:eastAsia="Arial" w:hAnsi="Arial"/>
          <w:sz w:val="15"/>
          <w:szCs w:val="15"/>
          <w:color w:val="FFFFFF"/>
        </w:rPr>
        <w:t>Greenest Big Companies in America</w:t>
      </w:r>
    </w:p>
    <w:p>
      <w:pPr>
        <w:spacing w:after="0" w:line="289" w:lineRule="exact"/>
        <w:rPr>
          <w:sz w:val="20"/>
          <w:szCs w:val="20"/>
          <w:color w:val="auto"/>
        </w:rPr>
      </w:pPr>
    </w:p>
    <w:p>
      <w:pPr>
        <w:ind w:left="40" w:right="920"/>
        <w:spacing w:after="0" w:line="232" w:lineRule="auto"/>
        <w:rPr>
          <w:sz w:val="20"/>
          <w:szCs w:val="20"/>
          <w:color w:val="auto"/>
        </w:rPr>
      </w:pPr>
      <w:r>
        <w:rPr>
          <w:rFonts w:ascii="Arial" w:cs="Arial" w:eastAsia="Arial" w:hAnsi="Arial"/>
          <w:sz w:val="13"/>
          <w:szCs w:val="13"/>
          <w:color w:val="auto"/>
        </w:rPr>
        <w:t>In 2009, Manpower was named one of America’s greenest “big” companies by Newsweek Magazine. The U.S. Green Building Council awarded Manpower Gold Status under LEED certification system for its “green”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592455</wp:posOffset>
            </wp:positionV>
            <wp:extent cx="727265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2">
            <w:col w:w="4380" w:space="720"/>
            <w:col w:w="4520"/>
          </w:cols>
          <w:pgMar w:left="1240" w:top="474" w:right="1039" w:bottom="1440" w:gutter="0" w:footer="0" w:header="0"/>
          <w:type w:val="continuous"/>
        </w:sectPr>
      </w:pPr>
    </w:p>
    <w:bookmarkStart w:id="6" w:name="page7"/>
    <w:bookmarkEnd w:id="6"/>
    <w:p>
      <w:pPr>
        <w:ind w:left="1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t>Manpower Inc. (NYSE: MAN)</w:t>
      </w:r>
    </w:p>
    <w:p>
      <w:pPr>
        <w:spacing w:after="0" w:line="385" w:lineRule="exact"/>
        <w:rPr>
          <w:sz w:val="20"/>
          <w:szCs w:val="20"/>
          <w:color w:val="auto"/>
        </w:rPr>
      </w:pPr>
    </w:p>
    <w:p>
      <w:pPr>
        <w:spacing w:after="0"/>
        <w:rPr>
          <w:sz w:val="20"/>
          <w:szCs w:val="20"/>
          <w:color w:val="auto"/>
        </w:rPr>
      </w:pPr>
      <w:r>
        <w:rPr>
          <w:rFonts w:ascii="Arial" w:cs="Arial" w:eastAsia="Arial" w:hAnsi="Arial"/>
          <w:sz w:val="46"/>
          <w:szCs w:val="46"/>
          <w:color w:val="5F81AA"/>
        </w:rPr>
        <w:t>Key Strategies</w:t>
      </w:r>
    </w:p>
    <w:p>
      <w:pPr>
        <w:spacing w:after="0" w:line="27" w:lineRule="exact"/>
        <w:rPr>
          <w:sz w:val="20"/>
          <w:szCs w:val="20"/>
          <w:color w:val="auto"/>
        </w:rPr>
      </w:pPr>
    </w:p>
    <w:p>
      <w:pPr>
        <w:ind w:left="6260"/>
        <w:spacing w:after="0"/>
        <w:rPr>
          <w:sz w:val="20"/>
          <w:szCs w:val="20"/>
          <w:color w:val="auto"/>
        </w:rPr>
      </w:pPr>
      <w:r>
        <w:rPr>
          <w:rFonts w:ascii="Arial" w:cs="Arial" w:eastAsia="Arial" w:hAnsi="Arial"/>
          <w:sz w:val="25"/>
          <w:szCs w:val="25"/>
          <w:b w:val="1"/>
          <w:bCs w:val="1"/>
          <w:color w:val="C8504F"/>
        </w:rPr>
        <w:t>Thought</w:t>
      </w:r>
    </w:p>
    <w:p>
      <w:pPr>
        <w:spacing w:after="0" w:line="19" w:lineRule="exact"/>
        <w:rPr>
          <w:sz w:val="20"/>
          <w:szCs w:val="20"/>
          <w:color w:val="auto"/>
        </w:rPr>
      </w:pPr>
    </w:p>
    <w:p>
      <w:pPr>
        <w:ind w:left="300"/>
        <w:spacing w:after="0"/>
        <w:tabs>
          <w:tab w:leader="none" w:pos="2140" w:val="left"/>
          <w:tab w:leader="none" w:pos="4060" w:val="left"/>
          <w:tab w:leader="none" w:pos="6080" w:val="left"/>
        </w:tabs>
        <w:rPr>
          <w:sz w:val="20"/>
          <w:szCs w:val="20"/>
          <w:color w:val="auto"/>
        </w:rPr>
      </w:pPr>
      <w:r>
        <w:rPr>
          <w:rFonts w:ascii="Arial" w:cs="Arial" w:eastAsia="Arial" w:hAnsi="Arial"/>
          <w:sz w:val="25"/>
          <w:szCs w:val="25"/>
          <w:b w:val="1"/>
          <w:bCs w:val="1"/>
          <w:color w:val="5F81AA"/>
        </w:rPr>
        <w:t>Revenue</w:t>
      </w:r>
      <w:r>
        <w:rPr>
          <w:sz w:val="20"/>
          <w:szCs w:val="20"/>
          <w:color w:val="auto"/>
        </w:rPr>
        <w:tab/>
      </w:r>
      <w:r>
        <w:rPr>
          <w:rFonts w:ascii="Arial" w:cs="Arial" w:eastAsia="Arial" w:hAnsi="Arial"/>
          <w:sz w:val="25"/>
          <w:szCs w:val="25"/>
          <w:b w:val="1"/>
          <w:bCs w:val="1"/>
          <w:color w:val="6698C2"/>
        </w:rPr>
        <w:t>Efficiency</w:t>
      </w:r>
      <w:r>
        <w:rPr>
          <w:sz w:val="20"/>
          <w:szCs w:val="20"/>
          <w:color w:val="auto"/>
        </w:rPr>
        <w:tab/>
      </w:r>
      <w:r>
        <w:rPr>
          <w:rFonts w:ascii="Arial" w:cs="Arial" w:eastAsia="Arial" w:hAnsi="Arial"/>
          <w:sz w:val="25"/>
          <w:szCs w:val="25"/>
          <w:b w:val="1"/>
          <w:bCs w:val="1"/>
          <w:color w:val="7EA190"/>
        </w:rPr>
        <w:t>Innovation</w:t>
      </w:r>
      <w:r>
        <w:rPr>
          <w:sz w:val="20"/>
          <w:szCs w:val="20"/>
          <w:color w:val="auto"/>
        </w:rPr>
        <w:tab/>
      </w:r>
      <w:r>
        <w:rPr>
          <w:rFonts w:ascii="Arial" w:cs="Arial" w:eastAsia="Arial" w:hAnsi="Arial"/>
          <w:sz w:val="23"/>
          <w:szCs w:val="23"/>
          <w:b w:val="1"/>
          <w:bCs w:val="1"/>
          <w:color w:val="C8504F"/>
        </w:rPr>
        <w:t>Leadership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20"/>
                <w:szCs w:val="20"/>
                <w:color w:val="FFFFFF"/>
              </w:rPr>
              <w:t>Generating more</w:t>
            </w:r>
          </w:p>
        </w:tc>
        <w:tc>
          <w:tcPr>
            <w:tcW w:w="1980" w:type="dxa"/>
            <w:vAlign w:val="bottom"/>
          </w:tcPr>
          <w:p>
            <w:pPr>
              <w:ind w:left="200"/>
              <w:spacing w:after="0"/>
              <w:rPr>
                <w:sz w:val="20"/>
                <w:szCs w:val="20"/>
                <w:color w:val="auto"/>
              </w:rPr>
            </w:pPr>
            <w:r>
              <w:rPr>
                <w:rFonts w:ascii="Arial" w:cs="Arial" w:eastAsia="Arial" w:hAnsi="Arial"/>
                <w:sz w:val="20"/>
                <w:szCs w:val="20"/>
                <w:color w:val="FFFFFF"/>
              </w:rPr>
              <w:t>Improving our</w:t>
            </w:r>
          </w:p>
        </w:tc>
        <w:tc>
          <w:tcPr>
            <w:tcW w:w="2040" w:type="dxa"/>
            <w:vAlign w:val="bottom"/>
          </w:tcPr>
          <w:p>
            <w:pPr>
              <w:ind w:left="160"/>
              <w:spacing w:after="0"/>
              <w:rPr>
                <w:sz w:val="20"/>
                <w:szCs w:val="20"/>
                <w:color w:val="auto"/>
              </w:rPr>
            </w:pPr>
            <w:r>
              <w:rPr>
                <w:rFonts w:ascii="Arial" w:cs="Arial" w:eastAsia="Arial" w:hAnsi="Arial"/>
                <w:sz w:val="20"/>
                <w:szCs w:val="20"/>
                <w:color w:val="FFFFFF"/>
              </w:rPr>
              <w:t>Demonstrating our</w:t>
            </w:r>
          </w:p>
        </w:tc>
        <w:tc>
          <w:tcPr>
            <w:tcW w:w="1760" w:type="dxa"/>
            <w:vAlign w:val="bottom"/>
          </w:tcPr>
          <w:p>
            <w:pPr>
              <w:ind w:left="180"/>
              <w:spacing w:after="0"/>
              <w:rPr>
                <w:sz w:val="20"/>
                <w:szCs w:val="20"/>
                <w:color w:val="auto"/>
              </w:rPr>
            </w:pPr>
            <w:r>
              <w:rPr>
                <w:rFonts w:ascii="Arial" w:cs="Arial" w:eastAsia="Arial" w:hAnsi="Arial"/>
                <w:sz w:val="20"/>
                <w:szCs w:val="20"/>
                <w:color w:val="FFFFFF"/>
              </w:rPr>
              <w:t>Maintaining our</w:t>
            </w:r>
          </w:p>
        </w:tc>
      </w:tr>
      <w:tr>
        <w:trPr>
          <w:trHeight w:val="253"/>
        </w:trPr>
        <w:tc>
          <w:tcPr>
            <w:tcW w:w="1700" w:type="dxa"/>
            <w:vAlign w:val="bottom"/>
          </w:tcPr>
          <w:p>
            <w:pPr>
              <w:spacing w:after="0" w:line="253" w:lineRule="exact"/>
              <w:rPr>
                <w:sz w:val="20"/>
                <w:szCs w:val="20"/>
                <w:color w:val="auto"/>
              </w:rPr>
            </w:pPr>
            <w:r>
              <w:rPr>
                <w:rFonts w:ascii="Arial" w:cs="Arial" w:eastAsia="Arial" w:hAnsi="Arial"/>
                <w:sz w:val="25"/>
                <w:szCs w:val="25"/>
                <w:b w:val="1"/>
                <w:bCs w:val="1"/>
                <w:color w:val="FFFFFF"/>
              </w:rPr>
              <w:t>revenue</w:t>
            </w:r>
          </w:p>
        </w:tc>
        <w:tc>
          <w:tcPr>
            <w:tcW w:w="1980" w:type="dxa"/>
            <w:vAlign w:val="bottom"/>
          </w:tcPr>
          <w:p>
            <w:pPr>
              <w:ind w:left="200"/>
              <w:spacing w:after="0" w:line="253" w:lineRule="exact"/>
              <w:rPr>
                <w:sz w:val="20"/>
                <w:szCs w:val="20"/>
                <w:color w:val="auto"/>
              </w:rPr>
            </w:pPr>
            <w:r>
              <w:rPr>
                <w:rFonts w:ascii="Arial" w:cs="Arial" w:eastAsia="Arial" w:hAnsi="Arial"/>
                <w:sz w:val="25"/>
                <w:szCs w:val="25"/>
                <w:b w:val="1"/>
                <w:bCs w:val="1"/>
                <w:color w:val="FFFFFF"/>
              </w:rPr>
              <w:t>efficiency</w:t>
            </w:r>
          </w:p>
        </w:tc>
        <w:tc>
          <w:tcPr>
            <w:tcW w:w="2040" w:type="dxa"/>
            <w:vAlign w:val="bottom"/>
          </w:tcPr>
          <w:p>
            <w:pPr>
              <w:ind w:left="160"/>
              <w:spacing w:after="0"/>
              <w:rPr>
                <w:sz w:val="20"/>
                <w:szCs w:val="20"/>
                <w:color w:val="auto"/>
              </w:rPr>
            </w:pPr>
            <w:r>
              <w:rPr>
                <w:rFonts w:ascii="Arial" w:cs="Arial" w:eastAsia="Arial" w:hAnsi="Arial"/>
                <w:sz w:val="20"/>
                <w:szCs w:val="20"/>
                <w:color w:val="FFFFFF"/>
              </w:rPr>
              <w:t>commitment to</w:t>
            </w:r>
          </w:p>
        </w:tc>
        <w:tc>
          <w:tcPr>
            <w:tcW w:w="1760" w:type="dxa"/>
            <w:vAlign w:val="bottom"/>
          </w:tcPr>
          <w:p>
            <w:pPr>
              <w:ind w:left="180"/>
              <w:spacing w:after="0" w:line="253" w:lineRule="exact"/>
              <w:rPr>
                <w:sz w:val="20"/>
                <w:szCs w:val="20"/>
                <w:color w:val="auto"/>
              </w:rPr>
            </w:pPr>
            <w:r>
              <w:rPr>
                <w:rFonts w:ascii="Arial" w:cs="Arial" w:eastAsia="Arial" w:hAnsi="Arial"/>
                <w:sz w:val="25"/>
                <w:szCs w:val="25"/>
                <w:b w:val="1"/>
                <w:bCs w:val="1"/>
                <w:color w:val="FFFFFF"/>
              </w:rPr>
              <w:t>thought</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FFFFFF"/>
              </w:rPr>
              <w:t>requires us to</w:t>
            </w:r>
          </w:p>
        </w:tc>
        <w:tc>
          <w:tcPr>
            <w:tcW w:w="1980" w:type="dxa"/>
            <w:vAlign w:val="bottom"/>
          </w:tcPr>
          <w:p>
            <w:pPr>
              <w:ind w:left="200"/>
              <w:spacing w:after="0"/>
              <w:rPr>
                <w:sz w:val="20"/>
                <w:szCs w:val="20"/>
                <w:color w:val="auto"/>
              </w:rPr>
            </w:pPr>
            <w:r>
              <w:rPr>
                <w:rFonts w:ascii="Arial" w:cs="Arial" w:eastAsia="Arial" w:hAnsi="Arial"/>
                <w:sz w:val="20"/>
                <w:szCs w:val="20"/>
                <w:color w:val="FFFFFF"/>
              </w:rPr>
              <w:t>means achieving</w:t>
            </w:r>
          </w:p>
        </w:tc>
        <w:tc>
          <w:tcPr>
            <w:tcW w:w="2040" w:type="dxa"/>
            <w:vAlign w:val="bottom"/>
          </w:tcPr>
          <w:p>
            <w:pPr>
              <w:ind w:left="160"/>
              <w:spacing w:after="0" w:line="280" w:lineRule="exact"/>
              <w:rPr>
                <w:sz w:val="20"/>
                <w:szCs w:val="20"/>
                <w:color w:val="auto"/>
              </w:rPr>
            </w:pPr>
            <w:r>
              <w:rPr>
                <w:rFonts w:ascii="Arial" w:cs="Arial" w:eastAsia="Arial" w:hAnsi="Arial"/>
                <w:sz w:val="25"/>
                <w:szCs w:val="25"/>
                <w:b w:val="1"/>
                <w:bCs w:val="1"/>
                <w:color w:val="FFFFFF"/>
              </w:rPr>
              <w:t>innovation</w:t>
            </w:r>
          </w:p>
        </w:tc>
        <w:tc>
          <w:tcPr>
            <w:tcW w:w="1760" w:type="dxa"/>
            <w:vAlign w:val="bottom"/>
          </w:tcPr>
          <w:p>
            <w:pPr>
              <w:ind w:left="180"/>
              <w:spacing w:after="0" w:line="280" w:lineRule="exact"/>
              <w:rPr>
                <w:sz w:val="20"/>
                <w:szCs w:val="20"/>
                <w:color w:val="auto"/>
              </w:rPr>
            </w:pPr>
            <w:r>
              <w:rPr>
                <w:rFonts w:ascii="Arial" w:cs="Arial" w:eastAsia="Arial" w:hAnsi="Arial"/>
                <w:sz w:val="25"/>
                <w:szCs w:val="25"/>
                <w:b w:val="1"/>
                <w:bCs w:val="1"/>
                <w:color w:val="FFFFFF"/>
              </w:rPr>
              <w:t>leadership</w:t>
            </w:r>
          </w:p>
        </w:tc>
      </w:tr>
      <w:tr>
        <w:trPr>
          <w:trHeight w:val="230"/>
        </w:trPr>
        <w:tc>
          <w:tcPr>
            <w:tcW w:w="1700" w:type="dxa"/>
            <w:vAlign w:val="bottom"/>
          </w:tcPr>
          <w:p>
            <w:pPr>
              <w:spacing w:after="0"/>
              <w:rPr>
                <w:sz w:val="20"/>
                <w:szCs w:val="20"/>
                <w:color w:val="auto"/>
              </w:rPr>
            </w:pPr>
            <w:r>
              <w:rPr>
                <w:rFonts w:ascii="Arial" w:cs="Arial" w:eastAsia="Arial" w:hAnsi="Arial"/>
                <w:sz w:val="20"/>
                <w:szCs w:val="20"/>
                <w:color w:val="FFFFFF"/>
              </w:rPr>
              <w:t>develop strategic</w:t>
            </w:r>
          </w:p>
        </w:tc>
        <w:tc>
          <w:tcPr>
            <w:tcW w:w="1980" w:type="dxa"/>
            <w:vAlign w:val="bottom"/>
          </w:tcPr>
          <w:p>
            <w:pPr>
              <w:ind w:left="200"/>
              <w:spacing w:after="0"/>
              <w:rPr>
                <w:sz w:val="20"/>
                <w:szCs w:val="20"/>
                <w:color w:val="auto"/>
              </w:rPr>
            </w:pPr>
            <w:r>
              <w:rPr>
                <w:rFonts w:ascii="Arial" w:cs="Arial" w:eastAsia="Arial" w:hAnsi="Arial"/>
                <w:sz w:val="20"/>
                <w:szCs w:val="20"/>
                <w:color w:val="FFFFFF"/>
              </w:rPr>
              <w:t>speed, quality and</w:t>
            </w:r>
          </w:p>
        </w:tc>
        <w:tc>
          <w:tcPr>
            <w:tcW w:w="2040" w:type="dxa"/>
            <w:vAlign w:val="bottom"/>
          </w:tcPr>
          <w:p>
            <w:pPr>
              <w:ind w:left="160"/>
              <w:spacing w:after="0"/>
              <w:rPr>
                <w:sz w:val="20"/>
                <w:szCs w:val="20"/>
                <w:color w:val="auto"/>
              </w:rPr>
            </w:pPr>
            <w:r>
              <w:rPr>
                <w:rFonts w:ascii="Arial" w:cs="Arial" w:eastAsia="Arial" w:hAnsi="Arial"/>
                <w:sz w:val="20"/>
                <w:szCs w:val="20"/>
                <w:color w:val="FFFFFF"/>
              </w:rPr>
              <w:t>requires us to</w:t>
            </w:r>
          </w:p>
        </w:tc>
        <w:tc>
          <w:tcPr>
            <w:tcW w:w="1760" w:type="dxa"/>
            <w:vAlign w:val="bottom"/>
          </w:tcPr>
          <w:p>
            <w:pPr>
              <w:ind w:left="180"/>
              <w:spacing w:after="0"/>
              <w:rPr>
                <w:sz w:val="20"/>
                <w:szCs w:val="20"/>
                <w:color w:val="auto"/>
              </w:rPr>
            </w:pPr>
            <w:r>
              <w:rPr>
                <w:rFonts w:ascii="Arial" w:cs="Arial" w:eastAsia="Arial" w:hAnsi="Arial"/>
                <w:sz w:val="20"/>
                <w:szCs w:val="20"/>
                <w:color w:val="FFFFFF"/>
              </w:rPr>
              <w:t>means</w:t>
            </w: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FFFFFF"/>
              </w:rPr>
              <w:t>insights about</w:t>
            </w:r>
          </w:p>
        </w:tc>
        <w:tc>
          <w:tcPr>
            <w:tcW w:w="1980" w:type="dxa"/>
            <w:vAlign w:val="bottom"/>
          </w:tcPr>
          <w:p>
            <w:pPr>
              <w:ind w:left="200"/>
              <w:spacing w:after="0"/>
              <w:rPr>
                <w:sz w:val="20"/>
                <w:szCs w:val="20"/>
                <w:color w:val="auto"/>
              </w:rPr>
            </w:pPr>
            <w:r>
              <w:rPr>
                <w:rFonts w:ascii="Arial" w:cs="Arial" w:eastAsia="Arial" w:hAnsi="Arial"/>
                <w:sz w:val="20"/>
                <w:szCs w:val="20"/>
                <w:color w:val="FFFFFF"/>
              </w:rPr>
              <w:t>effective use of</w:t>
            </w:r>
          </w:p>
        </w:tc>
        <w:tc>
          <w:tcPr>
            <w:tcW w:w="2040" w:type="dxa"/>
            <w:vAlign w:val="bottom"/>
          </w:tcPr>
          <w:p>
            <w:pPr>
              <w:ind w:left="160"/>
              <w:spacing w:after="0"/>
              <w:rPr>
                <w:sz w:val="20"/>
                <w:szCs w:val="20"/>
                <w:color w:val="auto"/>
              </w:rPr>
            </w:pPr>
            <w:r>
              <w:rPr>
                <w:rFonts w:ascii="Arial" w:cs="Arial" w:eastAsia="Arial" w:hAnsi="Arial"/>
                <w:sz w:val="20"/>
                <w:szCs w:val="20"/>
                <w:color w:val="FFFFFF"/>
              </w:rPr>
              <w:t>continuously</w:t>
            </w:r>
          </w:p>
        </w:tc>
        <w:tc>
          <w:tcPr>
            <w:tcW w:w="1760" w:type="dxa"/>
            <w:vAlign w:val="bottom"/>
          </w:tcPr>
          <w:p>
            <w:pPr>
              <w:ind w:left="180"/>
              <w:spacing w:after="0"/>
              <w:rPr>
                <w:sz w:val="20"/>
                <w:szCs w:val="20"/>
                <w:color w:val="auto"/>
              </w:rPr>
            </w:pPr>
            <w:r>
              <w:rPr>
                <w:rFonts w:ascii="Arial" w:cs="Arial" w:eastAsia="Arial" w:hAnsi="Arial"/>
                <w:sz w:val="20"/>
                <w:szCs w:val="20"/>
                <w:color w:val="FFFFFF"/>
              </w:rPr>
              <w:t>continuously</w:t>
            </w:r>
          </w:p>
        </w:tc>
      </w:tr>
      <w:tr>
        <w:trPr>
          <w:trHeight w:val="230"/>
        </w:trPr>
        <w:tc>
          <w:tcPr>
            <w:tcW w:w="1700" w:type="dxa"/>
            <w:vAlign w:val="bottom"/>
          </w:tcPr>
          <w:p>
            <w:pPr>
              <w:spacing w:after="0"/>
              <w:rPr>
                <w:sz w:val="20"/>
                <w:szCs w:val="20"/>
                <w:color w:val="auto"/>
              </w:rPr>
            </w:pPr>
            <w:r>
              <w:rPr>
                <w:rFonts w:ascii="Arial" w:cs="Arial" w:eastAsia="Arial" w:hAnsi="Arial"/>
                <w:sz w:val="20"/>
                <w:szCs w:val="20"/>
                <w:color w:val="FFFFFF"/>
              </w:rPr>
              <w:t>our clients’</w:t>
            </w:r>
          </w:p>
        </w:tc>
        <w:tc>
          <w:tcPr>
            <w:tcW w:w="1980" w:type="dxa"/>
            <w:vAlign w:val="bottom"/>
          </w:tcPr>
          <w:p>
            <w:pPr>
              <w:ind w:left="200"/>
              <w:spacing w:after="0"/>
              <w:rPr>
                <w:sz w:val="20"/>
                <w:szCs w:val="20"/>
                <w:color w:val="auto"/>
              </w:rPr>
            </w:pPr>
            <w:r>
              <w:rPr>
                <w:rFonts w:ascii="Arial" w:cs="Arial" w:eastAsia="Arial" w:hAnsi="Arial"/>
                <w:sz w:val="20"/>
                <w:szCs w:val="20"/>
                <w:color w:val="FFFFFF"/>
              </w:rPr>
              <w:t>resources</w:t>
            </w:r>
          </w:p>
        </w:tc>
        <w:tc>
          <w:tcPr>
            <w:tcW w:w="2040" w:type="dxa"/>
            <w:vAlign w:val="bottom"/>
          </w:tcPr>
          <w:p>
            <w:pPr>
              <w:ind w:left="160"/>
              <w:spacing w:after="0"/>
              <w:rPr>
                <w:sz w:val="20"/>
                <w:szCs w:val="20"/>
                <w:color w:val="auto"/>
              </w:rPr>
            </w:pPr>
            <w:r>
              <w:rPr>
                <w:rFonts w:ascii="Arial" w:cs="Arial" w:eastAsia="Arial" w:hAnsi="Arial"/>
                <w:sz w:val="20"/>
                <w:szCs w:val="20"/>
                <w:color w:val="FFFFFF"/>
              </w:rPr>
              <w:t>capture creativity in</w:t>
            </w:r>
          </w:p>
        </w:tc>
        <w:tc>
          <w:tcPr>
            <w:tcW w:w="1760" w:type="dxa"/>
            <w:vAlign w:val="bottom"/>
          </w:tcPr>
          <w:p>
            <w:pPr>
              <w:ind w:left="180"/>
              <w:spacing w:after="0"/>
              <w:rPr>
                <w:sz w:val="20"/>
                <w:szCs w:val="20"/>
                <w:color w:val="auto"/>
              </w:rPr>
            </w:pPr>
            <w:r>
              <w:rPr>
                <w:rFonts w:ascii="Arial" w:cs="Arial" w:eastAsia="Arial" w:hAnsi="Arial"/>
                <w:sz w:val="20"/>
                <w:szCs w:val="20"/>
                <w:color w:val="FFFFFF"/>
                <w:w w:val="98"/>
              </w:rPr>
              <w:t>anticipating future</w:t>
            </w:r>
          </w:p>
        </w:tc>
      </w:tr>
      <w:tr>
        <w:trPr>
          <w:trHeight w:val="230"/>
        </w:trPr>
        <w:tc>
          <w:tcPr>
            <w:tcW w:w="1700" w:type="dxa"/>
            <w:vAlign w:val="bottom"/>
          </w:tcPr>
          <w:p>
            <w:pPr>
              <w:spacing w:after="0"/>
              <w:rPr>
                <w:sz w:val="20"/>
                <w:szCs w:val="20"/>
                <w:color w:val="auto"/>
              </w:rPr>
            </w:pPr>
            <w:r>
              <w:rPr>
                <w:rFonts w:ascii="Arial" w:cs="Arial" w:eastAsia="Arial" w:hAnsi="Arial"/>
                <w:sz w:val="20"/>
                <w:szCs w:val="20"/>
                <w:color w:val="FFFFFF"/>
              </w:rPr>
              <w:t>needs and</w:t>
            </w:r>
          </w:p>
        </w:tc>
        <w:tc>
          <w:tcPr>
            <w:tcW w:w="1980" w:type="dxa"/>
            <w:vAlign w:val="bottom"/>
          </w:tcPr>
          <w:p>
            <w:pPr>
              <w:ind w:left="200"/>
              <w:spacing w:after="0"/>
              <w:rPr>
                <w:sz w:val="20"/>
                <w:szCs w:val="20"/>
                <w:color w:val="auto"/>
              </w:rPr>
            </w:pPr>
            <w:r>
              <w:rPr>
                <w:rFonts w:ascii="Arial" w:cs="Arial" w:eastAsia="Arial" w:hAnsi="Arial"/>
                <w:sz w:val="20"/>
                <w:szCs w:val="20"/>
                <w:color w:val="FFFFFF"/>
              </w:rPr>
              <w:t>throughout all our</w:t>
            </w:r>
          </w:p>
        </w:tc>
        <w:tc>
          <w:tcPr>
            <w:tcW w:w="2040" w:type="dxa"/>
            <w:vAlign w:val="bottom"/>
          </w:tcPr>
          <w:p>
            <w:pPr>
              <w:ind w:left="160"/>
              <w:spacing w:after="0"/>
              <w:rPr>
                <w:sz w:val="20"/>
                <w:szCs w:val="20"/>
                <w:color w:val="auto"/>
              </w:rPr>
            </w:pPr>
            <w:r>
              <w:rPr>
                <w:rFonts w:ascii="Arial" w:cs="Arial" w:eastAsia="Arial" w:hAnsi="Arial"/>
                <w:sz w:val="20"/>
                <w:szCs w:val="20"/>
                <w:color w:val="FFFFFF"/>
              </w:rPr>
              <w:t>local markets, and</w:t>
            </w:r>
          </w:p>
        </w:tc>
        <w:tc>
          <w:tcPr>
            <w:tcW w:w="1760" w:type="dxa"/>
            <w:vAlign w:val="bottom"/>
          </w:tcPr>
          <w:p>
            <w:pPr>
              <w:ind w:left="180"/>
              <w:spacing w:after="0"/>
              <w:rPr>
                <w:sz w:val="20"/>
                <w:szCs w:val="20"/>
                <w:color w:val="auto"/>
              </w:rPr>
            </w:pPr>
            <w:r>
              <w:rPr>
                <w:rFonts w:ascii="Arial" w:cs="Arial" w:eastAsia="Arial" w:hAnsi="Arial"/>
                <w:sz w:val="20"/>
                <w:szCs w:val="20"/>
                <w:color w:val="FFFFFF"/>
              </w:rPr>
              <w:t>dynamics of the</w:t>
            </w:r>
          </w:p>
        </w:tc>
      </w:tr>
      <w:tr>
        <w:trPr>
          <w:trHeight w:val="230"/>
        </w:trPr>
        <w:tc>
          <w:tcPr>
            <w:tcW w:w="1700" w:type="dxa"/>
            <w:vAlign w:val="bottom"/>
          </w:tcPr>
          <w:p>
            <w:pPr>
              <w:spacing w:after="0"/>
              <w:rPr>
                <w:sz w:val="20"/>
                <w:szCs w:val="20"/>
                <w:color w:val="auto"/>
              </w:rPr>
            </w:pPr>
            <w:r>
              <w:rPr>
                <w:rFonts w:ascii="Arial" w:cs="Arial" w:eastAsia="Arial" w:hAnsi="Arial"/>
                <w:sz w:val="20"/>
                <w:szCs w:val="20"/>
                <w:color w:val="FFFFFF"/>
              </w:rPr>
              <w:t>goals, elevating</w:t>
            </w:r>
          </w:p>
        </w:tc>
        <w:tc>
          <w:tcPr>
            <w:tcW w:w="1980" w:type="dxa"/>
            <w:vAlign w:val="bottom"/>
          </w:tcPr>
          <w:p>
            <w:pPr>
              <w:ind w:left="200"/>
              <w:spacing w:after="0"/>
              <w:rPr>
                <w:sz w:val="20"/>
                <w:szCs w:val="20"/>
                <w:color w:val="auto"/>
              </w:rPr>
            </w:pPr>
            <w:r>
              <w:rPr>
                <w:rFonts w:ascii="Arial" w:cs="Arial" w:eastAsia="Arial" w:hAnsi="Arial"/>
                <w:sz w:val="20"/>
                <w:szCs w:val="20"/>
                <w:color w:val="FFFFFF"/>
              </w:rPr>
              <w:t>operations.</w:t>
            </w:r>
          </w:p>
        </w:tc>
        <w:tc>
          <w:tcPr>
            <w:tcW w:w="2040" w:type="dxa"/>
            <w:vAlign w:val="bottom"/>
          </w:tcPr>
          <w:p>
            <w:pPr>
              <w:ind w:left="160"/>
              <w:spacing w:after="0"/>
              <w:rPr>
                <w:sz w:val="20"/>
                <w:szCs w:val="20"/>
                <w:color w:val="auto"/>
              </w:rPr>
            </w:pPr>
            <w:r>
              <w:rPr>
                <w:rFonts w:ascii="Arial" w:cs="Arial" w:eastAsia="Arial" w:hAnsi="Arial"/>
                <w:sz w:val="20"/>
                <w:szCs w:val="20"/>
                <w:color w:val="FFFFFF"/>
              </w:rPr>
              <w:t>replicate this</w:t>
            </w:r>
          </w:p>
        </w:tc>
        <w:tc>
          <w:tcPr>
            <w:tcW w:w="1760" w:type="dxa"/>
            <w:vAlign w:val="bottom"/>
          </w:tcPr>
          <w:p>
            <w:pPr>
              <w:ind w:left="180"/>
              <w:spacing w:after="0"/>
              <w:rPr>
                <w:sz w:val="20"/>
                <w:szCs w:val="20"/>
                <w:color w:val="auto"/>
              </w:rPr>
            </w:pPr>
            <w:r>
              <w:rPr>
                <w:rFonts w:ascii="Arial" w:cs="Arial" w:eastAsia="Arial" w:hAnsi="Arial"/>
                <w:sz w:val="20"/>
                <w:szCs w:val="20"/>
                <w:color w:val="FFFFFF"/>
              </w:rPr>
              <w:t>market and</w:t>
            </w:r>
          </w:p>
        </w:tc>
      </w:tr>
      <w:tr>
        <w:trPr>
          <w:trHeight w:val="230"/>
        </w:trPr>
        <w:tc>
          <w:tcPr>
            <w:tcW w:w="1700" w:type="dxa"/>
            <w:vAlign w:val="bottom"/>
          </w:tcPr>
          <w:p>
            <w:pPr>
              <w:spacing w:after="0"/>
              <w:rPr>
                <w:sz w:val="20"/>
                <w:szCs w:val="20"/>
                <w:color w:val="auto"/>
              </w:rPr>
            </w:pPr>
            <w:r>
              <w:rPr>
                <w:rFonts w:ascii="Arial" w:cs="Arial" w:eastAsia="Arial" w:hAnsi="Arial"/>
                <w:sz w:val="20"/>
                <w:szCs w:val="20"/>
                <w:color w:val="FFFFFF"/>
              </w:rPr>
              <w:t>and broadening</w:t>
            </w:r>
          </w:p>
        </w:tc>
        <w:tc>
          <w:tcPr>
            <w:tcW w:w="1980" w:type="dxa"/>
            <w:vAlign w:val="bottom"/>
          </w:tcPr>
          <w:p>
            <w:pPr>
              <w:spacing w:after="0"/>
              <w:rPr>
                <w:sz w:val="19"/>
                <w:szCs w:val="19"/>
                <w:color w:val="auto"/>
              </w:rPr>
            </w:pPr>
          </w:p>
        </w:tc>
        <w:tc>
          <w:tcPr>
            <w:tcW w:w="2040" w:type="dxa"/>
            <w:vAlign w:val="bottom"/>
          </w:tcPr>
          <w:p>
            <w:pPr>
              <w:ind w:left="160"/>
              <w:spacing w:after="0"/>
              <w:rPr>
                <w:sz w:val="20"/>
                <w:szCs w:val="20"/>
                <w:color w:val="auto"/>
              </w:rPr>
            </w:pPr>
            <w:r>
              <w:rPr>
                <w:rFonts w:ascii="Arial" w:cs="Arial" w:eastAsia="Arial" w:hAnsi="Arial"/>
                <w:sz w:val="20"/>
                <w:szCs w:val="20"/>
                <w:color w:val="FFFFFF"/>
              </w:rPr>
              <w:t>around the world.</w:t>
            </w:r>
          </w:p>
        </w:tc>
        <w:tc>
          <w:tcPr>
            <w:tcW w:w="1760" w:type="dxa"/>
            <w:vAlign w:val="bottom"/>
          </w:tcPr>
          <w:p>
            <w:pPr>
              <w:ind w:left="180"/>
              <w:spacing w:after="0"/>
              <w:rPr>
                <w:sz w:val="20"/>
                <w:szCs w:val="20"/>
                <w:color w:val="auto"/>
              </w:rPr>
            </w:pPr>
            <w:r>
              <w:rPr>
                <w:rFonts w:ascii="Arial" w:cs="Arial" w:eastAsia="Arial" w:hAnsi="Arial"/>
                <w:sz w:val="20"/>
                <w:szCs w:val="20"/>
                <w:color w:val="FFFFFF"/>
                <w:w w:val="98"/>
              </w:rPr>
              <w:t>contributing to the</w:t>
            </w:r>
          </w:p>
        </w:tc>
      </w:tr>
      <w:tr>
        <w:trPr>
          <w:trHeight w:val="230"/>
        </w:trPr>
        <w:tc>
          <w:tcPr>
            <w:tcW w:w="1700" w:type="dxa"/>
            <w:vAlign w:val="bottom"/>
          </w:tcPr>
          <w:p>
            <w:pPr>
              <w:spacing w:after="0"/>
              <w:rPr>
                <w:sz w:val="20"/>
                <w:szCs w:val="20"/>
                <w:color w:val="auto"/>
              </w:rPr>
            </w:pPr>
            <w:r>
              <w:rPr>
                <w:rFonts w:ascii="Arial" w:cs="Arial" w:eastAsia="Arial" w:hAnsi="Arial"/>
                <w:sz w:val="20"/>
                <w:szCs w:val="20"/>
                <w:color w:val="FFFFFF"/>
              </w:rPr>
              <w:t>our mutually-</w:t>
            </w:r>
          </w:p>
        </w:tc>
        <w:tc>
          <w:tcPr>
            <w:tcW w:w="1980" w:type="dxa"/>
            <w:vAlign w:val="bottom"/>
          </w:tcPr>
          <w:p>
            <w:pPr>
              <w:spacing w:after="0"/>
              <w:rPr>
                <w:sz w:val="19"/>
                <w:szCs w:val="19"/>
                <w:color w:val="auto"/>
              </w:rPr>
            </w:pPr>
          </w:p>
        </w:tc>
        <w:tc>
          <w:tcPr>
            <w:tcW w:w="2040" w:type="dxa"/>
            <w:vAlign w:val="bottom"/>
          </w:tcPr>
          <w:p>
            <w:pPr>
              <w:ind w:left="160"/>
              <w:spacing w:after="0"/>
              <w:rPr>
                <w:sz w:val="20"/>
                <w:szCs w:val="20"/>
                <w:color w:val="auto"/>
              </w:rPr>
            </w:pPr>
            <w:r>
              <w:rPr>
                <w:rFonts w:ascii="Arial" w:cs="Arial" w:eastAsia="Arial" w:hAnsi="Arial"/>
                <w:sz w:val="20"/>
                <w:szCs w:val="20"/>
                <w:color w:val="FFFFFF"/>
              </w:rPr>
              <w:t>Our role is to</w:t>
            </w:r>
          </w:p>
        </w:tc>
        <w:tc>
          <w:tcPr>
            <w:tcW w:w="1760" w:type="dxa"/>
            <w:vAlign w:val="bottom"/>
          </w:tcPr>
          <w:p>
            <w:pPr>
              <w:ind w:left="180"/>
              <w:spacing w:after="0"/>
              <w:rPr>
                <w:sz w:val="20"/>
                <w:szCs w:val="20"/>
                <w:color w:val="auto"/>
              </w:rPr>
            </w:pPr>
            <w:r>
              <w:rPr>
                <w:rFonts w:ascii="Arial" w:cs="Arial" w:eastAsia="Arial" w:hAnsi="Arial"/>
                <w:sz w:val="20"/>
                <w:szCs w:val="20"/>
                <w:color w:val="FFFFFF"/>
              </w:rPr>
              <w:t>design of social</w:t>
            </w:r>
          </w:p>
        </w:tc>
      </w:tr>
      <w:tr>
        <w:trPr>
          <w:trHeight w:val="230"/>
        </w:trPr>
        <w:tc>
          <w:tcPr>
            <w:tcW w:w="1700" w:type="dxa"/>
            <w:vAlign w:val="bottom"/>
          </w:tcPr>
          <w:p>
            <w:pPr>
              <w:spacing w:after="0"/>
              <w:rPr>
                <w:sz w:val="20"/>
                <w:szCs w:val="20"/>
                <w:color w:val="auto"/>
              </w:rPr>
            </w:pPr>
            <w:r>
              <w:rPr>
                <w:rFonts w:ascii="Arial" w:cs="Arial" w:eastAsia="Arial" w:hAnsi="Arial"/>
                <w:sz w:val="20"/>
                <w:szCs w:val="20"/>
                <w:color w:val="FFFFFF"/>
              </w:rPr>
              <w:t>beneficial</w:t>
            </w:r>
          </w:p>
        </w:tc>
        <w:tc>
          <w:tcPr>
            <w:tcW w:w="1980" w:type="dxa"/>
            <w:vAlign w:val="bottom"/>
          </w:tcPr>
          <w:p>
            <w:pPr>
              <w:spacing w:after="0"/>
              <w:rPr>
                <w:sz w:val="19"/>
                <w:szCs w:val="19"/>
                <w:color w:val="auto"/>
              </w:rPr>
            </w:pPr>
          </w:p>
        </w:tc>
        <w:tc>
          <w:tcPr>
            <w:tcW w:w="2040" w:type="dxa"/>
            <w:vAlign w:val="bottom"/>
          </w:tcPr>
          <w:p>
            <w:pPr>
              <w:ind w:left="160"/>
              <w:spacing w:after="0"/>
              <w:rPr>
                <w:sz w:val="20"/>
                <w:szCs w:val="20"/>
                <w:color w:val="auto"/>
              </w:rPr>
            </w:pPr>
            <w:r>
              <w:rPr>
                <w:rFonts w:ascii="Arial" w:cs="Arial" w:eastAsia="Arial" w:hAnsi="Arial"/>
                <w:sz w:val="20"/>
                <w:szCs w:val="20"/>
                <w:color w:val="FFFFFF"/>
              </w:rPr>
              <w:t>develop and</w:t>
            </w:r>
          </w:p>
        </w:tc>
        <w:tc>
          <w:tcPr>
            <w:tcW w:w="1760" w:type="dxa"/>
            <w:vAlign w:val="bottom"/>
          </w:tcPr>
          <w:p>
            <w:pPr>
              <w:ind w:left="180"/>
              <w:spacing w:after="0"/>
              <w:rPr>
                <w:sz w:val="20"/>
                <w:szCs w:val="20"/>
                <w:color w:val="auto"/>
              </w:rPr>
            </w:pPr>
            <w:r>
              <w:rPr>
                <w:rFonts w:ascii="Arial" w:cs="Arial" w:eastAsia="Arial" w:hAnsi="Arial"/>
                <w:sz w:val="20"/>
                <w:szCs w:val="20"/>
                <w:color w:val="FFFFFF"/>
              </w:rPr>
              <w:t>and employment</w:t>
            </w:r>
          </w:p>
        </w:tc>
      </w:tr>
      <w:tr>
        <w:trPr>
          <w:trHeight w:val="230"/>
        </w:trPr>
        <w:tc>
          <w:tcPr>
            <w:tcW w:w="1700" w:type="dxa"/>
            <w:vAlign w:val="bottom"/>
          </w:tcPr>
          <w:p>
            <w:pPr>
              <w:spacing w:after="0"/>
              <w:rPr>
                <w:sz w:val="20"/>
                <w:szCs w:val="20"/>
                <w:color w:val="auto"/>
              </w:rPr>
            </w:pPr>
            <w:r>
              <w:rPr>
                <w:rFonts w:ascii="Arial" w:cs="Arial" w:eastAsia="Arial" w:hAnsi="Arial"/>
                <w:sz w:val="20"/>
                <w:szCs w:val="20"/>
                <w:color w:val="FFFFFF"/>
              </w:rPr>
              <w:t>relationships and</w:t>
            </w:r>
          </w:p>
        </w:tc>
        <w:tc>
          <w:tcPr>
            <w:tcW w:w="1980" w:type="dxa"/>
            <w:vAlign w:val="bottom"/>
          </w:tcPr>
          <w:p>
            <w:pPr>
              <w:spacing w:after="0"/>
              <w:rPr>
                <w:sz w:val="19"/>
                <w:szCs w:val="19"/>
                <w:color w:val="auto"/>
              </w:rPr>
            </w:pPr>
          </w:p>
        </w:tc>
        <w:tc>
          <w:tcPr>
            <w:tcW w:w="2040" w:type="dxa"/>
            <w:vAlign w:val="bottom"/>
          </w:tcPr>
          <w:p>
            <w:pPr>
              <w:ind w:left="160"/>
              <w:spacing w:after="0"/>
              <w:rPr>
                <w:sz w:val="20"/>
                <w:szCs w:val="20"/>
                <w:color w:val="auto"/>
              </w:rPr>
            </w:pPr>
            <w:r>
              <w:rPr>
                <w:rFonts w:ascii="Arial" w:cs="Arial" w:eastAsia="Arial" w:hAnsi="Arial"/>
                <w:sz w:val="20"/>
                <w:szCs w:val="20"/>
                <w:color w:val="FFFFFF"/>
              </w:rPr>
              <w:t>expand our</w:t>
            </w:r>
          </w:p>
        </w:tc>
        <w:tc>
          <w:tcPr>
            <w:tcW w:w="1760" w:type="dxa"/>
            <w:vAlign w:val="bottom"/>
          </w:tcPr>
          <w:p>
            <w:pPr>
              <w:ind w:left="180"/>
              <w:spacing w:after="0"/>
              <w:rPr>
                <w:sz w:val="20"/>
                <w:szCs w:val="20"/>
                <w:color w:val="auto"/>
              </w:rPr>
            </w:pPr>
            <w:r>
              <w:rPr>
                <w:rFonts w:ascii="Arial" w:cs="Arial" w:eastAsia="Arial" w:hAnsi="Arial"/>
                <w:sz w:val="20"/>
                <w:szCs w:val="20"/>
                <w:color w:val="FFFFFF"/>
              </w:rPr>
              <w:t>systems on a</w:t>
            </w:r>
          </w:p>
        </w:tc>
      </w:tr>
      <w:tr>
        <w:trPr>
          <w:trHeight w:val="230"/>
        </w:trPr>
        <w:tc>
          <w:tcPr>
            <w:tcW w:w="1700" w:type="dxa"/>
            <w:vAlign w:val="bottom"/>
          </w:tcPr>
          <w:p>
            <w:pPr>
              <w:spacing w:after="0"/>
              <w:rPr>
                <w:sz w:val="20"/>
                <w:szCs w:val="20"/>
                <w:color w:val="auto"/>
              </w:rPr>
            </w:pPr>
            <w:r>
              <w:rPr>
                <w:rFonts w:ascii="Arial" w:cs="Arial" w:eastAsia="Arial" w:hAnsi="Arial"/>
                <w:sz w:val="20"/>
                <w:szCs w:val="20"/>
                <w:color w:val="FFFFFF"/>
              </w:rPr>
              <w:t>measuring our</w:t>
            </w:r>
          </w:p>
        </w:tc>
        <w:tc>
          <w:tcPr>
            <w:tcW w:w="1980" w:type="dxa"/>
            <w:vAlign w:val="bottom"/>
          </w:tcPr>
          <w:p>
            <w:pPr>
              <w:spacing w:after="0"/>
              <w:rPr>
                <w:sz w:val="19"/>
                <w:szCs w:val="19"/>
                <w:color w:val="auto"/>
              </w:rPr>
            </w:pPr>
          </w:p>
        </w:tc>
        <w:tc>
          <w:tcPr>
            <w:tcW w:w="2040" w:type="dxa"/>
            <w:vAlign w:val="bottom"/>
          </w:tcPr>
          <w:p>
            <w:pPr>
              <w:ind w:left="160"/>
              <w:spacing w:after="0"/>
              <w:rPr>
                <w:sz w:val="20"/>
                <w:szCs w:val="20"/>
                <w:color w:val="auto"/>
              </w:rPr>
            </w:pPr>
            <w:r>
              <w:rPr>
                <w:rFonts w:ascii="Arial" w:cs="Arial" w:eastAsia="Arial" w:hAnsi="Arial"/>
                <w:sz w:val="20"/>
                <w:szCs w:val="20"/>
                <w:color w:val="FFFFFF"/>
              </w:rPr>
              <w:t>capabilities, while</w:t>
            </w:r>
          </w:p>
        </w:tc>
        <w:tc>
          <w:tcPr>
            <w:tcW w:w="1760" w:type="dxa"/>
            <w:vAlign w:val="bottom"/>
          </w:tcPr>
          <w:p>
            <w:pPr>
              <w:ind w:left="180"/>
              <w:spacing w:after="0"/>
              <w:rPr>
                <w:sz w:val="20"/>
                <w:szCs w:val="20"/>
                <w:color w:val="auto"/>
              </w:rPr>
            </w:pPr>
            <w:r>
              <w:rPr>
                <w:rFonts w:ascii="Arial" w:cs="Arial" w:eastAsia="Arial" w:hAnsi="Arial"/>
                <w:sz w:val="20"/>
                <w:szCs w:val="20"/>
                <w:color w:val="FFFFFF"/>
              </w:rPr>
              <w:t>global basis.</w:t>
            </w:r>
          </w:p>
        </w:tc>
      </w:tr>
      <w:tr>
        <w:trPr>
          <w:trHeight w:val="222"/>
        </w:trPr>
        <w:tc>
          <w:tcPr>
            <w:tcW w:w="1700" w:type="dxa"/>
            <w:vAlign w:val="bottom"/>
          </w:tcPr>
          <w:p>
            <w:pPr>
              <w:spacing w:after="0" w:line="222" w:lineRule="exact"/>
              <w:rPr>
                <w:sz w:val="20"/>
                <w:szCs w:val="20"/>
                <w:color w:val="auto"/>
              </w:rPr>
            </w:pPr>
            <w:r>
              <w:rPr>
                <w:rFonts w:ascii="Arial" w:cs="Arial" w:eastAsia="Arial" w:hAnsi="Arial"/>
                <w:sz w:val="20"/>
                <w:szCs w:val="20"/>
                <w:color w:val="FFFFFF"/>
              </w:rPr>
              <w:t>contribution to</w:t>
            </w:r>
          </w:p>
        </w:tc>
        <w:tc>
          <w:tcPr>
            <w:tcW w:w="1980" w:type="dxa"/>
            <w:vAlign w:val="bottom"/>
          </w:tcPr>
          <w:p>
            <w:pPr>
              <w:spacing w:after="0"/>
              <w:rPr>
                <w:sz w:val="19"/>
                <w:szCs w:val="19"/>
                <w:color w:val="auto"/>
              </w:rPr>
            </w:pPr>
          </w:p>
        </w:tc>
        <w:tc>
          <w:tcPr>
            <w:tcW w:w="2040" w:type="dxa"/>
            <w:vAlign w:val="bottom"/>
          </w:tcPr>
          <w:p>
            <w:pPr>
              <w:ind w:left="160"/>
              <w:spacing w:after="0" w:line="222" w:lineRule="exact"/>
              <w:rPr>
                <w:sz w:val="20"/>
                <w:szCs w:val="20"/>
                <w:color w:val="auto"/>
              </w:rPr>
            </w:pPr>
            <w:r>
              <w:rPr>
                <w:rFonts w:ascii="Arial" w:cs="Arial" w:eastAsia="Arial" w:hAnsi="Arial"/>
                <w:sz w:val="20"/>
                <w:szCs w:val="20"/>
                <w:color w:val="FFFFFF"/>
              </w:rPr>
              <w:t>creating services</w:t>
            </w:r>
          </w:p>
        </w:tc>
        <w:tc>
          <w:tcPr>
            <w:tcW w:w="176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20"/>
                <w:szCs w:val="20"/>
                <w:color w:val="FFFFFF"/>
              </w:rPr>
              <w:t>our clients’</w:t>
            </w:r>
          </w:p>
        </w:tc>
        <w:tc>
          <w:tcPr>
            <w:tcW w:w="1980" w:type="dxa"/>
            <w:vAlign w:val="bottom"/>
          </w:tcPr>
          <w:p>
            <w:pPr>
              <w:spacing w:after="0"/>
              <w:rPr>
                <w:sz w:val="19"/>
                <w:szCs w:val="19"/>
                <w:color w:val="auto"/>
              </w:rPr>
            </w:pPr>
          </w:p>
        </w:tc>
        <w:tc>
          <w:tcPr>
            <w:tcW w:w="2040" w:type="dxa"/>
            <w:vAlign w:val="bottom"/>
          </w:tcPr>
          <w:p>
            <w:pPr>
              <w:ind w:left="160"/>
              <w:spacing w:after="0"/>
              <w:rPr>
                <w:sz w:val="20"/>
                <w:szCs w:val="20"/>
                <w:color w:val="auto"/>
              </w:rPr>
            </w:pPr>
            <w:r>
              <w:rPr>
                <w:rFonts w:ascii="Arial" w:cs="Arial" w:eastAsia="Arial" w:hAnsi="Arial"/>
                <w:sz w:val="20"/>
                <w:szCs w:val="20"/>
                <w:color w:val="FFFFFF"/>
              </w:rPr>
              <w:t>targeted to what’s</w:t>
            </w:r>
          </w:p>
        </w:tc>
        <w:tc>
          <w:tcPr>
            <w:tcW w:w="176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20"/>
                <w:szCs w:val="20"/>
                <w:color w:val="FFFFFF"/>
              </w:rPr>
              <w:t>businesses.</w:t>
            </w:r>
          </w:p>
        </w:tc>
        <w:tc>
          <w:tcPr>
            <w:tcW w:w="1980" w:type="dxa"/>
            <w:vAlign w:val="bottom"/>
          </w:tcPr>
          <w:p>
            <w:pPr>
              <w:spacing w:after="0"/>
              <w:rPr>
                <w:sz w:val="19"/>
                <w:szCs w:val="19"/>
                <w:color w:val="auto"/>
              </w:rPr>
            </w:pPr>
          </w:p>
        </w:tc>
        <w:tc>
          <w:tcPr>
            <w:tcW w:w="2040" w:type="dxa"/>
            <w:vAlign w:val="bottom"/>
          </w:tcPr>
          <w:p>
            <w:pPr>
              <w:ind w:left="160"/>
              <w:spacing w:after="0"/>
              <w:rPr>
                <w:sz w:val="20"/>
                <w:szCs w:val="20"/>
                <w:color w:val="auto"/>
              </w:rPr>
            </w:pPr>
            <w:r>
              <w:rPr>
                <w:rFonts w:ascii="Arial" w:cs="Arial" w:eastAsia="Arial" w:hAnsi="Arial"/>
                <w:sz w:val="20"/>
                <w:szCs w:val="20"/>
                <w:color w:val="FFFFFF"/>
              </w:rPr>
              <w:t>new and what’s</w:t>
            </w:r>
          </w:p>
        </w:tc>
        <w:tc>
          <w:tcPr>
            <w:tcW w:w="176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40" w:type="dxa"/>
            <w:vAlign w:val="bottom"/>
          </w:tcPr>
          <w:p>
            <w:pPr>
              <w:ind w:left="160"/>
              <w:spacing w:after="0"/>
              <w:rPr>
                <w:sz w:val="20"/>
                <w:szCs w:val="20"/>
                <w:color w:val="auto"/>
              </w:rPr>
            </w:pPr>
            <w:r>
              <w:rPr>
                <w:rFonts w:ascii="Arial" w:cs="Arial" w:eastAsia="Arial" w:hAnsi="Arial"/>
                <w:sz w:val="20"/>
                <w:szCs w:val="20"/>
                <w:color w:val="FFFFFF"/>
              </w:rPr>
              <w:t>next in the world of</w:t>
            </w:r>
          </w:p>
        </w:tc>
        <w:tc>
          <w:tcPr>
            <w:tcW w:w="1760" w:type="dxa"/>
            <w:vAlign w:val="bottom"/>
          </w:tcPr>
          <w:p>
            <w:pPr>
              <w:spacing w:after="0"/>
              <w:rPr>
                <w:sz w:val="19"/>
                <w:szCs w:val="19"/>
                <w:color w:val="auto"/>
              </w:rPr>
            </w:pPr>
          </w:p>
        </w:tc>
      </w:tr>
      <w:tr>
        <w:trPr>
          <w:trHeight w:val="240"/>
        </w:trPr>
        <w:tc>
          <w:tcPr>
            <w:tcW w:w="1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40" w:type="dxa"/>
            <w:vAlign w:val="bottom"/>
          </w:tcPr>
          <w:p>
            <w:pPr>
              <w:ind w:left="160"/>
              <w:spacing w:after="0"/>
              <w:rPr>
                <w:sz w:val="20"/>
                <w:szCs w:val="20"/>
                <w:color w:val="auto"/>
              </w:rPr>
            </w:pPr>
            <w:r>
              <w:rPr>
                <w:rFonts w:ascii="Arial" w:cs="Arial" w:eastAsia="Arial" w:hAnsi="Arial"/>
                <w:sz w:val="20"/>
                <w:szCs w:val="20"/>
                <w:color w:val="FFFFFF"/>
              </w:rPr>
              <w:t>work.</w:t>
            </w:r>
          </w:p>
        </w:tc>
        <w:tc>
          <w:tcPr>
            <w:tcW w:w="1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988060</wp:posOffset>
            </wp:positionV>
            <wp:extent cx="727265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00"/>
        <w:spacing w:after="0" w:line="244" w:lineRule="auto"/>
        <w:rPr>
          <w:sz w:val="20"/>
          <w:szCs w:val="20"/>
          <w:color w:val="auto"/>
        </w:rPr>
      </w:pPr>
      <w:r>
        <w:rPr>
          <w:rFonts w:ascii="Arial" w:cs="Arial" w:eastAsia="Arial" w:hAnsi="Arial"/>
          <w:sz w:val="17"/>
          <w:szCs w:val="17"/>
          <w:color w:val="FFFFFF"/>
        </w:rPr>
        <w:t>February 7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right="180" w:hanging="67"/>
        <w:spacing w:after="0" w:line="326" w:lineRule="auto"/>
        <w:rPr>
          <w:sz w:val="20"/>
          <w:szCs w:val="20"/>
          <w:color w:val="auto"/>
        </w:rPr>
      </w:pPr>
      <w:r>
        <w:rPr>
          <w:rFonts w:ascii="Arial" w:cs="Arial" w:eastAsia="Arial" w:hAnsi="Arial"/>
          <w:sz w:val="23"/>
          <w:szCs w:val="23"/>
          <w:b w:val="1"/>
          <w:bCs w:val="1"/>
          <w:color w:val="D47C18"/>
        </w:rPr>
        <w:t>Organization and Culture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FFFFFF"/>
        </w:rPr>
        <w:t>Evolving our</w:t>
      </w:r>
    </w:p>
    <w:p>
      <w:pPr>
        <w:ind w:right="260"/>
        <w:spacing w:after="0" w:line="263" w:lineRule="auto"/>
        <w:rPr>
          <w:sz w:val="20"/>
          <w:szCs w:val="20"/>
          <w:color w:val="auto"/>
        </w:rPr>
      </w:pPr>
      <w:r>
        <w:rPr>
          <w:rFonts w:ascii="Arial" w:cs="Arial" w:eastAsia="Arial" w:hAnsi="Arial"/>
          <w:sz w:val="23"/>
          <w:szCs w:val="23"/>
          <w:b w:val="1"/>
          <w:bCs w:val="1"/>
          <w:color w:val="FFFFFF"/>
        </w:rPr>
        <w:t xml:space="preserve">organization </w:t>
      </w:r>
      <w:r>
        <w:rPr>
          <w:rFonts w:ascii="Arial" w:cs="Arial" w:eastAsia="Arial" w:hAnsi="Arial"/>
          <w:sz w:val="18"/>
          <w:szCs w:val="18"/>
          <w:b w:val="1"/>
          <w:bCs w:val="1"/>
          <w:color w:val="FFFFFF"/>
        </w:rPr>
        <w:t xml:space="preserve">and </w:t>
      </w:r>
      <w:r>
        <w:rPr>
          <w:rFonts w:ascii="Arial" w:cs="Arial" w:eastAsia="Arial" w:hAnsi="Arial"/>
          <w:sz w:val="23"/>
          <w:szCs w:val="23"/>
          <w:b w:val="1"/>
          <w:bCs w:val="1"/>
          <w:color w:val="FFFFFF"/>
        </w:rPr>
        <w:t>culture</w:t>
      </w:r>
    </w:p>
    <w:p>
      <w:pPr>
        <w:spacing w:after="0" w:line="2"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color w:val="FFFFFF"/>
        </w:rPr>
        <w:t>requires attracting and</w:t>
      </w:r>
    </w:p>
    <w:p>
      <w:pPr>
        <w:spacing w:after="0" w:line="2" w:lineRule="exact"/>
        <w:rPr>
          <w:sz w:val="20"/>
          <w:szCs w:val="20"/>
          <w:color w:val="auto"/>
        </w:rPr>
      </w:pPr>
    </w:p>
    <w:p>
      <w:pPr>
        <w:ind w:right="200"/>
        <w:spacing w:after="0" w:line="264" w:lineRule="auto"/>
        <w:rPr>
          <w:sz w:val="20"/>
          <w:szCs w:val="20"/>
          <w:color w:val="auto"/>
        </w:rPr>
      </w:pPr>
      <w:r>
        <w:rPr>
          <w:rFonts w:ascii="Arial" w:cs="Arial" w:eastAsia="Arial" w:hAnsi="Arial"/>
          <w:sz w:val="19"/>
          <w:szCs w:val="19"/>
          <w:color w:val="FFFFFF"/>
        </w:rPr>
        <w:t>retaining high quality people for the long term.</w:t>
      </w:r>
    </w:p>
    <w:p>
      <w:pPr>
        <w:spacing w:after="0" w:line="118" w:lineRule="exact"/>
        <w:rPr>
          <w:sz w:val="20"/>
          <w:szCs w:val="20"/>
          <w:color w:val="auto"/>
        </w:rPr>
      </w:pPr>
    </w:p>
    <w:p>
      <w:pPr>
        <w:ind w:right="140"/>
        <w:spacing w:after="0" w:line="255" w:lineRule="auto"/>
        <w:rPr>
          <w:sz w:val="20"/>
          <w:szCs w:val="20"/>
          <w:color w:val="auto"/>
        </w:rPr>
      </w:pPr>
      <w:r>
        <w:rPr>
          <w:rFonts w:ascii="Arial" w:cs="Arial" w:eastAsia="Arial" w:hAnsi="Arial"/>
          <w:sz w:val="19"/>
          <w:szCs w:val="19"/>
          <w:color w:val="FFFFFF"/>
        </w:rPr>
        <w:t>It also requires creating an environment that promotes entrepreneurship, rewards high performance, and motivates us to reach our full potential.</w:t>
      </w:r>
    </w:p>
    <w:p>
      <w:pPr>
        <w:sectPr>
          <w:pgSz w:w="11900" w:h="16838" w:orient="portrait"/>
          <w:cols w:equalWidth="0" w:num="2">
            <w:col w:w="7520" w:space="420"/>
            <w:col w:w="1700"/>
          </w:cols>
          <w:pgMar w:left="1240" w:top="474" w:right="1019" w:bottom="1440" w:gutter="0" w:footer="0" w:header="0"/>
        </w:sectPr>
      </w:pPr>
    </w:p>
    <w:bookmarkStart w:id="7" w:name="page8"/>
    <w:bookmarkEnd w:id="7"/>
    <w:tbl>
      <w:tblPr>
        <w:tblLayout w:type="fixed"/>
        <w:tblInd w:w="110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6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400" w:type="dxa"/>
            <w:vAlign w:val="bottom"/>
          </w:tcPr>
          <w:p>
            <w:pPr>
              <w:jc w:val="right"/>
              <w:spacing w:after="0"/>
              <w:rPr>
                <w:sz w:val="20"/>
                <w:szCs w:val="20"/>
                <w:color w:val="auto"/>
              </w:rPr>
            </w:pPr>
            <w:r>
              <w:rPr>
                <w:rFonts w:ascii="Arial" w:cs="Arial" w:eastAsia="Arial" w:hAnsi="Arial"/>
                <w:sz w:val="17"/>
                <w:szCs w:val="17"/>
                <w:color w:val="FFFFFF"/>
              </w:rPr>
              <w:t>8</w:t>
            </w:r>
          </w:p>
        </w:tc>
      </w:tr>
      <w:tr>
        <w:trPr>
          <w:trHeight w:val="202"/>
        </w:trPr>
        <w:tc>
          <w:tcPr>
            <w:tcW w:w="4960" w:type="dxa"/>
            <w:vAlign w:val="bottom"/>
          </w:tcPr>
          <w:p>
            <w:pPr>
              <w:spacing w:after="0"/>
              <w:rPr>
                <w:sz w:val="17"/>
                <w:szCs w:val="17"/>
                <w:color w:val="auto"/>
              </w:rPr>
            </w:pPr>
          </w:p>
        </w:tc>
        <w:tc>
          <w:tcPr>
            <w:tcW w:w="3160" w:type="dxa"/>
            <w:vAlign w:val="bottom"/>
          </w:tcPr>
          <w:p>
            <w:pPr>
              <w:ind w:left="2160"/>
              <w:spacing w:after="0"/>
              <w:rPr>
                <w:sz w:val="20"/>
                <w:szCs w:val="20"/>
                <w:color w:val="auto"/>
              </w:rPr>
            </w:pPr>
            <w:r>
              <w:rPr>
                <w:rFonts w:ascii="Arial" w:cs="Arial" w:eastAsia="Arial" w:hAnsi="Arial"/>
                <w:sz w:val="17"/>
                <w:szCs w:val="17"/>
                <w:color w:val="FFFFFF"/>
              </w:rPr>
              <w:t>2010</w:t>
            </w:r>
          </w:p>
        </w:tc>
        <w:tc>
          <w:tcPr>
            <w:tcW w:w="400" w:type="dxa"/>
            <w:vAlign w:val="bottom"/>
          </w:tcPr>
          <w:p>
            <w:pPr>
              <w:spacing w:after="0"/>
              <w:rPr>
                <w:sz w:val="17"/>
                <w:szCs w:val="17"/>
                <w:color w:val="auto"/>
              </w:rPr>
            </w:pPr>
          </w:p>
        </w:tc>
      </w:tr>
    </w:tbl>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spacing w:after="0"/>
        <w:rPr>
          <w:sz w:val="20"/>
          <w:szCs w:val="20"/>
          <w:color w:val="auto"/>
        </w:rPr>
      </w:pPr>
      <w:r>
        <w:rPr>
          <w:rFonts w:ascii="Arial" w:cs="Arial" w:eastAsia="Arial" w:hAnsi="Arial"/>
          <w:sz w:val="46"/>
          <w:szCs w:val="46"/>
          <w:color w:val="5F81AA"/>
        </w:rPr>
        <w:t>2010 Global Strategic Priorities</w:t>
      </w:r>
    </w:p>
    <w:p>
      <w:pPr>
        <w:spacing w:after="0" w:line="276" w:lineRule="exact"/>
        <w:rPr>
          <w:sz w:val="20"/>
          <w:szCs w:val="20"/>
          <w:color w:val="auto"/>
        </w:rPr>
      </w:pPr>
    </w:p>
    <w:p>
      <w:pPr>
        <w:jc w:val="both"/>
        <w:ind w:left="340" w:right="540"/>
        <w:spacing w:after="0" w:line="289" w:lineRule="auto"/>
        <w:rPr>
          <w:sz w:val="20"/>
          <w:szCs w:val="20"/>
          <w:color w:val="auto"/>
        </w:rPr>
      </w:pPr>
      <w:r>
        <w:rPr>
          <w:rFonts w:ascii="Arial" w:cs="Arial" w:eastAsia="Arial" w:hAnsi="Arial"/>
          <w:sz w:val="23"/>
          <w:szCs w:val="23"/>
          <w:color w:val="auto"/>
        </w:rPr>
        <w:t>To achieve our vision, better service our clients and candidates, and differentiate ourselves from our competition, the Manpower group of companies will focus 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369"/>
        </w:trPr>
        <w:tc>
          <w:tcPr>
            <w:tcW w:w="3980" w:type="dxa"/>
            <w:vAlign w:val="bottom"/>
          </w:tcPr>
          <w:p>
            <w:pPr>
              <w:ind w:left="340"/>
              <w:spacing w:after="0"/>
              <w:rPr>
                <w:sz w:val="20"/>
                <w:szCs w:val="20"/>
                <w:color w:val="auto"/>
              </w:rPr>
            </w:pPr>
            <w:r>
              <w:rPr>
                <w:rFonts w:ascii="Arial" w:cs="Arial" w:eastAsia="Arial" w:hAnsi="Arial"/>
                <w:sz w:val="31"/>
                <w:szCs w:val="31"/>
                <w:color w:val="FFFFFF"/>
              </w:rPr>
              <w:t>Manpower Experience</w:t>
            </w:r>
          </w:p>
        </w:tc>
        <w:tc>
          <w:tcPr>
            <w:tcW w:w="720" w:type="dxa"/>
            <w:vAlign w:val="bottom"/>
          </w:tcPr>
          <w:p>
            <w:pPr>
              <w:spacing w:after="0"/>
              <w:rPr>
                <w:sz w:val="24"/>
                <w:szCs w:val="24"/>
                <w:color w:val="auto"/>
              </w:rPr>
            </w:pPr>
          </w:p>
        </w:tc>
        <w:tc>
          <w:tcPr>
            <w:tcW w:w="3320" w:type="dxa"/>
            <w:vAlign w:val="bottom"/>
          </w:tcPr>
          <w:p>
            <w:pPr>
              <w:ind w:left="120"/>
              <w:spacing w:after="0"/>
              <w:rPr>
                <w:sz w:val="20"/>
                <w:szCs w:val="20"/>
                <w:color w:val="auto"/>
              </w:rPr>
            </w:pPr>
            <w:r>
              <w:rPr>
                <w:rFonts w:ascii="Arial" w:cs="Arial" w:eastAsia="Arial" w:hAnsi="Arial"/>
                <w:sz w:val="31"/>
                <w:szCs w:val="31"/>
                <w:color w:val="FFFFFF"/>
                <w:w w:val="98"/>
              </w:rPr>
              <w:t>Manpower Professional</w:t>
            </w:r>
          </w:p>
        </w:tc>
        <w:tc>
          <w:tcPr>
            <w:tcW w:w="0" w:type="dxa"/>
            <w:vAlign w:val="bottom"/>
          </w:tcPr>
          <w:p>
            <w:pPr>
              <w:spacing w:after="0"/>
              <w:rPr>
                <w:sz w:val="1"/>
                <w:szCs w:val="1"/>
                <w:color w:val="auto"/>
              </w:rPr>
            </w:pPr>
          </w:p>
        </w:tc>
      </w:tr>
      <w:tr>
        <w:trPr>
          <w:trHeight w:val="378"/>
        </w:trPr>
        <w:tc>
          <w:tcPr>
            <w:tcW w:w="3980" w:type="dxa"/>
            <w:vAlign w:val="bottom"/>
          </w:tcPr>
          <w:p>
            <w:pPr>
              <w:spacing w:after="0"/>
              <w:rPr>
                <w:sz w:val="20"/>
                <w:szCs w:val="20"/>
                <w:color w:val="auto"/>
              </w:rPr>
            </w:pPr>
            <w:r>
              <w:rPr>
                <w:rFonts w:ascii="Arial" w:cs="Arial" w:eastAsia="Arial" w:hAnsi="Arial"/>
                <w:sz w:val="23"/>
                <w:szCs w:val="23"/>
                <w:color w:val="FFFFFF"/>
              </w:rPr>
              <w:t>• Candidate Experience</w:t>
            </w:r>
          </w:p>
        </w:tc>
        <w:tc>
          <w:tcPr>
            <w:tcW w:w="720" w:type="dxa"/>
            <w:vAlign w:val="bottom"/>
          </w:tcPr>
          <w:p>
            <w:pPr>
              <w:ind w:left="580"/>
              <w:spacing w:after="0"/>
              <w:rPr>
                <w:sz w:val="20"/>
                <w:szCs w:val="20"/>
                <w:color w:val="auto"/>
              </w:rPr>
            </w:pPr>
            <w:r>
              <w:rPr>
                <w:rFonts w:ascii="Arial" w:cs="Arial" w:eastAsia="Arial" w:hAnsi="Arial"/>
                <w:sz w:val="23"/>
                <w:szCs w:val="23"/>
                <w:color w:val="FFFFFF"/>
              </w:rPr>
              <w:t>•</w:t>
            </w:r>
          </w:p>
        </w:tc>
        <w:tc>
          <w:tcPr>
            <w:tcW w:w="3320" w:type="dxa"/>
            <w:vAlign w:val="bottom"/>
          </w:tcPr>
          <w:p>
            <w:pPr>
              <w:ind w:left="60"/>
              <w:spacing w:after="0"/>
              <w:rPr>
                <w:sz w:val="20"/>
                <w:szCs w:val="20"/>
                <w:color w:val="auto"/>
              </w:rPr>
            </w:pPr>
            <w:r>
              <w:rPr>
                <w:rFonts w:ascii="Arial" w:cs="Arial" w:eastAsia="Arial" w:hAnsi="Arial"/>
                <w:sz w:val="23"/>
                <w:szCs w:val="23"/>
                <w:color w:val="FFFFFF"/>
              </w:rPr>
              <w:t>ICT, Engineering, Finance and</w:t>
            </w:r>
          </w:p>
        </w:tc>
        <w:tc>
          <w:tcPr>
            <w:tcW w:w="0" w:type="dxa"/>
            <w:vAlign w:val="bottom"/>
          </w:tcPr>
          <w:p>
            <w:pPr>
              <w:spacing w:after="0"/>
              <w:rPr>
                <w:sz w:val="1"/>
                <w:szCs w:val="1"/>
                <w:color w:val="auto"/>
              </w:rPr>
            </w:pPr>
          </w:p>
        </w:tc>
      </w:tr>
      <w:tr>
        <w:trPr>
          <w:trHeight w:val="276"/>
        </w:trPr>
        <w:tc>
          <w:tcPr>
            <w:tcW w:w="3980" w:type="dxa"/>
            <w:vAlign w:val="bottom"/>
            <w:vMerge w:val="restart"/>
          </w:tcPr>
          <w:p>
            <w:pPr>
              <w:spacing w:after="0"/>
              <w:rPr>
                <w:sz w:val="20"/>
                <w:szCs w:val="20"/>
                <w:color w:val="auto"/>
              </w:rPr>
            </w:pPr>
            <w:r>
              <w:rPr>
                <w:rFonts w:ascii="Arial" w:cs="Arial" w:eastAsia="Arial" w:hAnsi="Arial"/>
                <w:sz w:val="23"/>
                <w:szCs w:val="23"/>
                <w:color w:val="FFFFFF"/>
              </w:rPr>
              <w:t>• Client Experience</w:t>
            </w:r>
          </w:p>
        </w:tc>
        <w:tc>
          <w:tcPr>
            <w:tcW w:w="720" w:type="dxa"/>
            <w:vAlign w:val="bottom"/>
          </w:tcPr>
          <w:p>
            <w:pPr>
              <w:spacing w:after="0"/>
              <w:rPr>
                <w:sz w:val="23"/>
                <w:szCs w:val="23"/>
                <w:color w:val="auto"/>
              </w:rPr>
            </w:pPr>
          </w:p>
        </w:tc>
        <w:tc>
          <w:tcPr>
            <w:tcW w:w="3320" w:type="dxa"/>
            <w:vAlign w:val="bottom"/>
          </w:tcPr>
          <w:p>
            <w:pPr>
              <w:ind w:left="80"/>
              <w:spacing w:after="0"/>
              <w:rPr>
                <w:sz w:val="20"/>
                <w:szCs w:val="20"/>
                <w:color w:val="auto"/>
              </w:rPr>
            </w:pPr>
            <w:r>
              <w:rPr>
                <w:rFonts w:ascii="Arial" w:cs="Arial" w:eastAsia="Arial" w:hAnsi="Arial"/>
                <w:sz w:val="23"/>
                <w:szCs w:val="23"/>
                <w:color w:val="FFFFFF"/>
              </w:rPr>
              <w:t>Accounting</w:t>
            </w:r>
          </w:p>
        </w:tc>
        <w:tc>
          <w:tcPr>
            <w:tcW w:w="0" w:type="dxa"/>
            <w:vAlign w:val="bottom"/>
          </w:tcPr>
          <w:p>
            <w:pPr>
              <w:spacing w:after="0"/>
              <w:rPr>
                <w:sz w:val="1"/>
                <w:szCs w:val="1"/>
                <w:color w:val="auto"/>
              </w:rPr>
            </w:pPr>
          </w:p>
        </w:tc>
      </w:tr>
      <w:tr>
        <w:trPr>
          <w:trHeight w:val="115"/>
        </w:trPr>
        <w:tc>
          <w:tcPr>
            <w:tcW w:w="3980" w:type="dxa"/>
            <w:vAlign w:val="bottom"/>
            <w:vMerge w:val="continue"/>
          </w:tcPr>
          <w:p>
            <w:pPr>
              <w:spacing w:after="0"/>
              <w:rPr>
                <w:sz w:val="9"/>
                <w:szCs w:val="9"/>
                <w:color w:val="auto"/>
              </w:rPr>
            </w:pPr>
          </w:p>
        </w:tc>
        <w:tc>
          <w:tcPr>
            <w:tcW w:w="720" w:type="dxa"/>
            <w:vAlign w:val="bottom"/>
            <w:vMerge w:val="restart"/>
          </w:tcPr>
          <w:p>
            <w:pPr>
              <w:ind w:left="580"/>
              <w:spacing w:after="0"/>
              <w:rPr>
                <w:sz w:val="20"/>
                <w:szCs w:val="20"/>
                <w:color w:val="auto"/>
              </w:rPr>
            </w:pPr>
            <w:r>
              <w:rPr>
                <w:rFonts w:ascii="Arial" w:cs="Arial" w:eastAsia="Arial" w:hAnsi="Arial"/>
                <w:sz w:val="23"/>
                <w:szCs w:val="23"/>
                <w:color w:val="FFFFFF"/>
              </w:rPr>
              <w:t>•</w:t>
            </w:r>
          </w:p>
        </w:tc>
        <w:tc>
          <w:tcPr>
            <w:tcW w:w="3320" w:type="dxa"/>
            <w:vAlign w:val="bottom"/>
            <w:vMerge w:val="restart"/>
          </w:tcPr>
          <w:p>
            <w:pPr>
              <w:ind w:left="80"/>
              <w:spacing w:after="0"/>
              <w:rPr>
                <w:sz w:val="20"/>
                <w:szCs w:val="20"/>
                <w:color w:val="auto"/>
              </w:rPr>
            </w:pPr>
            <w:r>
              <w:rPr>
                <w:rFonts w:ascii="Arial" w:cs="Arial" w:eastAsia="Arial" w:hAnsi="Arial"/>
                <w:sz w:val="23"/>
                <w:szCs w:val="23"/>
                <w:color w:val="FFFFFF"/>
              </w:rPr>
              <w:t>Go-to-Market Strategy</w:t>
            </w:r>
          </w:p>
        </w:tc>
        <w:tc>
          <w:tcPr>
            <w:tcW w:w="0" w:type="dxa"/>
            <w:vAlign w:val="bottom"/>
          </w:tcPr>
          <w:p>
            <w:pPr>
              <w:spacing w:after="0"/>
              <w:rPr>
                <w:sz w:val="1"/>
                <w:szCs w:val="1"/>
                <w:color w:val="auto"/>
              </w:rPr>
            </w:pPr>
          </w:p>
        </w:tc>
      </w:tr>
      <w:tr>
        <w:trPr>
          <w:trHeight w:val="276"/>
        </w:trPr>
        <w:tc>
          <w:tcPr>
            <w:tcW w:w="398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3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02"/>
        </w:trPr>
        <w:tc>
          <w:tcPr>
            <w:tcW w:w="3980" w:type="dxa"/>
            <w:vAlign w:val="bottom"/>
          </w:tcPr>
          <w:p>
            <w:pPr>
              <w:spacing w:after="0"/>
              <w:rPr>
                <w:sz w:val="24"/>
                <w:szCs w:val="24"/>
                <w:color w:val="auto"/>
              </w:rPr>
            </w:pPr>
          </w:p>
        </w:tc>
        <w:tc>
          <w:tcPr>
            <w:tcW w:w="4040" w:type="dxa"/>
            <w:vAlign w:val="bottom"/>
            <w:gridSpan w:val="2"/>
          </w:tcPr>
          <w:p>
            <w:pPr>
              <w:ind w:left="580"/>
              <w:spacing w:after="0"/>
              <w:rPr>
                <w:sz w:val="20"/>
                <w:szCs w:val="20"/>
                <w:color w:val="auto"/>
              </w:rPr>
            </w:pPr>
            <w:r>
              <w:rPr>
                <w:rFonts w:ascii="Arial" w:cs="Arial" w:eastAsia="Arial" w:hAnsi="Arial"/>
                <w:sz w:val="23"/>
                <w:szCs w:val="23"/>
                <w:color w:val="FFFFFF"/>
              </w:rPr>
              <w:t>• Enhanced Business Model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tbl>
      <w:tblPr>
        <w:tblLayout w:type="fixed"/>
        <w:tblInd w:w="440" w:type="dxa"/>
        <w:tblCellMar>
          <w:top w:w="0" w:type="dxa"/>
          <w:left w:w="0" w:type="dxa"/>
          <w:bottom w:w="0" w:type="dxa"/>
          <w:right w:w="0" w:type="dxa"/>
        </w:tblCellMar>
      </w:tblPr>
      <w:tr>
        <w:trPr>
          <w:trHeight w:val="369"/>
        </w:trPr>
        <w:tc>
          <w:tcPr>
            <w:tcW w:w="140" w:type="dxa"/>
            <w:vAlign w:val="bottom"/>
          </w:tcPr>
          <w:p>
            <w:pPr>
              <w:spacing w:after="0"/>
              <w:rPr>
                <w:sz w:val="24"/>
                <w:szCs w:val="24"/>
                <w:color w:val="auto"/>
              </w:rPr>
            </w:pPr>
          </w:p>
        </w:tc>
        <w:tc>
          <w:tcPr>
            <w:tcW w:w="3600" w:type="dxa"/>
            <w:vAlign w:val="bottom"/>
          </w:tcPr>
          <w:p>
            <w:pPr>
              <w:ind w:left="700"/>
              <w:spacing w:after="0"/>
              <w:rPr>
                <w:sz w:val="20"/>
                <w:szCs w:val="20"/>
                <w:color w:val="auto"/>
              </w:rPr>
            </w:pPr>
            <w:r>
              <w:rPr>
                <w:rFonts w:ascii="Arial" w:cs="Arial" w:eastAsia="Arial" w:hAnsi="Arial"/>
                <w:sz w:val="31"/>
                <w:szCs w:val="31"/>
                <w:color w:val="FFFFFF"/>
              </w:rPr>
              <w:t>Digital Strategy</w:t>
            </w:r>
          </w:p>
        </w:tc>
        <w:tc>
          <w:tcPr>
            <w:tcW w:w="98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Arial" w:cs="Arial" w:eastAsia="Arial" w:hAnsi="Arial"/>
                <w:sz w:val="31"/>
                <w:szCs w:val="31"/>
                <w:color w:val="FFFFFF"/>
              </w:rPr>
              <w:t>New Services &amp; Sectors</w:t>
            </w:r>
          </w:p>
        </w:tc>
        <w:tc>
          <w:tcPr>
            <w:tcW w:w="0" w:type="dxa"/>
            <w:vAlign w:val="bottom"/>
          </w:tcPr>
          <w:p>
            <w:pPr>
              <w:spacing w:after="0"/>
              <w:rPr>
                <w:sz w:val="1"/>
                <w:szCs w:val="1"/>
                <w:color w:val="auto"/>
              </w:rPr>
            </w:pPr>
          </w:p>
        </w:tc>
      </w:tr>
      <w:tr>
        <w:trPr>
          <w:trHeight w:val="308"/>
        </w:trPr>
        <w:tc>
          <w:tcPr>
            <w:tcW w:w="3740" w:type="dxa"/>
            <w:vAlign w:val="bottom"/>
            <w:gridSpan w:val="2"/>
            <w:vMerge w:val="restart"/>
          </w:tcPr>
          <w:p>
            <w:pPr>
              <w:spacing w:after="0"/>
              <w:rPr>
                <w:sz w:val="20"/>
                <w:szCs w:val="20"/>
                <w:color w:val="auto"/>
              </w:rPr>
            </w:pPr>
            <w:r>
              <w:rPr>
                <w:rFonts w:ascii="Arial" w:cs="Arial" w:eastAsia="Arial" w:hAnsi="Arial"/>
                <w:sz w:val="23"/>
                <w:szCs w:val="23"/>
                <w:color w:val="FFFFFF"/>
              </w:rPr>
              <w:t>• MyPath</w:t>
            </w:r>
          </w:p>
        </w:tc>
        <w:tc>
          <w:tcPr>
            <w:tcW w:w="4760" w:type="dxa"/>
            <w:vAlign w:val="bottom"/>
            <w:gridSpan w:val="2"/>
          </w:tcPr>
          <w:p>
            <w:pPr>
              <w:ind w:left="840"/>
              <w:spacing w:after="0"/>
              <w:rPr>
                <w:sz w:val="20"/>
                <w:szCs w:val="20"/>
                <w:color w:val="auto"/>
              </w:rPr>
            </w:pPr>
            <w:r>
              <w:rPr>
                <w:rFonts w:ascii="Arial" w:cs="Arial" w:eastAsia="Arial" w:hAnsi="Arial"/>
                <w:sz w:val="23"/>
                <w:szCs w:val="23"/>
                <w:color w:val="FFFFFF"/>
              </w:rPr>
              <w:t>• Manpower Business Solutions</w:t>
            </w:r>
          </w:p>
        </w:tc>
        <w:tc>
          <w:tcPr>
            <w:tcW w:w="0" w:type="dxa"/>
            <w:vAlign w:val="bottom"/>
          </w:tcPr>
          <w:p>
            <w:pPr>
              <w:spacing w:after="0"/>
              <w:rPr>
                <w:sz w:val="1"/>
                <w:szCs w:val="1"/>
                <w:color w:val="auto"/>
              </w:rPr>
            </w:pPr>
          </w:p>
        </w:tc>
      </w:tr>
      <w:tr>
        <w:trPr>
          <w:trHeight w:val="105"/>
        </w:trPr>
        <w:tc>
          <w:tcPr>
            <w:tcW w:w="37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3780" w:type="dxa"/>
            <w:vAlign w:val="bottom"/>
            <w:vMerge w:val="restart"/>
          </w:tcPr>
          <w:p>
            <w:pPr>
              <w:ind w:left="400"/>
              <w:spacing w:after="0"/>
              <w:rPr>
                <w:sz w:val="20"/>
                <w:szCs w:val="20"/>
                <w:color w:val="auto"/>
              </w:rPr>
            </w:pPr>
            <w:r>
              <w:rPr>
                <w:rFonts w:ascii="Arial" w:cs="Arial" w:eastAsia="Arial" w:hAnsi="Arial"/>
                <w:sz w:val="18"/>
                <w:szCs w:val="18"/>
                <w:color w:val="FFFFFF"/>
              </w:rPr>
              <w:t xml:space="preserve">-RPO </w:t>
            </w:r>
            <w:r>
              <w:rPr>
                <w:rFonts w:ascii="Arial" w:cs="Arial" w:eastAsia="Arial" w:hAnsi="Arial"/>
                <w:sz w:val="18"/>
                <w:szCs w:val="18"/>
                <w:i w:val="1"/>
                <w:iCs w:val="1"/>
                <w:color w:val="FFFFFF"/>
              </w:rPr>
              <w:t>(Recruitment Process Outsourcing)</w:t>
            </w:r>
          </w:p>
        </w:tc>
        <w:tc>
          <w:tcPr>
            <w:tcW w:w="0" w:type="dxa"/>
            <w:vAlign w:val="bottom"/>
          </w:tcPr>
          <w:p>
            <w:pPr>
              <w:spacing w:after="0"/>
              <w:rPr>
                <w:sz w:val="1"/>
                <w:szCs w:val="1"/>
                <w:color w:val="auto"/>
              </w:rPr>
            </w:pPr>
          </w:p>
        </w:tc>
      </w:tr>
      <w:tr>
        <w:trPr>
          <w:trHeight w:val="113"/>
        </w:trPr>
        <w:tc>
          <w:tcPr>
            <w:tcW w:w="1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140" w:type="dxa"/>
            <w:vAlign w:val="bottom"/>
          </w:tcPr>
          <w:p>
            <w:pPr>
              <w:spacing w:after="0" w:line="219" w:lineRule="exact"/>
              <w:rPr>
                <w:sz w:val="20"/>
                <w:szCs w:val="20"/>
                <w:color w:val="auto"/>
              </w:rPr>
            </w:pPr>
            <w:r>
              <w:rPr>
                <w:rFonts w:ascii="Arial" w:cs="Arial" w:eastAsia="Arial" w:hAnsi="Arial"/>
                <w:sz w:val="23"/>
                <w:szCs w:val="23"/>
                <w:color w:val="FFFFFF"/>
              </w:rPr>
              <w:t>•</w:t>
            </w:r>
          </w:p>
        </w:tc>
        <w:tc>
          <w:tcPr>
            <w:tcW w:w="3600" w:type="dxa"/>
            <w:vAlign w:val="bottom"/>
          </w:tcPr>
          <w:p>
            <w:pPr>
              <w:ind w:left="60"/>
              <w:spacing w:after="0" w:line="219" w:lineRule="exact"/>
              <w:rPr>
                <w:sz w:val="20"/>
                <w:szCs w:val="20"/>
                <w:color w:val="auto"/>
              </w:rPr>
            </w:pPr>
            <w:r>
              <w:rPr>
                <w:rFonts w:ascii="Arial" w:cs="Arial" w:eastAsia="Arial" w:hAnsi="Arial"/>
                <w:sz w:val="23"/>
                <w:szCs w:val="23"/>
                <w:color w:val="FFFFFF"/>
              </w:rPr>
              <w:t>Direct Talent</w:t>
            </w:r>
          </w:p>
        </w:tc>
        <w:tc>
          <w:tcPr>
            <w:tcW w:w="980" w:type="dxa"/>
            <w:vAlign w:val="bottom"/>
          </w:tcPr>
          <w:p>
            <w:pPr>
              <w:spacing w:after="0"/>
              <w:rPr>
                <w:sz w:val="18"/>
                <w:szCs w:val="18"/>
                <w:color w:val="auto"/>
              </w:rPr>
            </w:pPr>
          </w:p>
        </w:tc>
        <w:tc>
          <w:tcPr>
            <w:tcW w:w="3780" w:type="dxa"/>
            <w:vAlign w:val="bottom"/>
          </w:tcPr>
          <w:p>
            <w:pPr>
              <w:ind w:left="400"/>
              <w:spacing w:after="0"/>
              <w:rPr>
                <w:sz w:val="20"/>
                <w:szCs w:val="20"/>
                <w:color w:val="auto"/>
              </w:rPr>
            </w:pPr>
            <w:r>
              <w:rPr>
                <w:rFonts w:ascii="Arial" w:cs="Arial" w:eastAsia="Arial" w:hAnsi="Arial"/>
                <w:sz w:val="18"/>
                <w:szCs w:val="18"/>
                <w:color w:val="FFFFFF"/>
              </w:rPr>
              <w:t xml:space="preserve">-MSP </w:t>
            </w:r>
            <w:r>
              <w:rPr>
                <w:rFonts w:ascii="Arial" w:cs="Arial" w:eastAsia="Arial" w:hAnsi="Arial"/>
                <w:sz w:val="18"/>
                <w:szCs w:val="18"/>
                <w:i w:val="1"/>
                <w:iCs w:val="1"/>
                <w:color w:val="FFFFFF"/>
              </w:rPr>
              <w:t>(Managed Service Programs)</w:t>
            </w:r>
          </w:p>
        </w:tc>
        <w:tc>
          <w:tcPr>
            <w:tcW w:w="0" w:type="dxa"/>
            <w:vAlign w:val="bottom"/>
          </w:tcPr>
          <w:p>
            <w:pPr>
              <w:spacing w:after="0"/>
              <w:rPr>
                <w:sz w:val="1"/>
                <w:szCs w:val="1"/>
                <w:color w:val="auto"/>
              </w:rPr>
            </w:pPr>
          </w:p>
        </w:tc>
      </w:tr>
      <w:tr>
        <w:trPr>
          <w:trHeight w:val="240"/>
        </w:trPr>
        <w:tc>
          <w:tcPr>
            <w:tcW w:w="140" w:type="dxa"/>
            <w:vAlign w:val="bottom"/>
            <w:vMerge w:val="restart"/>
          </w:tcPr>
          <w:p>
            <w:pPr>
              <w:spacing w:after="0"/>
              <w:rPr>
                <w:sz w:val="20"/>
                <w:szCs w:val="20"/>
                <w:color w:val="auto"/>
              </w:rPr>
            </w:pPr>
            <w:r>
              <w:rPr>
                <w:rFonts w:ascii="Arial" w:cs="Arial" w:eastAsia="Arial" w:hAnsi="Arial"/>
                <w:sz w:val="23"/>
                <w:szCs w:val="23"/>
                <w:color w:val="FFFFFF"/>
              </w:rPr>
              <w:t>•</w:t>
            </w:r>
          </w:p>
        </w:tc>
        <w:tc>
          <w:tcPr>
            <w:tcW w:w="3600" w:type="dxa"/>
            <w:vAlign w:val="bottom"/>
            <w:vMerge w:val="restart"/>
          </w:tcPr>
          <w:p>
            <w:pPr>
              <w:ind w:left="60"/>
              <w:spacing w:after="0"/>
              <w:rPr>
                <w:sz w:val="20"/>
                <w:szCs w:val="20"/>
                <w:color w:val="auto"/>
              </w:rPr>
            </w:pPr>
            <w:r>
              <w:rPr>
                <w:rFonts w:ascii="Arial" w:cs="Arial" w:eastAsia="Arial" w:hAnsi="Arial"/>
                <w:sz w:val="23"/>
                <w:szCs w:val="23"/>
                <w:color w:val="FFFFFF"/>
              </w:rPr>
              <w:t>Direct Office / Direct Time</w:t>
            </w:r>
          </w:p>
        </w:tc>
        <w:tc>
          <w:tcPr>
            <w:tcW w:w="980" w:type="dxa"/>
            <w:vAlign w:val="bottom"/>
          </w:tcPr>
          <w:p>
            <w:pPr>
              <w:spacing w:after="0"/>
              <w:rPr>
                <w:sz w:val="20"/>
                <w:szCs w:val="20"/>
                <w:color w:val="auto"/>
              </w:rPr>
            </w:pPr>
          </w:p>
        </w:tc>
        <w:tc>
          <w:tcPr>
            <w:tcW w:w="3780" w:type="dxa"/>
            <w:vAlign w:val="bottom"/>
          </w:tcPr>
          <w:p>
            <w:pPr>
              <w:ind w:left="400"/>
              <w:spacing w:after="0"/>
              <w:rPr>
                <w:sz w:val="20"/>
                <w:szCs w:val="20"/>
                <w:color w:val="auto"/>
              </w:rPr>
            </w:pPr>
            <w:r>
              <w:rPr>
                <w:rFonts w:ascii="Arial" w:cs="Arial" w:eastAsia="Arial" w:hAnsi="Arial"/>
                <w:sz w:val="18"/>
                <w:szCs w:val="18"/>
                <w:color w:val="FFFFFF"/>
              </w:rPr>
              <w:t xml:space="preserve">-TBO </w:t>
            </w:r>
            <w:r>
              <w:rPr>
                <w:rFonts w:ascii="Arial" w:cs="Arial" w:eastAsia="Arial" w:hAnsi="Arial"/>
                <w:sz w:val="18"/>
                <w:szCs w:val="18"/>
                <w:i w:val="1"/>
                <w:iCs w:val="1"/>
                <w:color w:val="FFFFFF"/>
              </w:rPr>
              <w:t>(Task Based Outsourcing)</w:t>
            </w:r>
          </w:p>
        </w:tc>
        <w:tc>
          <w:tcPr>
            <w:tcW w:w="0" w:type="dxa"/>
            <w:vAlign w:val="bottom"/>
          </w:tcPr>
          <w:p>
            <w:pPr>
              <w:spacing w:after="0"/>
              <w:rPr>
                <w:sz w:val="1"/>
                <w:szCs w:val="1"/>
                <w:color w:val="auto"/>
              </w:rPr>
            </w:pPr>
          </w:p>
        </w:tc>
      </w:tr>
      <w:tr>
        <w:trPr>
          <w:trHeight w:val="209"/>
        </w:trPr>
        <w:tc>
          <w:tcPr>
            <w:tcW w:w="140" w:type="dxa"/>
            <w:vAlign w:val="bottom"/>
            <w:vMerge w:val="continue"/>
          </w:tcPr>
          <w:p>
            <w:pPr>
              <w:spacing w:after="0"/>
              <w:rPr>
                <w:sz w:val="18"/>
                <w:szCs w:val="18"/>
                <w:color w:val="auto"/>
              </w:rPr>
            </w:pPr>
          </w:p>
        </w:tc>
        <w:tc>
          <w:tcPr>
            <w:tcW w:w="3600" w:type="dxa"/>
            <w:vAlign w:val="bottom"/>
            <w:vMerge w:val="continue"/>
          </w:tcPr>
          <w:p>
            <w:pPr>
              <w:spacing w:after="0"/>
              <w:rPr>
                <w:sz w:val="18"/>
                <w:szCs w:val="18"/>
                <w:color w:val="auto"/>
              </w:rPr>
            </w:pPr>
          </w:p>
        </w:tc>
        <w:tc>
          <w:tcPr>
            <w:tcW w:w="980" w:type="dxa"/>
            <w:vAlign w:val="bottom"/>
            <w:vMerge w:val="restart"/>
          </w:tcPr>
          <w:p>
            <w:pPr>
              <w:ind w:left="840"/>
              <w:spacing w:after="0"/>
              <w:rPr>
                <w:sz w:val="20"/>
                <w:szCs w:val="20"/>
                <w:color w:val="auto"/>
              </w:rPr>
            </w:pPr>
            <w:r>
              <w:rPr>
                <w:rFonts w:ascii="Arial" w:cs="Arial" w:eastAsia="Arial" w:hAnsi="Arial"/>
                <w:sz w:val="23"/>
                <w:szCs w:val="23"/>
                <w:color w:val="FFFFFF"/>
              </w:rPr>
              <w:t>•</w:t>
            </w:r>
          </w:p>
        </w:tc>
        <w:tc>
          <w:tcPr>
            <w:tcW w:w="3780" w:type="dxa"/>
            <w:vAlign w:val="bottom"/>
            <w:vMerge w:val="restart"/>
          </w:tcPr>
          <w:p>
            <w:pPr>
              <w:ind w:left="60"/>
              <w:spacing w:after="0"/>
              <w:rPr>
                <w:sz w:val="20"/>
                <w:szCs w:val="20"/>
                <w:color w:val="auto"/>
              </w:rPr>
            </w:pPr>
            <w:r>
              <w:rPr>
                <w:rFonts w:ascii="Arial" w:cs="Arial" w:eastAsia="Arial" w:hAnsi="Arial"/>
                <w:sz w:val="23"/>
                <w:szCs w:val="23"/>
                <w:color w:val="FFFFFF"/>
              </w:rPr>
              <w:t>Workforce Strategy</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5020"/>
        <w:spacing w:after="0"/>
        <w:rPr>
          <w:sz w:val="20"/>
          <w:szCs w:val="20"/>
          <w:color w:val="auto"/>
        </w:rPr>
      </w:pPr>
      <w:r>
        <w:rPr>
          <w:rFonts w:ascii="Arial" w:cs="Arial" w:eastAsia="Arial" w:hAnsi="Arial"/>
          <w:sz w:val="23"/>
          <w:szCs w:val="23"/>
          <w:color w:val="FFFFFF"/>
        </w:rPr>
        <w:t>• Government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756920</wp:posOffset>
            </wp:positionV>
            <wp:extent cx="727265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9620"/>
          </w:cols>
          <w:pgMar w:left="1260" w:top="446" w:right="1019" w:bottom="1440" w:gutter="0" w:footer="0" w:header="0"/>
        </w:sectPr>
      </w:pPr>
    </w:p>
    <w:bookmarkStart w:id="8" w:name="page9"/>
    <w:bookmarkEnd w:id="8"/>
    <w:p>
      <w:pPr>
        <w:ind w:left="110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t>Manpower Inc. (NYSE: MAN)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6"/>
          <w:szCs w:val="46"/>
          <w:color w:val="5F81AA"/>
        </w:rPr>
        <w:t>Where We’re Going</w:t>
      </w:r>
    </w:p>
    <w:p>
      <w:pPr>
        <w:spacing w:after="0" w:line="59" w:lineRule="exact"/>
        <w:rPr>
          <w:sz w:val="20"/>
          <w:szCs w:val="20"/>
          <w:color w:val="auto"/>
        </w:rPr>
      </w:pPr>
    </w:p>
    <w:p>
      <w:pPr>
        <w:ind w:left="220"/>
        <w:spacing w:after="0"/>
        <w:tabs>
          <w:tab w:leader="none" w:pos="4860" w:val="left"/>
        </w:tabs>
        <w:rPr>
          <w:sz w:val="20"/>
          <w:szCs w:val="20"/>
          <w:color w:val="auto"/>
        </w:rPr>
      </w:pPr>
      <w:r>
        <w:rPr>
          <w:rFonts w:ascii="Arial" w:cs="Arial" w:eastAsia="Arial" w:hAnsi="Arial"/>
          <w:sz w:val="61"/>
          <w:szCs w:val="61"/>
          <w:color w:val="D47C18"/>
          <w:vertAlign w:val="subscript"/>
        </w:rPr>
        <w:t>Specialty</w:t>
      </w:r>
      <w:r>
        <w:rPr>
          <w:sz w:val="20"/>
          <w:szCs w:val="20"/>
          <w:color w:val="auto"/>
        </w:rPr>
        <w:tab/>
      </w:r>
      <w:r>
        <w:rPr>
          <w:rFonts w:ascii="Arial" w:cs="Arial" w:eastAsia="Arial" w:hAnsi="Arial"/>
          <w:sz w:val="31"/>
          <w:szCs w:val="31"/>
          <w:color w:val="D47C18"/>
        </w:rPr>
        <w:t>HR Consulting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740"/>
        <w:spacing w:after="0"/>
        <w:rPr>
          <w:sz w:val="20"/>
          <w:szCs w:val="20"/>
          <w:color w:val="auto"/>
        </w:rPr>
      </w:pPr>
      <w:r>
        <w:rPr>
          <w:rFonts w:ascii="Arial" w:cs="Arial" w:eastAsia="Arial" w:hAnsi="Arial"/>
          <w:sz w:val="31"/>
          <w:szCs w:val="31"/>
          <w:color w:val="D47C18"/>
        </w:rPr>
        <w:t>MBS</w:t>
      </w:r>
    </w:p>
    <w:p>
      <w:pPr>
        <w:jc w:val="center"/>
        <w:ind w:left="860"/>
        <w:spacing w:after="0"/>
        <w:rPr>
          <w:sz w:val="20"/>
          <w:szCs w:val="20"/>
          <w:color w:val="auto"/>
        </w:rPr>
      </w:pPr>
      <w:r>
        <w:rPr>
          <w:rFonts w:ascii="Arial" w:cs="Arial" w:eastAsia="Arial" w:hAnsi="Arial"/>
          <w:sz w:val="31"/>
          <w:szCs w:val="31"/>
          <w:color w:val="D47C18"/>
        </w:rPr>
        <w:t>F&amp;A</w:t>
      </w:r>
    </w:p>
    <w:p>
      <w:pPr>
        <w:spacing w:after="0" w:line="356" w:lineRule="exact"/>
        <w:rPr>
          <w:sz w:val="20"/>
          <w:szCs w:val="20"/>
          <w:color w:val="auto"/>
        </w:rPr>
      </w:pPr>
    </w:p>
    <w:p>
      <w:pPr>
        <w:ind w:left="4480"/>
        <w:spacing w:after="0"/>
        <w:rPr>
          <w:sz w:val="20"/>
          <w:szCs w:val="20"/>
          <w:color w:val="auto"/>
        </w:rPr>
      </w:pPr>
      <w:r>
        <w:rPr>
          <w:rFonts w:ascii="Arial" w:cs="Arial" w:eastAsia="Arial" w:hAnsi="Arial"/>
          <w:sz w:val="31"/>
          <w:szCs w:val="31"/>
          <w:color w:val="D47C18"/>
        </w:rPr>
        <w:t>Outplacement</w:t>
      </w:r>
    </w:p>
    <w:p>
      <w:pPr>
        <w:spacing w:after="0" w:line="200" w:lineRule="exact"/>
        <w:rPr>
          <w:sz w:val="20"/>
          <w:szCs w:val="20"/>
          <w:color w:val="auto"/>
        </w:rPr>
      </w:pPr>
    </w:p>
    <w:p>
      <w:pPr>
        <w:spacing w:after="0" w:line="248" w:lineRule="exact"/>
        <w:rPr>
          <w:sz w:val="20"/>
          <w:szCs w:val="20"/>
          <w:color w:val="auto"/>
        </w:rPr>
      </w:pPr>
    </w:p>
    <w:p>
      <w:pPr>
        <w:jc w:val="center"/>
        <w:ind w:left="1820"/>
        <w:spacing w:after="0"/>
        <w:tabs>
          <w:tab w:leader="none" w:pos="460" w:val="left"/>
        </w:tabs>
        <w:rPr>
          <w:sz w:val="20"/>
          <w:szCs w:val="20"/>
          <w:color w:val="auto"/>
        </w:rPr>
      </w:pPr>
      <w:r>
        <w:rPr>
          <w:rFonts w:ascii="Arial" w:cs="Arial" w:eastAsia="Arial" w:hAnsi="Arial"/>
          <w:sz w:val="31"/>
          <w:szCs w:val="31"/>
          <w:color w:val="D47C18"/>
        </w:rPr>
        <w:t>Permanent</w:t>
        <w:tab/>
        <w:t>Professional</w:t>
      </w:r>
    </w:p>
    <w:p>
      <w:pPr>
        <w:spacing w:after="0" w:line="298" w:lineRule="exact"/>
        <w:rPr>
          <w:sz w:val="20"/>
          <w:szCs w:val="20"/>
          <w:color w:val="auto"/>
        </w:rPr>
      </w:pPr>
    </w:p>
    <w:p>
      <w:pPr>
        <w:ind w:left="600"/>
        <w:spacing w:after="0"/>
        <w:rPr>
          <w:sz w:val="20"/>
          <w:szCs w:val="20"/>
          <w:color w:val="auto"/>
        </w:rPr>
      </w:pPr>
      <w:r>
        <w:rPr>
          <w:rFonts w:ascii="Arial" w:cs="Arial" w:eastAsia="Arial" w:hAnsi="Arial"/>
          <w:sz w:val="31"/>
          <w:szCs w:val="31"/>
          <w:color w:val="D47C18"/>
        </w:rPr>
        <w:t>Core</w:t>
      </w:r>
    </w:p>
    <w:p>
      <w:pPr>
        <w:spacing w:after="0" w:line="80" w:lineRule="exact"/>
        <w:rPr>
          <w:sz w:val="20"/>
          <w:szCs w:val="20"/>
          <w:color w:val="auto"/>
        </w:rPr>
      </w:pPr>
    </w:p>
    <w:p>
      <w:pPr>
        <w:ind w:left="2420"/>
        <w:spacing w:after="0"/>
        <w:rPr>
          <w:sz w:val="20"/>
          <w:szCs w:val="20"/>
          <w:color w:val="auto"/>
        </w:rPr>
      </w:pPr>
      <w:r>
        <w:rPr>
          <w:rFonts w:ascii="Arial" w:cs="Arial" w:eastAsia="Arial" w:hAnsi="Arial"/>
          <w:sz w:val="31"/>
          <w:szCs w:val="31"/>
          <w:color w:val="D47C18"/>
        </w:rPr>
        <w:t>Staffing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540"/>
        <w:spacing w:after="0"/>
        <w:rPr>
          <w:sz w:val="20"/>
          <w:szCs w:val="20"/>
          <w:color w:val="auto"/>
        </w:rPr>
      </w:pPr>
      <w:r>
        <w:rPr>
          <w:rFonts w:ascii="Arial" w:cs="Arial" w:eastAsia="Arial" w:hAnsi="Arial"/>
          <w:sz w:val="31"/>
          <w:szCs w:val="31"/>
          <w:color w:val="D47C18"/>
        </w:rPr>
        <w:t>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494030</wp:posOffset>
            </wp:positionV>
            <wp:extent cx="727265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Arial" w:cs="Arial" w:eastAsia="Arial" w:hAnsi="Arial"/>
          <w:sz w:val="17"/>
          <w:szCs w:val="17"/>
          <w:color w:val="FFFFFF"/>
        </w:rPr>
        <w:t>February 9 2010</w:t>
      </w:r>
    </w:p>
    <w:p>
      <w:pPr>
        <w:sectPr>
          <w:pgSz w:w="11900" w:h="16838" w:orient="portrait"/>
          <w:cols w:equalWidth="0" w:num="2">
            <w:col w:w="7500" w:space="720"/>
            <w:col w:w="1380"/>
          </w:cols>
          <w:pgMar w:left="1260" w:top="474" w:right="1039" w:bottom="1440" w:gutter="0" w:footer="0" w:header="0"/>
        </w:sectPr>
      </w:pPr>
    </w:p>
    <w:bookmarkStart w:id="9" w:name="page10"/>
    <w:bookmarkEnd w:id="9"/>
    <w:tbl>
      <w:tblPr>
        <w:tblLayout w:type="fixed"/>
        <w:tblInd w:w="212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6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500" w:type="dxa"/>
            <w:vAlign w:val="bottom"/>
          </w:tcPr>
          <w:p>
            <w:pPr>
              <w:jc w:val="right"/>
              <w:spacing w:after="0"/>
              <w:rPr>
                <w:sz w:val="20"/>
                <w:szCs w:val="20"/>
                <w:color w:val="auto"/>
              </w:rPr>
            </w:pPr>
            <w:r>
              <w:rPr>
                <w:rFonts w:ascii="Arial" w:cs="Arial" w:eastAsia="Arial" w:hAnsi="Arial"/>
                <w:sz w:val="15"/>
                <w:szCs w:val="15"/>
                <w:color w:val="FFFFFF"/>
              </w:rPr>
              <w:t>10</w:t>
            </w:r>
          </w:p>
        </w:tc>
      </w:tr>
      <w:tr>
        <w:trPr>
          <w:trHeight w:val="202"/>
        </w:trPr>
        <w:tc>
          <w:tcPr>
            <w:tcW w:w="4960" w:type="dxa"/>
            <w:vAlign w:val="bottom"/>
          </w:tcPr>
          <w:p>
            <w:pPr>
              <w:spacing w:after="0"/>
              <w:rPr>
                <w:sz w:val="17"/>
                <w:szCs w:val="17"/>
                <w:color w:val="auto"/>
              </w:rPr>
            </w:pPr>
          </w:p>
        </w:tc>
        <w:tc>
          <w:tcPr>
            <w:tcW w:w="3160" w:type="dxa"/>
            <w:vAlign w:val="bottom"/>
          </w:tcPr>
          <w:p>
            <w:pPr>
              <w:ind w:left="2160"/>
              <w:spacing w:after="0"/>
              <w:rPr>
                <w:sz w:val="20"/>
                <w:szCs w:val="20"/>
                <w:color w:val="auto"/>
              </w:rPr>
            </w:pPr>
            <w:r>
              <w:rPr>
                <w:rFonts w:ascii="Arial" w:cs="Arial" w:eastAsia="Arial" w:hAnsi="Arial"/>
                <w:sz w:val="17"/>
                <w:szCs w:val="17"/>
                <w:color w:val="FFFFFF"/>
              </w:rPr>
              <w:t>2010</w:t>
            </w:r>
          </w:p>
        </w:tc>
        <w:tc>
          <w:tcPr>
            <w:tcW w:w="500" w:type="dxa"/>
            <w:vAlign w:val="bottom"/>
          </w:tcPr>
          <w:p>
            <w:pPr>
              <w:spacing w:after="0"/>
              <w:rPr>
                <w:sz w:val="17"/>
                <w:szCs w:val="17"/>
                <w:color w:val="auto"/>
              </w:rPr>
            </w:pPr>
          </w:p>
        </w:tc>
      </w:tr>
    </w:tbl>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46"/>
          <w:szCs w:val="46"/>
          <w:color w:val="5F81AA"/>
        </w:rPr>
        <w:t>COMSYS Acquisition Summary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3540" w:type="dxa"/>
            <w:vAlign w:val="bottom"/>
          </w:tcPr>
          <w:p>
            <w:pPr>
              <w:ind w:left="1260"/>
              <w:spacing w:after="0"/>
              <w:rPr>
                <w:sz w:val="20"/>
                <w:szCs w:val="20"/>
                <w:color w:val="auto"/>
              </w:rPr>
            </w:pPr>
            <w:r>
              <w:rPr>
                <w:rFonts w:ascii="Arial" w:cs="Arial" w:eastAsia="Arial" w:hAnsi="Arial"/>
                <w:sz w:val="25"/>
                <w:szCs w:val="25"/>
                <w:color w:val="FFFFFF"/>
              </w:rPr>
              <w:t>Announced</w:t>
            </w:r>
          </w:p>
        </w:tc>
        <w:tc>
          <w:tcPr>
            <w:tcW w:w="7900" w:type="dxa"/>
            <w:vAlign w:val="bottom"/>
          </w:tcPr>
          <w:p>
            <w:pPr>
              <w:ind w:left="380"/>
              <w:spacing w:after="0"/>
              <w:rPr>
                <w:sz w:val="20"/>
                <w:szCs w:val="20"/>
                <w:color w:val="auto"/>
              </w:rPr>
            </w:pPr>
            <w:r>
              <w:rPr>
                <w:rFonts w:ascii="Arial" w:cs="Arial" w:eastAsia="Arial" w:hAnsi="Arial"/>
                <w:sz w:val="25"/>
                <w:szCs w:val="25"/>
                <w:color w:val="auto"/>
              </w:rPr>
              <w:t>February 2010</w:t>
            </w:r>
          </w:p>
        </w:tc>
      </w:tr>
      <w:tr>
        <w:trPr>
          <w:trHeight w:val="1011"/>
        </w:trPr>
        <w:tc>
          <w:tcPr>
            <w:tcW w:w="3540" w:type="dxa"/>
            <w:vAlign w:val="bottom"/>
          </w:tcPr>
          <w:p>
            <w:pPr>
              <w:ind w:left="1260"/>
              <w:spacing w:after="0"/>
              <w:rPr>
                <w:sz w:val="20"/>
                <w:szCs w:val="20"/>
                <w:color w:val="auto"/>
              </w:rPr>
            </w:pPr>
            <w:r>
              <w:rPr>
                <w:rFonts w:ascii="Arial" w:cs="Arial" w:eastAsia="Arial" w:hAnsi="Arial"/>
                <w:sz w:val="25"/>
                <w:szCs w:val="25"/>
                <w:color w:val="FFFFFF"/>
              </w:rPr>
              <w:t>Purchase Price</w:t>
            </w:r>
          </w:p>
        </w:tc>
        <w:tc>
          <w:tcPr>
            <w:tcW w:w="7900" w:type="dxa"/>
            <w:vAlign w:val="bottom"/>
          </w:tcPr>
          <w:p>
            <w:pPr>
              <w:ind w:left="380"/>
              <w:spacing w:after="0"/>
              <w:rPr>
                <w:sz w:val="20"/>
                <w:szCs w:val="20"/>
                <w:color w:val="auto"/>
              </w:rPr>
            </w:pPr>
            <w:r>
              <w:rPr>
                <w:rFonts w:ascii="Arial" w:cs="Arial" w:eastAsia="Arial" w:hAnsi="Arial"/>
                <w:sz w:val="25"/>
                <w:szCs w:val="25"/>
                <w:color w:val="auto"/>
              </w:rPr>
              <w:t>$17.65 per share; $431 million enterprise value</w:t>
            </w:r>
          </w:p>
        </w:tc>
      </w:tr>
      <w:tr>
        <w:trPr>
          <w:trHeight w:val="1011"/>
        </w:trPr>
        <w:tc>
          <w:tcPr>
            <w:tcW w:w="3540" w:type="dxa"/>
            <w:vAlign w:val="bottom"/>
          </w:tcPr>
          <w:p>
            <w:pPr>
              <w:ind w:left="1260"/>
              <w:spacing w:after="0"/>
              <w:rPr>
                <w:sz w:val="20"/>
                <w:szCs w:val="20"/>
                <w:color w:val="auto"/>
              </w:rPr>
            </w:pPr>
            <w:r>
              <w:rPr>
                <w:rFonts w:ascii="Arial" w:cs="Arial" w:eastAsia="Arial" w:hAnsi="Arial"/>
                <w:sz w:val="25"/>
                <w:szCs w:val="25"/>
                <w:color w:val="FFFFFF"/>
              </w:rPr>
              <w:t>Consideration</w:t>
            </w:r>
          </w:p>
        </w:tc>
        <w:tc>
          <w:tcPr>
            <w:tcW w:w="7900" w:type="dxa"/>
            <w:vAlign w:val="bottom"/>
          </w:tcPr>
          <w:p>
            <w:pPr>
              <w:ind w:left="380"/>
              <w:spacing w:after="0"/>
              <w:rPr>
                <w:sz w:val="20"/>
                <w:szCs w:val="20"/>
                <w:color w:val="auto"/>
              </w:rPr>
            </w:pPr>
            <w:r>
              <w:rPr>
                <w:rFonts w:ascii="Arial" w:cs="Arial" w:eastAsia="Arial" w:hAnsi="Arial"/>
                <w:sz w:val="25"/>
                <w:szCs w:val="25"/>
                <w:color w:val="auto"/>
              </w:rPr>
              <w:t>50% stock / 50% cash, with option to pay all cash</w:t>
            </w:r>
          </w:p>
        </w:tc>
      </w:tr>
      <w:tr>
        <w:trPr>
          <w:trHeight w:val="1011"/>
        </w:trPr>
        <w:tc>
          <w:tcPr>
            <w:tcW w:w="3540" w:type="dxa"/>
            <w:vAlign w:val="bottom"/>
          </w:tcPr>
          <w:p>
            <w:pPr>
              <w:ind w:left="1260"/>
              <w:spacing w:after="0"/>
              <w:rPr>
                <w:sz w:val="20"/>
                <w:szCs w:val="20"/>
                <w:color w:val="auto"/>
              </w:rPr>
            </w:pPr>
            <w:r>
              <w:rPr>
                <w:rFonts w:ascii="Arial" w:cs="Arial" w:eastAsia="Arial" w:hAnsi="Arial"/>
                <w:sz w:val="25"/>
                <w:szCs w:val="25"/>
                <w:color w:val="FFFFFF"/>
              </w:rPr>
              <w:t>Expected Closing</w:t>
            </w:r>
          </w:p>
        </w:tc>
        <w:tc>
          <w:tcPr>
            <w:tcW w:w="7900" w:type="dxa"/>
            <w:vAlign w:val="bottom"/>
          </w:tcPr>
          <w:p>
            <w:pPr>
              <w:ind w:left="380"/>
              <w:spacing w:after="0"/>
              <w:rPr>
                <w:sz w:val="20"/>
                <w:szCs w:val="20"/>
                <w:color w:val="auto"/>
              </w:rPr>
            </w:pPr>
            <w:r>
              <w:rPr>
                <w:rFonts w:ascii="Arial" w:cs="Arial" w:eastAsia="Arial" w:hAnsi="Arial"/>
                <w:sz w:val="25"/>
                <w:szCs w:val="25"/>
                <w:color w:val="auto"/>
              </w:rPr>
              <w:t>April 2010</w:t>
            </w:r>
          </w:p>
        </w:tc>
      </w:tr>
      <w:tr>
        <w:trPr>
          <w:trHeight w:val="1011"/>
        </w:trPr>
        <w:tc>
          <w:tcPr>
            <w:tcW w:w="3540" w:type="dxa"/>
            <w:vAlign w:val="bottom"/>
          </w:tcPr>
          <w:p>
            <w:pPr>
              <w:ind w:left="1260"/>
              <w:spacing w:after="0"/>
              <w:rPr>
                <w:sz w:val="20"/>
                <w:szCs w:val="20"/>
                <w:color w:val="auto"/>
              </w:rPr>
            </w:pPr>
            <w:r>
              <w:rPr>
                <w:rFonts w:ascii="Arial" w:cs="Arial" w:eastAsia="Arial" w:hAnsi="Arial"/>
                <w:sz w:val="25"/>
                <w:szCs w:val="25"/>
                <w:color w:val="FFFFFF"/>
              </w:rPr>
              <w:t>Synergies</w:t>
            </w:r>
          </w:p>
        </w:tc>
        <w:tc>
          <w:tcPr>
            <w:tcW w:w="7900" w:type="dxa"/>
            <w:vAlign w:val="bottom"/>
          </w:tcPr>
          <w:p>
            <w:pPr>
              <w:ind w:left="380"/>
              <w:spacing w:after="0"/>
              <w:rPr>
                <w:sz w:val="20"/>
                <w:szCs w:val="20"/>
                <w:color w:val="auto"/>
              </w:rPr>
            </w:pPr>
            <w:r>
              <w:rPr>
                <w:rFonts w:ascii="Arial" w:cs="Arial" w:eastAsia="Arial" w:hAnsi="Arial"/>
                <w:sz w:val="25"/>
                <w:szCs w:val="25"/>
                <w:color w:val="auto"/>
              </w:rPr>
              <w:t>$20 million by 2011 (3% of revenue)</w:t>
            </w:r>
          </w:p>
        </w:tc>
      </w:tr>
      <w:tr>
        <w:trPr>
          <w:trHeight w:val="1011"/>
        </w:trPr>
        <w:tc>
          <w:tcPr>
            <w:tcW w:w="3540" w:type="dxa"/>
            <w:vAlign w:val="bottom"/>
          </w:tcPr>
          <w:p>
            <w:pPr>
              <w:ind w:left="1260"/>
              <w:spacing w:after="0"/>
              <w:rPr>
                <w:sz w:val="20"/>
                <w:szCs w:val="20"/>
                <w:color w:val="auto"/>
              </w:rPr>
            </w:pPr>
            <w:r>
              <w:rPr>
                <w:rFonts w:ascii="Arial" w:cs="Arial" w:eastAsia="Arial" w:hAnsi="Arial"/>
                <w:sz w:val="25"/>
                <w:szCs w:val="25"/>
                <w:color w:val="FFFFFF"/>
              </w:rPr>
              <w:t>EPS Accretive</w:t>
            </w:r>
          </w:p>
        </w:tc>
        <w:tc>
          <w:tcPr>
            <w:tcW w:w="7900" w:type="dxa"/>
            <w:vAlign w:val="bottom"/>
          </w:tcPr>
          <w:p>
            <w:pPr>
              <w:ind w:left="380"/>
              <w:spacing w:after="0"/>
              <w:rPr>
                <w:sz w:val="20"/>
                <w:szCs w:val="20"/>
                <w:color w:val="auto"/>
              </w:rPr>
            </w:pPr>
            <w:r>
              <w:rPr>
                <w:rFonts w:ascii="Arial" w:cs="Arial" w:eastAsia="Arial" w:hAnsi="Arial"/>
                <w:sz w:val="25"/>
                <w:szCs w:val="25"/>
                <w:color w:val="auto"/>
              </w:rPr>
              <w:t>Accretive in 2010, excluding intangible amortization costs</w:t>
            </w:r>
          </w:p>
        </w:tc>
      </w:tr>
      <w:tr>
        <w:trPr>
          <w:trHeight w:val="1117"/>
        </w:trPr>
        <w:tc>
          <w:tcPr>
            <w:tcW w:w="3540" w:type="dxa"/>
            <w:vAlign w:val="bottom"/>
            <w:tcBorders>
              <w:bottom w:val="single" w:sz="8" w:color="808080"/>
            </w:tcBorders>
          </w:tcPr>
          <w:p>
            <w:pPr>
              <w:spacing w:after="0"/>
              <w:rPr>
                <w:sz w:val="24"/>
                <w:szCs w:val="24"/>
                <w:color w:val="auto"/>
              </w:rPr>
            </w:pPr>
          </w:p>
        </w:tc>
        <w:tc>
          <w:tcPr>
            <w:tcW w:w="7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-12700</wp:posOffset>
            </wp:positionV>
            <wp:extent cx="127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-12700</wp:posOffset>
            </wp:positionV>
            <wp:extent cx="127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10" w:name="page11"/>
    <w:bookmarkEnd w:id="10"/>
    <w:tbl>
      <w:tblPr>
        <w:tblLayout w:type="fixed"/>
        <w:tblInd w:w="1151"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4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480" w:type="dxa"/>
            <w:vAlign w:val="bottom"/>
          </w:tcPr>
          <w:p>
            <w:pPr>
              <w:jc w:val="right"/>
              <w:spacing w:after="0"/>
              <w:rPr>
                <w:sz w:val="20"/>
                <w:szCs w:val="20"/>
                <w:color w:val="auto"/>
              </w:rPr>
            </w:pPr>
            <w:r>
              <w:rPr>
                <w:rFonts w:ascii="Arial" w:cs="Arial" w:eastAsia="Arial" w:hAnsi="Arial"/>
                <w:sz w:val="15"/>
                <w:szCs w:val="15"/>
                <w:color w:val="FFFFFF"/>
              </w:rPr>
              <w:t>11</w:t>
            </w:r>
          </w:p>
        </w:tc>
      </w:tr>
      <w:tr>
        <w:trPr>
          <w:trHeight w:val="202"/>
        </w:trPr>
        <w:tc>
          <w:tcPr>
            <w:tcW w:w="4960" w:type="dxa"/>
            <w:vAlign w:val="bottom"/>
          </w:tcPr>
          <w:p>
            <w:pPr>
              <w:spacing w:after="0"/>
              <w:rPr>
                <w:sz w:val="17"/>
                <w:szCs w:val="17"/>
                <w:color w:val="auto"/>
              </w:rPr>
            </w:pPr>
          </w:p>
        </w:tc>
        <w:tc>
          <w:tcPr>
            <w:tcW w:w="3140" w:type="dxa"/>
            <w:vAlign w:val="bottom"/>
          </w:tcPr>
          <w:p>
            <w:pPr>
              <w:ind w:left="216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359" w:lineRule="exact"/>
        <w:rPr>
          <w:sz w:val="20"/>
          <w:szCs w:val="20"/>
          <w:color w:val="auto"/>
        </w:rPr>
      </w:pPr>
    </w:p>
    <w:p>
      <w:pPr>
        <w:ind w:left="51"/>
        <w:spacing w:after="0"/>
        <w:rPr>
          <w:sz w:val="20"/>
          <w:szCs w:val="20"/>
          <w:color w:val="auto"/>
        </w:rPr>
      </w:pPr>
      <w:r>
        <w:rPr>
          <w:rFonts w:ascii="Arial" w:cs="Arial" w:eastAsia="Arial" w:hAnsi="Arial"/>
          <w:sz w:val="46"/>
          <w:szCs w:val="46"/>
          <w:color w:val="5F81AA"/>
        </w:rPr>
        <w:t>COMSYS Business Overview</w:t>
      </w:r>
    </w:p>
    <w:p>
      <w:pPr>
        <w:spacing w:after="0" w:line="237" w:lineRule="exact"/>
        <w:rPr>
          <w:sz w:val="20"/>
          <w:szCs w:val="20"/>
          <w:color w:val="auto"/>
        </w:rPr>
      </w:pPr>
    </w:p>
    <w:p>
      <w:pPr>
        <w:ind w:left="211" w:right="4900" w:hanging="211"/>
        <w:spacing w:after="0" w:line="269" w:lineRule="auto"/>
        <w:tabs>
          <w:tab w:leader="none" w:pos="204" w:val="left"/>
        </w:tabs>
        <w:numPr>
          <w:ilvl w:val="0"/>
          <w:numId w:val="2"/>
        </w:numPr>
        <w:rPr>
          <w:rFonts w:ascii="Arial" w:cs="Arial" w:eastAsia="Arial" w:hAnsi="Arial"/>
          <w:sz w:val="27"/>
          <w:szCs w:val="27"/>
          <w:color w:val="7EA190"/>
        </w:rPr>
      </w:pPr>
      <w:r>
        <w:rPr>
          <w:rFonts w:ascii="Arial" w:cs="Arial" w:eastAsia="Arial" w:hAnsi="Arial"/>
          <w:sz w:val="27"/>
          <w:szCs w:val="27"/>
          <w:b w:val="1"/>
          <w:bCs w:val="1"/>
          <w:color w:val="7EA190"/>
        </w:rPr>
        <w:t xml:space="preserve">Third largest IT staffing and managed solutions company in the U.S. </w:t>
      </w:r>
      <w:r>
        <w:rPr>
          <w:rFonts w:ascii="Arial" w:cs="Arial" w:eastAsia="Arial" w:hAnsi="Arial"/>
          <w:sz w:val="27"/>
          <w:szCs w:val="27"/>
          <w:color w:val="000000"/>
        </w:rPr>
        <w:t>with $650 million in revenue.</w:t>
      </w:r>
    </w:p>
    <w:p>
      <w:pPr>
        <w:spacing w:after="0" w:line="1" w:lineRule="exact"/>
        <w:rPr>
          <w:rFonts w:ascii="Arial" w:cs="Arial" w:eastAsia="Arial" w:hAnsi="Arial"/>
          <w:sz w:val="27"/>
          <w:szCs w:val="27"/>
          <w:color w:val="7EA190"/>
        </w:rPr>
      </w:pPr>
    </w:p>
    <w:p>
      <w:pPr>
        <w:ind w:left="711" w:hanging="160"/>
        <w:spacing w:after="0"/>
        <w:tabs>
          <w:tab w:leader="none" w:pos="711" w:val="left"/>
        </w:tabs>
        <w:numPr>
          <w:ilvl w:val="1"/>
          <w:numId w:val="2"/>
        </w:numPr>
        <w:rPr>
          <w:rFonts w:ascii="Arial" w:cs="Arial" w:eastAsia="Arial" w:hAnsi="Arial"/>
          <w:sz w:val="28"/>
          <w:szCs w:val="28"/>
          <w:color w:val="auto"/>
        </w:rPr>
      </w:pPr>
      <w:r>
        <w:rPr>
          <w:rFonts w:ascii="Arial" w:cs="Arial" w:eastAsia="Arial" w:hAnsi="Arial"/>
          <w:sz w:val="28"/>
          <w:szCs w:val="28"/>
          <w:color w:val="auto"/>
        </w:rPr>
        <w:t>Project Management</w:t>
      </w:r>
    </w:p>
    <w:p>
      <w:pPr>
        <w:spacing w:after="0" w:line="45" w:lineRule="exact"/>
        <w:rPr>
          <w:rFonts w:ascii="Arial" w:cs="Arial" w:eastAsia="Arial" w:hAnsi="Arial"/>
          <w:sz w:val="28"/>
          <w:szCs w:val="28"/>
          <w:color w:val="auto"/>
        </w:rPr>
      </w:pPr>
    </w:p>
    <w:p>
      <w:pPr>
        <w:ind w:left="711" w:hanging="160"/>
        <w:spacing w:after="0"/>
        <w:tabs>
          <w:tab w:leader="none" w:pos="711" w:val="left"/>
        </w:tabs>
        <w:numPr>
          <w:ilvl w:val="1"/>
          <w:numId w:val="2"/>
        </w:numPr>
        <w:rPr>
          <w:rFonts w:ascii="Arial" w:cs="Arial" w:eastAsia="Arial" w:hAnsi="Arial"/>
          <w:sz w:val="28"/>
          <w:szCs w:val="28"/>
          <w:color w:val="auto"/>
        </w:rPr>
      </w:pPr>
      <w:r>
        <w:rPr>
          <w:rFonts w:ascii="Arial" w:cs="Arial" w:eastAsia="Arial" w:hAnsi="Arial"/>
          <w:sz w:val="28"/>
          <w:szCs w:val="28"/>
          <w:color w:val="auto"/>
        </w:rPr>
        <w:t>Business Analysis</w:t>
      </w:r>
    </w:p>
    <w:p>
      <w:pPr>
        <w:spacing w:after="0" w:line="45" w:lineRule="exact"/>
        <w:rPr>
          <w:rFonts w:ascii="Arial" w:cs="Arial" w:eastAsia="Arial" w:hAnsi="Arial"/>
          <w:sz w:val="28"/>
          <w:szCs w:val="28"/>
          <w:color w:val="auto"/>
        </w:rPr>
      </w:pPr>
    </w:p>
    <w:p>
      <w:pPr>
        <w:ind w:left="711" w:hanging="160"/>
        <w:spacing w:after="0"/>
        <w:tabs>
          <w:tab w:leader="none" w:pos="711" w:val="left"/>
        </w:tabs>
        <w:numPr>
          <w:ilvl w:val="1"/>
          <w:numId w:val="2"/>
        </w:numPr>
        <w:rPr>
          <w:rFonts w:ascii="Arial" w:cs="Arial" w:eastAsia="Arial" w:hAnsi="Arial"/>
          <w:sz w:val="28"/>
          <w:szCs w:val="28"/>
          <w:color w:val="auto"/>
        </w:rPr>
      </w:pPr>
      <w:r>
        <w:rPr>
          <w:rFonts w:ascii="Arial" w:cs="Arial" w:eastAsia="Arial" w:hAnsi="Arial"/>
          <w:sz w:val="28"/>
          <w:szCs w:val="28"/>
          <w:color w:val="auto"/>
        </w:rPr>
        <w:t>Network Infrastructure</w:t>
      </w:r>
    </w:p>
    <w:p>
      <w:pPr>
        <w:spacing w:after="0" w:line="45" w:lineRule="exact"/>
        <w:rPr>
          <w:rFonts w:ascii="Arial" w:cs="Arial" w:eastAsia="Arial" w:hAnsi="Arial"/>
          <w:sz w:val="28"/>
          <w:szCs w:val="28"/>
          <w:color w:val="auto"/>
        </w:rPr>
      </w:pPr>
    </w:p>
    <w:p>
      <w:pPr>
        <w:ind w:left="711" w:hanging="160"/>
        <w:spacing w:after="0"/>
        <w:tabs>
          <w:tab w:leader="none" w:pos="711" w:val="left"/>
        </w:tabs>
        <w:numPr>
          <w:ilvl w:val="1"/>
          <w:numId w:val="2"/>
        </w:numPr>
        <w:rPr>
          <w:rFonts w:ascii="Arial" w:cs="Arial" w:eastAsia="Arial" w:hAnsi="Arial"/>
          <w:sz w:val="28"/>
          <w:szCs w:val="28"/>
          <w:color w:val="auto"/>
        </w:rPr>
      </w:pPr>
      <w:r>
        <w:rPr>
          <w:rFonts w:ascii="Arial" w:cs="Arial" w:eastAsia="Arial" w:hAnsi="Arial"/>
          <w:sz w:val="28"/>
          <w:szCs w:val="28"/>
          <w:color w:val="auto"/>
        </w:rPr>
        <w:t>Business Intelligence</w:t>
      </w:r>
    </w:p>
    <w:p>
      <w:pPr>
        <w:spacing w:after="0" w:line="45" w:lineRule="exact"/>
        <w:rPr>
          <w:rFonts w:ascii="Arial" w:cs="Arial" w:eastAsia="Arial" w:hAnsi="Arial"/>
          <w:sz w:val="28"/>
          <w:szCs w:val="28"/>
          <w:color w:val="auto"/>
        </w:rPr>
      </w:pPr>
    </w:p>
    <w:p>
      <w:pPr>
        <w:ind w:left="711" w:hanging="160"/>
        <w:spacing w:after="0"/>
        <w:tabs>
          <w:tab w:leader="none" w:pos="711" w:val="left"/>
        </w:tabs>
        <w:numPr>
          <w:ilvl w:val="1"/>
          <w:numId w:val="2"/>
        </w:numPr>
        <w:rPr>
          <w:rFonts w:ascii="Arial" w:cs="Arial" w:eastAsia="Arial" w:hAnsi="Arial"/>
          <w:sz w:val="28"/>
          <w:szCs w:val="28"/>
          <w:color w:val="auto"/>
        </w:rPr>
      </w:pPr>
      <w:r>
        <w:rPr>
          <w:rFonts w:ascii="Arial" w:cs="Arial" w:eastAsia="Arial" w:hAnsi="Arial"/>
          <w:sz w:val="28"/>
          <w:szCs w:val="28"/>
          <w:color w:val="auto"/>
        </w:rPr>
        <w:t>Applications Programming and</w:t>
      </w:r>
    </w:p>
    <w:p>
      <w:pPr>
        <w:spacing w:after="0" w:line="91" w:lineRule="exact"/>
        <w:rPr>
          <w:sz w:val="20"/>
          <w:szCs w:val="20"/>
          <w:color w:val="auto"/>
        </w:rPr>
      </w:pPr>
    </w:p>
    <w:p>
      <w:pPr>
        <w:ind w:left="771"/>
        <w:spacing w:after="0"/>
        <w:rPr>
          <w:sz w:val="20"/>
          <w:szCs w:val="20"/>
          <w:color w:val="auto"/>
        </w:rPr>
      </w:pPr>
      <w:r>
        <w:rPr>
          <w:rFonts w:ascii="Arial" w:cs="Arial" w:eastAsia="Arial" w:hAnsi="Arial"/>
          <w:sz w:val="28"/>
          <w:szCs w:val="28"/>
          <w:color w:val="auto"/>
        </w:rPr>
        <w:t>Development</w:t>
      </w:r>
    </w:p>
    <w:p>
      <w:pPr>
        <w:ind w:left="711" w:hanging="160"/>
        <w:spacing w:after="0"/>
        <w:tabs>
          <w:tab w:leader="none" w:pos="711" w:val="left"/>
        </w:tabs>
        <w:numPr>
          <w:ilvl w:val="0"/>
          <w:numId w:val="3"/>
        </w:numPr>
        <w:rPr>
          <w:rFonts w:ascii="Arial" w:cs="Arial" w:eastAsia="Arial" w:hAnsi="Arial"/>
          <w:sz w:val="28"/>
          <w:szCs w:val="28"/>
          <w:color w:val="auto"/>
        </w:rPr>
      </w:pPr>
      <w:r>
        <w:rPr>
          <w:rFonts w:ascii="Arial" w:cs="Arial" w:eastAsia="Arial" w:hAnsi="Arial"/>
          <w:sz w:val="28"/>
          <w:szCs w:val="28"/>
          <w:color w:val="auto"/>
        </w:rPr>
        <w:t>Quality Assurance and Testing</w:t>
      </w:r>
    </w:p>
    <w:p>
      <w:pPr>
        <w:spacing w:after="0" w:line="45" w:lineRule="exact"/>
        <w:rPr>
          <w:rFonts w:ascii="Arial" w:cs="Arial" w:eastAsia="Arial" w:hAnsi="Arial"/>
          <w:sz w:val="28"/>
          <w:szCs w:val="28"/>
          <w:color w:val="auto"/>
        </w:rPr>
      </w:pPr>
    </w:p>
    <w:p>
      <w:pPr>
        <w:ind w:left="711" w:hanging="160"/>
        <w:spacing w:after="0"/>
        <w:tabs>
          <w:tab w:leader="none" w:pos="711" w:val="left"/>
        </w:tabs>
        <w:numPr>
          <w:ilvl w:val="0"/>
          <w:numId w:val="3"/>
        </w:numPr>
        <w:rPr>
          <w:rFonts w:ascii="Arial" w:cs="Arial" w:eastAsia="Arial" w:hAnsi="Arial"/>
          <w:sz w:val="28"/>
          <w:szCs w:val="28"/>
          <w:color w:val="auto"/>
        </w:rPr>
      </w:pPr>
      <w:r>
        <w:rPr>
          <w:rFonts w:ascii="Arial" w:cs="Arial" w:eastAsia="Arial" w:hAnsi="Arial"/>
          <w:sz w:val="28"/>
          <w:szCs w:val="28"/>
          <w:color w:val="auto"/>
        </w:rPr>
        <w:t>Workforce Solutions (RPO and</w:t>
      </w:r>
    </w:p>
    <w:p>
      <w:pPr>
        <w:spacing w:after="0" w:line="138" w:lineRule="exact"/>
        <w:rPr>
          <w:sz w:val="20"/>
          <w:szCs w:val="20"/>
          <w:color w:val="auto"/>
        </w:rPr>
      </w:pPr>
    </w:p>
    <w:p>
      <w:pPr>
        <w:ind w:left="771"/>
        <w:spacing w:after="0"/>
        <w:rPr>
          <w:sz w:val="20"/>
          <w:szCs w:val="20"/>
          <w:color w:val="auto"/>
        </w:rPr>
      </w:pPr>
      <w:r>
        <w:rPr>
          <w:rFonts w:ascii="Arial" w:cs="Arial" w:eastAsia="Arial" w:hAnsi="Arial"/>
          <w:sz w:val="28"/>
          <w:szCs w:val="28"/>
          <w:color w:val="auto"/>
        </w:rPr>
        <w:t>MSP)</w:t>
      </w:r>
    </w:p>
    <w:p>
      <w:pPr>
        <w:spacing w:after="0" w:line="173" w:lineRule="exact"/>
        <w:rPr>
          <w:sz w:val="20"/>
          <w:szCs w:val="20"/>
          <w:color w:val="auto"/>
        </w:rPr>
      </w:pPr>
    </w:p>
    <w:p>
      <w:pPr>
        <w:ind w:left="211" w:hanging="211"/>
        <w:spacing w:after="0"/>
        <w:tabs>
          <w:tab w:leader="none" w:pos="211" w:val="left"/>
        </w:tabs>
        <w:numPr>
          <w:ilvl w:val="0"/>
          <w:numId w:val="4"/>
        </w:numPr>
        <w:rPr>
          <w:rFonts w:ascii="Arial" w:cs="Arial" w:eastAsia="Arial" w:hAnsi="Arial"/>
          <w:sz w:val="28"/>
          <w:szCs w:val="28"/>
          <w:color w:val="7EA190"/>
        </w:rPr>
      </w:pPr>
      <w:r>
        <w:rPr>
          <w:rFonts w:ascii="Arial" w:cs="Arial" w:eastAsia="Arial" w:hAnsi="Arial"/>
          <w:sz w:val="28"/>
          <w:szCs w:val="28"/>
          <w:b w:val="1"/>
          <w:bCs w:val="1"/>
          <w:color w:val="7EA190"/>
        </w:rPr>
        <w:t xml:space="preserve">National footprint </w:t>
      </w:r>
      <w:r>
        <w:rPr>
          <w:rFonts w:ascii="Arial" w:cs="Arial" w:eastAsia="Arial" w:hAnsi="Arial"/>
          <w:sz w:val="28"/>
          <w:szCs w:val="28"/>
          <w:color w:val="000000"/>
        </w:rPr>
        <w:t>with 52 branches</w:t>
      </w:r>
    </w:p>
    <w:p>
      <w:pPr>
        <w:spacing w:after="0" w:line="286" w:lineRule="exact"/>
        <w:rPr>
          <w:rFonts w:ascii="Arial" w:cs="Arial" w:eastAsia="Arial" w:hAnsi="Arial"/>
          <w:sz w:val="28"/>
          <w:szCs w:val="28"/>
          <w:color w:val="7EA190"/>
        </w:rPr>
      </w:pPr>
    </w:p>
    <w:p>
      <w:pPr>
        <w:ind w:left="211" w:right="4760" w:hanging="211"/>
        <w:spacing w:after="0" w:line="272" w:lineRule="auto"/>
        <w:tabs>
          <w:tab w:leader="none" w:pos="204" w:val="left"/>
        </w:tabs>
        <w:numPr>
          <w:ilvl w:val="0"/>
          <w:numId w:val="4"/>
        </w:numPr>
        <w:rPr>
          <w:rFonts w:ascii="Arial" w:cs="Arial" w:eastAsia="Arial" w:hAnsi="Arial"/>
          <w:sz w:val="28"/>
          <w:szCs w:val="28"/>
          <w:color w:val="7EA190"/>
        </w:rPr>
      </w:pPr>
      <w:r>
        <w:rPr>
          <w:rFonts w:ascii="Arial" w:cs="Arial" w:eastAsia="Arial" w:hAnsi="Arial"/>
          <w:sz w:val="28"/>
          <w:szCs w:val="28"/>
          <w:b w:val="1"/>
          <w:bCs w:val="1"/>
          <w:color w:val="7EA190"/>
        </w:rPr>
        <w:t xml:space="preserve">Diversified client base </w:t>
      </w:r>
      <w:r>
        <w:rPr>
          <w:rFonts w:ascii="Arial" w:cs="Arial" w:eastAsia="Arial" w:hAnsi="Arial"/>
          <w:sz w:val="28"/>
          <w:szCs w:val="28"/>
          <w:color w:val="000000"/>
        </w:rPr>
        <w:t>across several</w:t>
      </w:r>
      <w:r>
        <w:rPr>
          <w:rFonts w:ascii="Arial" w:cs="Arial" w:eastAsia="Arial" w:hAnsi="Arial"/>
          <w:sz w:val="28"/>
          <w:szCs w:val="28"/>
          <w:b w:val="1"/>
          <w:bCs w:val="1"/>
          <w:color w:val="7EA190"/>
        </w:rPr>
        <w:t xml:space="preserve"> </w:t>
      </w:r>
      <w:r>
        <w:rPr>
          <w:rFonts w:ascii="Arial" w:cs="Arial" w:eastAsia="Arial" w:hAnsi="Arial"/>
          <w:sz w:val="28"/>
          <w:szCs w:val="28"/>
          <w:color w:val="000000"/>
        </w:rPr>
        <w:t>high-growth industry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603885</wp:posOffset>
            </wp:positionV>
            <wp:extent cx="727265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9731"/>
          </w:cols>
          <w:pgMar w:left="1209" w:top="446" w:right="959" w:bottom="1440" w:gutter="0" w:footer="0" w:header="0"/>
        </w:sectPr>
      </w:pPr>
    </w:p>
    <w:bookmarkStart w:id="11" w:name="page12"/>
    <w:bookmarkEnd w:id="11"/>
    <w:tbl>
      <w:tblPr>
        <w:tblLayout w:type="fixed"/>
        <w:tblInd w:w="110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4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480" w:type="dxa"/>
            <w:vAlign w:val="bottom"/>
          </w:tcPr>
          <w:p>
            <w:pPr>
              <w:jc w:val="right"/>
              <w:spacing w:after="0"/>
              <w:rPr>
                <w:sz w:val="20"/>
                <w:szCs w:val="20"/>
                <w:color w:val="auto"/>
              </w:rPr>
            </w:pPr>
            <w:r>
              <w:rPr>
                <w:rFonts w:ascii="Arial" w:cs="Arial" w:eastAsia="Arial" w:hAnsi="Arial"/>
                <w:sz w:val="15"/>
                <w:szCs w:val="15"/>
                <w:color w:val="FFFFFF"/>
              </w:rPr>
              <w:t>12</w:t>
            </w:r>
          </w:p>
        </w:tc>
      </w:tr>
      <w:tr>
        <w:trPr>
          <w:trHeight w:val="202"/>
        </w:trPr>
        <w:tc>
          <w:tcPr>
            <w:tcW w:w="4960" w:type="dxa"/>
            <w:vAlign w:val="bottom"/>
          </w:tcPr>
          <w:p>
            <w:pPr>
              <w:spacing w:after="0"/>
              <w:rPr>
                <w:sz w:val="17"/>
                <w:szCs w:val="17"/>
                <w:color w:val="auto"/>
              </w:rPr>
            </w:pPr>
          </w:p>
        </w:tc>
        <w:tc>
          <w:tcPr>
            <w:tcW w:w="3140" w:type="dxa"/>
            <w:vAlign w:val="bottom"/>
          </w:tcPr>
          <w:p>
            <w:pPr>
              <w:ind w:left="216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spacing w:after="0"/>
        <w:rPr>
          <w:sz w:val="20"/>
          <w:szCs w:val="20"/>
          <w:color w:val="auto"/>
        </w:rPr>
      </w:pPr>
      <w:r>
        <w:rPr>
          <w:rFonts w:ascii="Arial" w:cs="Arial" w:eastAsia="Arial" w:hAnsi="Arial"/>
          <w:sz w:val="46"/>
          <w:szCs w:val="46"/>
          <w:color w:val="5F81AA"/>
        </w:rPr>
        <w:t>Combined Professional Staffing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Arial" w:cs="Arial" w:eastAsia="Arial" w:hAnsi="Arial"/>
          <w:sz w:val="25"/>
          <w:szCs w:val="25"/>
          <w:color w:val="auto"/>
        </w:rPr>
        <w:t xml:space="preserve">Combined revenue of Manpower Professional and COMSYS will be </w:t>
      </w:r>
      <w:r>
        <w:rPr>
          <w:rFonts w:ascii="Arial" w:cs="Arial" w:eastAsia="Arial" w:hAnsi="Arial"/>
          <w:sz w:val="25"/>
          <w:szCs w:val="25"/>
          <w:b w:val="1"/>
          <w:bCs w:val="1"/>
          <w:color w:val="C8504F"/>
        </w:rPr>
        <w:t>over $2.5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25"/>
          <w:szCs w:val="25"/>
          <w:color w:val="auto"/>
        </w:rPr>
        <w:t xml:space="preserve">Combined number of contractors on assignment daily will be </w:t>
      </w:r>
      <w:r>
        <w:rPr>
          <w:rFonts w:ascii="Arial" w:cs="Arial" w:eastAsia="Arial" w:hAnsi="Arial"/>
          <w:sz w:val="25"/>
          <w:szCs w:val="25"/>
          <w:b w:val="1"/>
          <w:bCs w:val="1"/>
          <w:color w:val="7EA190"/>
        </w:rPr>
        <w:t>over 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25"/>
          <w:szCs w:val="25"/>
          <w:color w:val="auto"/>
        </w:rPr>
        <w:t xml:space="preserve">Combined footprint will be </w:t>
      </w:r>
      <w:r>
        <w:rPr>
          <w:rFonts w:ascii="Arial" w:cs="Arial" w:eastAsia="Arial" w:hAnsi="Arial"/>
          <w:sz w:val="25"/>
          <w:szCs w:val="25"/>
          <w:b w:val="1"/>
          <w:bCs w:val="1"/>
          <w:color w:val="D47C18"/>
        </w:rPr>
        <w:t>400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Arial" w:cs="Arial" w:eastAsia="Arial" w:hAnsi="Arial"/>
          <w:sz w:val="25"/>
          <w:szCs w:val="25"/>
          <w:color w:val="auto"/>
        </w:rPr>
        <w:t xml:space="preserve">Combined MSP offering will be total flow through dollars of </w:t>
      </w:r>
      <w:r>
        <w:rPr>
          <w:rFonts w:ascii="Arial" w:cs="Arial" w:eastAsia="Arial" w:hAnsi="Arial"/>
          <w:sz w:val="25"/>
          <w:szCs w:val="25"/>
          <w:b w:val="1"/>
          <w:bCs w:val="1"/>
          <w:color w:val="6698C2"/>
        </w:rPr>
        <w:t>$3.5 billion</w:t>
      </w:r>
    </w:p>
    <w:p>
      <w:pPr>
        <w:spacing w:after="0" w:line="200" w:lineRule="exact"/>
        <w:rPr>
          <w:sz w:val="20"/>
          <w:szCs w:val="20"/>
          <w:color w:val="auto"/>
        </w:rPr>
      </w:pPr>
    </w:p>
    <w:p>
      <w:pPr>
        <w:spacing w:after="0" w:line="317" w:lineRule="exact"/>
        <w:rPr>
          <w:sz w:val="20"/>
          <w:szCs w:val="20"/>
          <w:color w:val="auto"/>
        </w:rPr>
      </w:pPr>
    </w:p>
    <w:p>
      <w:pPr>
        <w:ind w:left="100" w:right="6840" w:hanging="2"/>
        <w:spacing w:after="0" w:line="485" w:lineRule="auto"/>
        <w:tabs>
          <w:tab w:leader="none" w:pos="234"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Manpower Professional, Elan and Comsys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100965</wp:posOffset>
            </wp:positionV>
            <wp:extent cx="727265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9680"/>
          </w:cols>
          <w:pgMar w:left="1260" w:top="446" w:right="959" w:bottom="1440" w:gutter="0" w:footer="0" w:header="0"/>
        </w:sectPr>
      </w:pPr>
    </w:p>
    <w:bookmarkStart w:id="12" w:name="page13"/>
    <w:bookmarkEnd w:id="12"/>
    <w:tbl>
      <w:tblPr>
        <w:tblLayout w:type="fixed"/>
        <w:tblInd w:w="142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4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480" w:type="dxa"/>
            <w:vAlign w:val="bottom"/>
          </w:tcPr>
          <w:p>
            <w:pPr>
              <w:jc w:val="right"/>
              <w:spacing w:after="0"/>
              <w:rPr>
                <w:sz w:val="20"/>
                <w:szCs w:val="20"/>
                <w:color w:val="auto"/>
              </w:rPr>
            </w:pPr>
            <w:r>
              <w:rPr>
                <w:rFonts w:ascii="Arial" w:cs="Arial" w:eastAsia="Arial" w:hAnsi="Arial"/>
                <w:sz w:val="17"/>
                <w:szCs w:val="17"/>
                <w:color w:val="FFFFFF"/>
              </w:rPr>
              <w:t>13</w:t>
            </w:r>
          </w:p>
        </w:tc>
      </w:tr>
      <w:tr>
        <w:trPr>
          <w:trHeight w:val="202"/>
        </w:trPr>
        <w:tc>
          <w:tcPr>
            <w:tcW w:w="4960" w:type="dxa"/>
            <w:vAlign w:val="bottom"/>
          </w:tcPr>
          <w:p>
            <w:pPr>
              <w:spacing w:after="0"/>
              <w:rPr>
                <w:sz w:val="17"/>
                <w:szCs w:val="17"/>
                <w:color w:val="auto"/>
              </w:rPr>
            </w:pPr>
          </w:p>
        </w:tc>
        <w:tc>
          <w:tcPr>
            <w:tcW w:w="3140" w:type="dxa"/>
            <w:vAlign w:val="bottom"/>
          </w:tcPr>
          <w:p>
            <w:pPr>
              <w:ind w:left="216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46"/>
          <w:szCs w:val="46"/>
          <w:color w:val="5F81AA"/>
        </w:rPr>
        <w:t>Diversifying Via Specialty Services</w:t>
      </w:r>
    </w:p>
    <w:p>
      <w:pPr>
        <w:sectPr>
          <w:pgSz w:w="11900" w:h="16838" w:orient="portrait"/>
          <w:cols w:equalWidth="0" w:num="1">
            <w:col w:w="10000"/>
          </w:cols>
          <w:pgMar w:left="940" w:top="446"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0"/>
        <w:spacing w:after="0"/>
        <w:rPr>
          <w:sz w:val="20"/>
          <w:szCs w:val="20"/>
          <w:color w:val="auto"/>
        </w:rPr>
      </w:pPr>
      <w:r>
        <w:rPr>
          <w:rFonts w:ascii="Arial" w:cs="Arial" w:eastAsia="Arial" w:hAnsi="Arial"/>
          <w:sz w:val="31"/>
          <w:szCs w:val="31"/>
          <w:b w:val="1"/>
          <w:bCs w:val="1"/>
          <w:color w:val="D47C18"/>
        </w:rPr>
        <w:t>Evolution of Specialty Gross Margin</w:t>
      </w:r>
    </w:p>
    <w:p>
      <w:pPr>
        <w:spacing w:after="0" w:line="277" w:lineRule="exact"/>
        <w:rPr>
          <w:sz w:val="20"/>
          <w:szCs w:val="20"/>
          <w:color w:val="auto"/>
        </w:rPr>
      </w:pPr>
    </w:p>
    <w:p>
      <w:pPr>
        <w:ind w:left="440" w:right="2160"/>
        <w:spacing w:after="0" w:line="243" w:lineRule="auto"/>
        <w:rPr>
          <w:sz w:val="20"/>
          <w:szCs w:val="20"/>
          <w:color w:val="auto"/>
        </w:rPr>
      </w:pPr>
      <w:r>
        <w:rPr>
          <w:rFonts w:ascii="Arial" w:cs="Arial" w:eastAsia="Arial" w:hAnsi="Arial"/>
          <w:sz w:val="25"/>
          <w:szCs w:val="25"/>
          <w:color w:val="auto"/>
        </w:rPr>
        <w:t>Gross margin from specialty services now exceeds one-third of our total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296"/>
        </w:trPr>
        <w:tc>
          <w:tcPr>
            <w:tcW w:w="3920" w:type="dxa"/>
            <w:vAlign w:val="bottom"/>
          </w:tcPr>
          <w:p>
            <w:pPr>
              <w:spacing w:after="0"/>
              <w:rPr>
                <w:sz w:val="20"/>
                <w:szCs w:val="20"/>
                <w:color w:val="auto"/>
              </w:rPr>
            </w:pPr>
            <w:r>
              <w:rPr>
                <w:rFonts w:ascii="Arial" w:cs="Arial" w:eastAsia="Arial" w:hAnsi="Arial"/>
                <w:sz w:val="25"/>
                <w:szCs w:val="25"/>
                <w:color w:val="6698C2"/>
              </w:rPr>
              <w:t>Manpower Professional</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3920" w:type="dxa"/>
            <w:vAlign w:val="bottom"/>
          </w:tcPr>
          <w:p>
            <w:pPr>
              <w:spacing w:after="0"/>
              <w:rPr>
                <w:sz w:val="20"/>
                <w:szCs w:val="20"/>
                <w:color w:val="auto"/>
              </w:rPr>
            </w:pPr>
            <w:r>
              <w:rPr>
                <w:rFonts w:ascii="Arial" w:cs="Arial" w:eastAsia="Arial" w:hAnsi="Arial"/>
                <w:sz w:val="25"/>
                <w:szCs w:val="25"/>
                <w:color w:val="6698C2"/>
              </w:rPr>
              <w:t>Elan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3920" w:type="dxa"/>
            <w:vAlign w:val="bottom"/>
          </w:tcPr>
          <w:p>
            <w:pPr>
              <w:spacing w:after="0"/>
              <w:rPr>
                <w:sz w:val="20"/>
                <w:szCs w:val="20"/>
                <w:color w:val="auto"/>
              </w:rPr>
            </w:pPr>
            <w:r>
              <w:rPr>
                <w:rFonts w:ascii="Arial" w:cs="Arial" w:eastAsia="Arial" w:hAnsi="Arial"/>
                <w:sz w:val="25"/>
                <w:szCs w:val="25"/>
                <w:color w:val="6698C2"/>
              </w:rPr>
              <w:t>COMSYS</w:t>
            </w:r>
          </w:p>
        </w:tc>
        <w:tc>
          <w:tcPr>
            <w:tcW w:w="1600" w:type="dxa"/>
            <w:vAlign w:val="bottom"/>
            <w:vMerge w:val="restart"/>
          </w:tcPr>
          <w:p>
            <w:pPr>
              <w:jc w:val="center"/>
              <w:ind w:left="337"/>
              <w:spacing w:after="0"/>
              <w:rPr>
                <w:sz w:val="20"/>
                <w:szCs w:val="20"/>
                <w:color w:val="auto"/>
              </w:rPr>
            </w:pPr>
            <w:r>
              <w:rPr>
                <w:rFonts w:ascii="Arial" w:cs="Arial" w:eastAsia="Arial" w:hAnsi="Arial"/>
                <w:sz w:val="37"/>
                <w:szCs w:val="37"/>
                <w:b w:val="1"/>
                <w:bCs w:val="1"/>
                <w:color w:val="auto"/>
                <w:w w:val="98"/>
              </w:rPr>
              <w:t>$185M</w:t>
            </w:r>
          </w:p>
        </w:tc>
        <w:tc>
          <w:tcPr>
            <w:tcW w:w="0" w:type="dxa"/>
            <w:vAlign w:val="bottom"/>
          </w:tcPr>
          <w:p>
            <w:pPr>
              <w:spacing w:after="0"/>
              <w:rPr>
                <w:sz w:val="1"/>
                <w:szCs w:val="1"/>
                <w:color w:val="auto"/>
              </w:rPr>
            </w:pPr>
          </w:p>
        </w:tc>
      </w:tr>
      <w:tr>
        <w:trPr>
          <w:trHeight w:val="254"/>
        </w:trPr>
        <w:tc>
          <w:tcPr>
            <w:tcW w:w="3920" w:type="dxa"/>
            <w:vAlign w:val="bottom"/>
            <w:vMerge w:val="restart"/>
          </w:tcPr>
          <w:p>
            <w:pPr>
              <w:spacing w:after="0"/>
              <w:rPr>
                <w:sz w:val="20"/>
                <w:szCs w:val="20"/>
                <w:color w:val="auto"/>
              </w:rPr>
            </w:pPr>
            <w:r>
              <w:rPr>
                <w:rFonts w:ascii="Arial" w:cs="Arial" w:eastAsia="Arial" w:hAnsi="Arial"/>
                <w:sz w:val="25"/>
                <w:szCs w:val="25"/>
                <w:color w:val="6698C2"/>
              </w:rPr>
              <w:t>Jefferson Wells</w:t>
            </w:r>
          </w:p>
        </w:tc>
        <w:tc>
          <w:tcPr>
            <w:tcW w:w="1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92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8"/>
        </w:trPr>
        <w:tc>
          <w:tcPr>
            <w:tcW w:w="3920" w:type="dxa"/>
            <w:vAlign w:val="bottom"/>
          </w:tcPr>
          <w:p>
            <w:pPr>
              <w:spacing w:after="0"/>
              <w:rPr>
                <w:sz w:val="20"/>
                <w:szCs w:val="20"/>
                <w:color w:val="auto"/>
              </w:rPr>
            </w:pPr>
            <w:r>
              <w:rPr>
                <w:rFonts w:ascii="Arial" w:cs="Arial" w:eastAsia="Arial" w:hAnsi="Arial"/>
                <w:sz w:val="25"/>
                <w:szCs w:val="25"/>
                <w:color w:val="6698C2"/>
              </w:rPr>
              <w:t>Right Management</w:t>
            </w:r>
          </w:p>
        </w:tc>
        <w:tc>
          <w:tcPr>
            <w:tcW w:w="1600" w:type="dxa"/>
            <w:vAlign w:val="bottom"/>
          </w:tcPr>
          <w:p>
            <w:pPr>
              <w:jc w:val="right"/>
              <w:ind w:right="177"/>
              <w:spacing w:after="0"/>
              <w:rPr>
                <w:sz w:val="20"/>
                <w:szCs w:val="20"/>
                <w:color w:val="auto"/>
              </w:rPr>
            </w:pPr>
            <w:r>
              <w:rPr>
                <w:rFonts w:ascii="Arial" w:cs="Arial" w:eastAsia="Arial" w:hAnsi="Arial"/>
                <w:sz w:val="21"/>
                <w:szCs w:val="21"/>
                <w:b w:val="1"/>
                <w:bCs w:val="1"/>
                <w:color w:val="7F7F7F"/>
              </w:rPr>
              <w:t>1999</w:t>
            </w:r>
          </w:p>
        </w:tc>
        <w:tc>
          <w:tcPr>
            <w:tcW w:w="0" w:type="dxa"/>
            <w:vAlign w:val="bottom"/>
          </w:tcPr>
          <w:p>
            <w:pPr>
              <w:spacing w:after="0"/>
              <w:rPr>
                <w:sz w:val="1"/>
                <w:szCs w:val="1"/>
                <w:color w:val="auto"/>
              </w:rPr>
            </w:pPr>
          </w:p>
        </w:tc>
      </w:tr>
      <w:tr>
        <w:trPr>
          <w:trHeight w:val="881"/>
        </w:trPr>
        <w:tc>
          <w:tcPr>
            <w:tcW w:w="3920" w:type="dxa"/>
            <w:vAlign w:val="bottom"/>
          </w:tcPr>
          <w:p>
            <w:pPr>
              <w:ind w:left="1680"/>
              <w:spacing w:after="0"/>
              <w:rPr>
                <w:sz w:val="20"/>
                <w:szCs w:val="20"/>
                <w:color w:val="auto"/>
              </w:rPr>
            </w:pPr>
            <w:r>
              <w:rPr>
                <w:rFonts w:ascii="Arial" w:cs="Arial" w:eastAsia="Arial" w:hAnsi="Arial"/>
                <w:sz w:val="28"/>
                <w:szCs w:val="28"/>
                <w:b w:val="1"/>
                <w:bCs w:val="1"/>
                <w:color w:val="C8504F"/>
              </w:rPr>
              <w:t>% of Total GP</w:t>
            </w:r>
          </w:p>
        </w:tc>
        <w:tc>
          <w:tcPr>
            <w:tcW w:w="1600" w:type="dxa"/>
            <w:vAlign w:val="bottom"/>
          </w:tcPr>
          <w:p>
            <w:pPr>
              <w:jc w:val="right"/>
              <w:spacing w:after="0"/>
              <w:rPr>
                <w:sz w:val="20"/>
                <w:szCs w:val="20"/>
                <w:color w:val="auto"/>
              </w:rPr>
            </w:pPr>
            <w:r>
              <w:rPr>
                <w:rFonts w:ascii="Arial" w:cs="Arial" w:eastAsia="Arial" w:hAnsi="Arial"/>
                <w:sz w:val="28"/>
                <w:szCs w:val="28"/>
                <w:b w:val="1"/>
                <w:bCs w:val="1"/>
                <w:color w:val="FFFFFF"/>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0"/>
        <w:spacing w:after="0"/>
        <w:rPr>
          <w:sz w:val="20"/>
          <w:szCs w:val="20"/>
          <w:color w:val="auto"/>
        </w:rPr>
      </w:pPr>
      <w:r>
        <w:rPr>
          <w:rFonts w:ascii="Arial" w:cs="Arial" w:eastAsia="Arial" w:hAnsi="Arial"/>
          <w:sz w:val="37"/>
          <w:szCs w:val="37"/>
          <w:b w:val="1"/>
          <w:bCs w:val="1"/>
          <w:color w:val="auto"/>
        </w:rPr>
        <w:t>$975M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7F7F7F"/>
        </w:rPr>
        <w:t>2009 Pro forma</w:t>
      </w:r>
      <w:r>
        <w:rPr>
          <w:rFonts w:ascii="Arial" w:cs="Arial" w:eastAsia="Arial" w:hAnsi="Arial"/>
          <w:sz w:val="30"/>
          <w:szCs w:val="30"/>
          <w:color w:val="000000"/>
          <w:vertAlign w:val="superscript"/>
        </w:rPr>
        <w:t>*</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28"/>
          <w:szCs w:val="28"/>
          <w:b w:val="1"/>
          <w:bCs w:val="1"/>
          <w:color w:val="FFFFFF"/>
        </w:rPr>
        <w:t>33%</w:t>
      </w:r>
    </w:p>
    <w:p>
      <w:pPr>
        <w:spacing w:after="0" w:line="243" w:lineRule="exact"/>
        <w:rPr>
          <w:sz w:val="20"/>
          <w:szCs w:val="20"/>
          <w:color w:val="auto"/>
        </w:rPr>
      </w:pPr>
    </w:p>
    <w:p>
      <w:pPr>
        <w:sectPr>
          <w:pgSz w:w="11900" w:h="16838" w:orient="portrait"/>
          <w:cols w:equalWidth="0" w:num="2">
            <w:col w:w="6300" w:space="720"/>
            <w:col w:w="2980"/>
          </w:cols>
          <w:pgMar w:left="940" w:top="446" w:right="95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 2009 Pro forma includes the results of COMSYS IT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318770</wp:posOffset>
            </wp:positionV>
            <wp:extent cx="727265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000"/>
          </w:cols>
          <w:pgMar w:left="940" w:top="446" w:right="959" w:bottom="1440" w:gutter="0" w:footer="0" w:header="0"/>
          <w:type w:val="continuous"/>
        </w:sectPr>
      </w:pPr>
    </w:p>
    <w:bookmarkStart w:id="13" w:name="page14"/>
    <w:bookmarkEnd w:id="13"/>
    <w:tbl>
      <w:tblPr>
        <w:tblLayout w:type="fixed"/>
        <w:tblInd w:w="110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2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460" w:type="dxa"/>
            <w:vAlign w:val="bottom"/>
          </w:tcPr>
          <w:p>
            <w:pPr>
              <w:jc w:val="right"/>
              <w:spacing w:after="0"/>
              <w:rPr>
                <w:sz w:val="20"/>
                <w:szCs w:val="20"/>
                <w:color w:val="auto"/>
              </w:rPr>
            </w:pPr>
            <w:r>
              <w:rPr>
                <w:rFonts w:ascii="Arial" w:cs="Arial" w:eastAsia="Arial" w:hAnsi="Arial"/>
                <w:sz w:val="17"/>
                <w:szCs w:val="17"/>
                <w:color w:val="FFFFFF"/>
              </w:rPr>
              <w:t>14</w:t>
            </w:r>
          </w:p>
        </w:tc>
      </w:tr>
      <w:tr>
        <w:trPr>
          <w:trHeight w:val="202"/>
        </w:trPr>
        <w:tc>
          <w:tcPr>
            <w:tcW w:w="4960" w:type="dxa"/>
            <w:vAlign w:val="bottom"/>
          </w:tcPr>
          <w:p>
            <w:pPr>
              <w:spacing w:after="0"/>
              <w:rPr>
                <w:sz w:val="17"/>
                <w:szCs w:val="17"/>
                <w:color w:val="auto"/>
              </w:rPr>
            </w:pPr>
          </w:p>
        </w:tc>
        <w:tc>
          <w:tcPr>
            <w:tcW w:w="3120" w:type="dxa"/>
            <w:vAlign w:val="bottom"/>
          </w:tcPr>
          <w:p>
            <w:pPr>
              <w:ind w:left="2160"/>
              <w:spacing w:after="0"/>
              <w:rPr>
                <w:sz w:val="20"/>
                <w:szCs w:val="20"/>
                <w:color w:val="auto"/>
              </w:rPr>
            </w:pPr>
            <w:r>
              <w:rPr>
                <w:rFonts w:ascii="Arial" w:cs="Arial" w:eastAsia="Arial" w:hAnsi="Arial"/>
                <w:sz w:val="17"/>
                <w:szCs w:val="17"/>
                <w:color w:val="FFFFFF"/>
              </w:rPr>
              <w:t>2010</w:t>
            </w:r>
          </w:p>
        </w:tc>
        <w:tc>
          <w:tcPr>
            <w:tcW w:w="460" w:type="dxa"/>
            <w:vAlign w:val="bottom"/>
          </w:tcPr>
          <w:p>
            <w:pPr>
              <w:spacing w:after="0"/>
              <w:rPr>
                <w:sz w:val="17"/>
                <w:szCs w:val="17"/>
                <w:color w:val="auto"/>
              </w:rPr>
            </w:pPr>
          </w:p>
        </w:tc>
      </w:tr>
    </w:tbl>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spacing w:after="0"/>
        <w:rPr>
          <w:sz w:val="20"/>
          <w:szCs w:val="20"/>
          <w:color w:val="auto"/>
        </w:rPr>
      </w:pPr>
      <w:r>
        <w:rPr>
          <w:rFonts w:ascii="Arial" w:cs="Arial" w:eastAsia="Arial" w:hAnsi="Arial"/>
          <w:sz w:val="46"/>
          <w:szCs w:val="46"/>
          <w:color w:val="5F81AA"/>
        </w:rPr>
        <w:t>Exciting Growth Opportunities</w:t>
      </w:r>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87"/>
        </w:trPr>
        <w:tc>
          <w:tcPr>
            <w:tcW w:w="2020" w:type="dxa"/>
            <w:vAlign w:val="bottom"/>
          </w:tcPr>
          <w:p>
            <w:pPr>
              <w:spacing w:after="0"/>
              <w:rPr>
                <w:sz w:val="24"/>
                <w:szCs w:val="24"/>
                <w:color w:val="auto"/>
              </w:rPr>
            </w:pPr>
          </w:p>
        </w:tc>
        <w:tc>
          <w:tcPr>
            <w:tcW w:w="2800" w:type="dxa"/>
            <w:vAlign w:val="bottom"/>
          </w:tcPr>
          <w:p>
            <w:pPr>
              <w:jc w:val="right"/>
              <w:ind w:right="126"/>
              <w:spacing w:after="0"/>
              <w:rPr>
                <w:sz w:val="20"/>
                <w:szCs w:val="20"/>
                <w:color w:val="auto"/>
              </w:rPr>
            </w:pPr>
            <w:r>
              <w:rPr>
                <w:rFonts w:ascii="Arial" w:cs="Arial" w:eastAsia="Arial" w:hAnsi="Arial"/>
                <w:sz w:val="25"/>
                <w:szCs w:val="25"/>
                <w:b w:val="1"/>
                <w:bCs w:val="1"/>
                <w:color w:val="7EA190"/>
              </w:rPr>
              <w:t>Staffing Market</w:t>
            </w:r>
          </w:p>
        </w:tc>
        <w:tc>
          <w:tcPr>
            <w:tcW w:w="2120" w:type="dxa"/>
            <w:vAlign w:val="bottom"/>
          </w:tcPr>
          <w:p>
            <w:pPr>
              <w:jc w:val="center"/>
              <w:ind w:right="46"/>
              <w:spacing w:after="0"/>
              <w:rPr>
                <w:sz w:val="20"/>
                <w:szCs w:val="20"/>
                <w:color w:val="auto"/>
              </w:rPr>
            </w:pPr>
            <w:r>
              <w:rPr>
                <w:rFonts w:ascii="Arial" w:cs="Arial" w:eastAsia="Arial" w:hAnsi="Arial"/>
                <w:sz w:val="25"/>
                <w:szCs w:val="25"/>
                <w:b w:val="1"/>
                <w:bCs w:val="1"/>
                <w:color w:val="6698C2"/>
                <w:w w:val="98"/>
              </w:rPr>
              <w:t>Growth</w:t>
            </w:r>
          </w:p>
        </w:tc>
        <w:tc>
          <w:tcPr>
            <w:tcW w:w="2000" w:type="dxa"/>
            <w:vAlign w:val="bottom"/>
          </w:tcPr>
          <w:p>
            <w:pPr>
              <w:jc w:val="center"/>
              <w:ind w:left="326"/>
              <w:spacing w:after="0"/>
              <w:rPr>
                <w:sz w:val="20"/>
                <w:szCs w:val="20"/>
                <w:color w:val="auto"/>
              </w:rPr>
            </w:pPr>
            <w:r>
              <w:rPr>
                <w:rFonts w:ascii="Arial" w:cs="Arial" w:eastAsia="Arial" w:hAnsi="Arial"/>
                <w:sz w:val="25"/>
                <w:szCs w:val="25"/>
                <w:b w:val="1"/>
                <w:bCs w:val="1"/>
                <w:color w:val="D47C18"/>
                <w:w w:val="98"/>
              </w:rPr>
              <w:t>Manpower</w:t>
            </w:r>
          </w:p>
        </w:tc>
      </w:tr>
      <w:tr>
        <w:trPr>
          <w:trHeight w:val="326"/>
        </w:trPr>
        <w:tc>
          <w:tcPr>
            <w:tcW w:w="2020" w:type="dxa"/>
            <w:vAlign w:val="bottom"/>
          </w:tcPr>
          <w:p>
            <w:pPr>
              <w:spacing w:after="0"/>
              <w:rPr>
                <w:sz w:val="24"/>
                <w:szCs w:val="24"/>
                <w:color w:val="auto"/>
              </w:rPr>
            </w:pPr>
          </w:p>
        </w:tc>
        <w:tc>
          <w:tcPr>
            <w:tcW w:w="2800" w:type="dxa"/>
            <w:vAlign w:val="bottom"/>
          </w:tcPr>
          <w:p>
            <w:pPr>
              <w:jc w:val="right"/>
              <w:ind w:right="346"/>
              <w:spacing w:after="0"/>
              <w:rPr>
                <w:sz w:val="20"/>
                <w:szCs w:val="20"/>
                <w:color w:val="auto"/>
              </w:rPr>
            </w:pPr>
            <w:r>
              <w:rPr>
                <w:rFonts w:ascii="Arial" w:cs="Arial" w:eastAsia="Arial" w:hAnsi="Arial"/>
                <w:sz w:val="25"/>
                <w:szCs w:val="25"/>
                <w:b w:val="1"/>
                <w:bCs w:val="1"/>
                <w:color w:val="7EA190"/>
              </w:rPr>
              <w:t>Penetration</w:t>
            </w:r>
          </w:p>
        </w:tc>
        <w:tc>
          <w:tcPr>
            <w:tcW w:w="2120" w:type="dxa"/>
            <w:vAlign w:val="bottom"/>
          </w:tcPr>
          <w:p>
            <w:pPr>
              <w:jc w:val="center"/>
              <w:ind w:right="66"/>
              <w:spacing w:after="0"/>
              <w:rPr>
                <w:sz w:val="20"/>
                <w:szCs w:val="20"/>
                <w:color w:val="auto"/>
              </w:rPr>
            </w:pPr>
            <w:r>
              <w:rPr>
                <w:rFonts w:ascii="Arial" w:cs="Arial" w:eastAsia="Arial" w:hAnsi="Arial"/>
                <w:sz w:val="25"/>
                <w:szCs w:val="25"/>
                <w:b w:val="1"/>
                <w:bCs w:val="1"/>
                <w:color w:val="6698C2"/>
                <w:w w:val="97"/>
              </w:rPr>
              <w:t>Opportunity</w:t>
            </w:r>
          </w:p>
        </w:tc>
        <w:tc>
          <w:tcPr>
            <w:tcW w:w="2000" w:type="dxa"/>
            <w:vAlign w:val="bottom"/>
          </w:tcPr>
          <w:p>
            <w:pPr>
              <w:jc w:val="center"/>
              <w:ind w:left="326"/>
              <w:spacing w:after="0"/>
              <w:rPr>
                <w:sz w:val="20"/>
                <w:szCs w:val="20"/>
                <w:color w:val="auto"/>
              </w:rPr>
            </w:pPr>
            <w:r>
              <w:rPr>
                <w:rFonts w:ascii="Arial" w:cs="Arial" w:eastAsia="Arial" w:hAnsi="Arial"/>
                <w:sz w:val="25"/>
                <w:szCs w:val="25"/>
                <w:b w:val="1"/>
                <w:bCs w:val="1"/>
                <w:color w:val="D47C18"/>
                <w:w w:val="98"/>
              </w:rPr>
              <w:t>Market Share</w:t>
            </w:r>
          </w:p>
        </w:tc>
      </w:tr>
      <w:tr>
        <w:trPr>
          <w:trHeight w:val="615"/>
        </w:trPr>
        <w:tc>
          <w:tcPr>
            <w:tcW w:w="2020" w:type="dxa"/>
            <w:vAlign w:val="bottom"/>
          </w:tcPr>
          <w:p>
            <w:pPr>
              <w:spacing w:after="0"/>
              <w:rPr>
                <w:sz w:val="20"/>
                <w:szCs w:val="20"/>
                <w:color w:val="auto"/>
              </w:rPr>
            </w:pPr>
            <w:r>
              <w:rPr>
                <w:rFonts w:ascii="Arial" w:cs="Arial" w:eastAsia="Arial" w:hAnsi="Arial"/>
                <w:sz w:val="31"/>
                <w:szCs w:val="31"/>
                <w:color w:val="auto"/>
              </w:rPr>
              <w:t>Italy</w:t>
            </w:r>
          </w:p>
        </w:tc>
        <w:tc>
          <w:tcPr>
            <w:tcW w:w="2800" w:type="dxa"/>
            <w:vAlign w:val="bottom"/>
          </w:tcPr>
          <w:p>
            <w:pPr>
              <w:jc w:val="right"/>
              <w:ind w:right="1206"/>
              <w:spacing w:after="0"/>
              <w:rPr>
                <w:sz w:val="20"/>
                <w:szCs w:val="20"/>
                <w:color w:val="auto"/>
              </w:rPr>
            </w:pPr>
            <w:r>
              <w:rPr>
                <w:rFonts w:ascii="Arial" w:cs="Arial" w:eastAsia="Arial" w:hAnsi="Arial"/>
                <w:sz w:val="28"/>
                <w:szCs w:val="28"/>
                <w:b w:val="1"/>
                <w:bCs w:val="1"/>
                <w:color w:val="auto"/>
              </w:rPr>
              <w:t>0.9%</w:t>
            </w:r>
          </w:p>
        </w:tc>
        <w:tc>
          <w:tcPr>
            <w:tcW w:w="2120" w:type="dxa"/>
            <w:vAlign w:val="bottom"/>
          </w:tcPr>
          <w:p>
            <w:pPr>
              <w:jc w:val="center"/>
              <w:ind w:right="706"/>
              <w:spacing w:after="0"/>
              <w:rPr>
                <w:sz w:val="20"/>
                <w:szCs w:val="20"/>
                <w:color w:val="auto"/>
              </w:rPr>
            </w:pPr>
            <w:r>
              <w:rPr>
                <w:rFonts w:ascii="Arial" w:cs="Arial" w:eastAsia="Arial" w:hAnsi="Arial"/>
                <w:sz w:val="28"/>
                <w:szCs w:val="28"/>
                <w:b w:val="1"/>
                <w:bCs w:val="1"/>
                <w:color w:val="auto"/>
                <w:w w:val="97"/>
              </w:rPr>
              <w:t>+++</w:t>
            </w:r>
          </w:p>
        </w:tc>
        <w:tc>
          <w:tcPr>
            <w:tcW w:w="2000" w:type="dxa"/>
            <w:vAlign w:val="bottom"/>
          </w:tcPr>
          <w:p>
            <w:pPr>
              <w:jc w:val="center"/>
              <w:ind w:right="186"/>
              <w:spacing w:after="0"/>
              <w:rPr>
                <w:sz w:val="20"/>
                <w:szCs w:val="20"/>
                <w:color w:val="auto"/>
              </w:rPr>
            </w:pPr>
            <w:r>
              <w:rPr>
                <w:rFonts w:ascii="Arial" w:cs="Arial" w:eastAsia="Arial" w:hAnsi="Arial"/>
                <w:sz w:val="28"/>
                <w:szCs w:val="28"/>
                <w:b w:val="1"/>
                <w:bCs w:val="1"/>
                <w:color w:val="auto"/>
                <w:w w:val="99"/>
              </w:rPr>
              <w:t>16%</w:t>
            </w:r>
          </w:p>
        </w:tc>
      </w:tr>
      <w:tr>
        <w:trPr>
          <w:trHeight w:val="575"/>
        </w:trPr>
        <w:tc>
          <w:tcPr>
            <w:tcW w:w="2020" w:type="dxa"/>
            <w:vAlign w:val="bottom"/>
          </w:tcPr>
          <w:p>
            <w:pPr>
              <w:spacing w:after="0"/>
              <w:rPr>
                <w:sz w:val="20"/>
                <w:szCs w:val="20"/>
                <w:color w:val="auto"/>
              </w:rPr>
            </w:pPr>
            <w:r>
              <w:rPr>
                <w:rFonts w:ascii="Arial" w:cs="Arial" w:eastAsia="Arial" w:hAnsi="Arial"/>
                <w:sz w:val="31"/>
                <w:szCs w:val="31"/>
                <w:color w:val="auto"/>
              </w:rPr>
              <w:t>Nordics</w:t>
            </w:r>
          </w:p>
        </w:tc>
        <w:tc>
          <w:tcPr>
            <w:tcW w:w="2800" w:type="dxa"/>
            <w:vAlign w:val="bottom"/>
          </w:tcPr>
          <w:p>
            <w:pPr>
              <w:jc w:val="right"/>
              <w:ind w:right="1206"/>
              <w:spacing w:after="0"/>
              <w:rPr>
                <w:sz w:val="20"/>
                <w:szCs w:val="20"/>
                <w:color w:val="auto"/>
              </w:rPr>
            </w:pPr>
            <w:r>
              <w:rPr>
                <w:rFonts w:ascii="Arial" w:cs="Arial" w:eastAsia="Arial" w:hAnsi="Arial"/>
                <w:sz w:val="28"/>
                <w:szCs w:val="28"/>
                <w:b w:val="1"/>
                <w:bCs w:val="1"/>
                <w:color w:val="auto"/>
              </w:rPr>
              <w:t>1.0%</w:t>
            </w:r>
          </w:p>
        </w:tc>
        <w:tc>
          <w:tcPr>
            <w:tcW w:w="2120" w:type="dxa"/>
            <w:vAlign w:val="bottom"/>
          </w:tcPr>
          <w:p>
            <w:pPr>
              <w:jc w:val="center"/>
              <w:ind w:right="706"/>
              <w:spacing w:after="0"/>
              <w:rPr>
                <w:sz w:val="20"/>
                <w:szCs w:val="20"/>
                <w:color w:val="auto"/>
              </w:rPr>
            </w:pPr>
            <w:r>
              <w:rPr>
                <w:rFonts w:ascii="Arial" w:cs="Arial" w:eastAsia="Arial" w:hAnsi="Arial"/>
                <w:sz w:val="28"/>
                <w:szCs w:val="28"/>
                <w:b w:val="1"/>
                <w:bCs w:val="1"/>
                <w:color w:val="auto"/>
                <w:w w:val="97"/>
              </w:rPr>
              <w:t>+++</w:t>
            </w:r>
          </w:p>
        </w:tc>
        <w:tc>
          <w:tcPr>
            <w:tcW w:w="2000" w:type="dxa"/>
            <w:vAlign w:val="bottom"/>
          </w:tcPr>
          <w:p>
            <w:pPr>
              <w:jc w:val="center"/>
              <w:ind w:right="186"/>
              <w:spacing w:after="0"/>
              <w:rPr>
                <w:sz w:val="20"/>
                <w:szCs w:val="20"/>
                <w:color w:val="auto"/>
              </w:rPr>
            </w:pPr>
            <w:r>
              <w:rPr>
                <w:rFonts w:ascii="Arial" w:cs="Arial" w:eastAsia="Arial" w:hAnsi="Arial"/>
                <w:sz w:val="28"/>
                <w:szCs w:val="28"/>
                <w:b w:val="1"/>
                <w:bCs w:val="1"/>
                <w:color w:val="auto"/>
                <w:w w:val="99"/>
              </w:rPr>
              <w:t>30%</w:t>
            </w:r>
          </w:p>
        </w:tc>
      </w:tr>
      <w:tr>
        <w:trPr>
          <w:trHeight w:val="609"/>
        </w:trPr>
        <w:tc>
          <w:tcPr>
            <w:tcW w:w="2020" w:type="dxa"/>
            <w:vAlign w:val="bottom"/>
          </w:tcPr>
          <w:p>
            <w:pPr>
              <w:spacing w:after="0"/>
              <w:rPr>
                <w:sz w:val="20"/>
                <w:szCs w:val="20"/>
                <w:color w:val="auto"/>
              </w:rPr>
            </w:pPr>
            <w:r>
              <w:rPr>
                <w:rFonts w:ascii="Arial" w:cs="Arial" w:eastAsia="Arial" w:hAnsi="Arial"/>
                <w:sz w:val="31"/>
                <w:szCs w:val="31"/>
                <w:color w:val="auto"/>
              </w:rPr>
              <w:t>Germany</w:t>
            </w:r>
          </w:p>
        </w:tc>
        <w:tc>
          <w:tcPr>
            <w:tcW w:w="2800" w:type="dxa"/>
            <w:vAlign w:val="bottom"/>
          </w:tcPr>
          <w:p>
            <w:pPr>
              <w:jc w:val="right"/>
              <w:ind w:right="1206"/>
              <w:spacing w:after="0"/>
              <w:rPr>
                <w:sz w:val="20"/>
                <w:szCs w:val="20"/>
                <w:color w:val="auto"/>
              </w:rPr>
            </w:pPr>
            <w:r>
              <w:rPr>
                <w:rFonts w:ascii="Arial" w:cs="Arial" w:eastAsia="Arial" w:hAnsi="Arial"/>
                <w:sz w:val="28"/>
                <w:szCs w:val="28"/>
                <w:b w:val="1"/>
                <w:bCs w:val="1"/>
                <w:color w:val="auto"/>
              </w:rPr>
              <w:t>1.4%</w:t>
            </w:r>
          </w:p>
        </w:tc>
        <w:tc>
          <w:tcPr>
            <w:tcW w:w="2120" w:type="dxa"/>
            <w:vAlign w:val="bottom"/>
          </w:tcPr>
          <w:p>
            <w:pPr>
              <w:jc w:val="center"/>
              <w:ind w:right="706"/>
              <w:spacing w:after="0"/>
              <w:rPr>
                <w:sz w:val="20"/>
                <w:szCs w:val="20"/>
                <w:color w:val="auto"/>
              </w:rPr>
            </w:pPr>
            <w:r>
              <w:rPr>
                <w:rFonts w:ascii="Arial" w:cs="Arial" w:eastAsia="Arial" w:hAnsi="Arial"/>
                <w:sz w:val="28"/>
                <w:szCs w:val="28"/>
                <w:b w:val="1"/>
                <w:bCs w:val="1"/>
                <w:color w:val="auto"/>
                <w:w w:val="97"/>
              </w:rPr>
              <w:t>+++</w:t>
            </w:r>
          </w:p>
        </w:tc>
        <w:tc>
          <w:tcPr>
            <w:tcW w:w="2000" w:type="dxa"/>
            <w:vAlign w:val="bottom"/>
          </w:tcPr>
          <w:p>
            <w:pPr>
              <w:jc w:val="center"/>
              <w:ind w:right="186"/>
              <w:spacing w:after="0"/>
              <w:rPr>
                <w:sz w:val="20"/>
                <w:szCs w:val="20"/>
                <w:color w:val="auto"/>
              </w:rPr>
            </w:pPr>
            <w:r>
              <w:rPr>
                <w:rFonts w:ascii="Arial" w:cs="Arial" w:eastAsia="Arial" w:hAnsi="Arial"/>
                <w:sz w:val="28"/>
                <w:szCs w:val="28"/>
                <w:b w:val="1"/>
                <w:bCs w:val="1"/>
                <w:color w:val="auto"/>
                <w:w w:val="98"/>
              </w:rPr>
              <w:t>5%</w:t>
            </w:r>
          </w:p>
        </w:tc>
      </w:tr>
      <w:tr>
        <w:trPr>
          <w:trHeight w:val="620"/>
        </w:trPr>
        <w:tc>
          <w:tcPr>
            <w:tcW w:w="2020" w:type="dxa"/>
            <w:vAlign w:val="bottom"/>
          </w:tcPr>
          <w:p>
            <w:pPr>
              <w:spacing w:after="0"/>
              <w:rPr>
                <w:sz w:val="20"/>
                <w:szCs w:val="20"/>
                <w:color w:val="auto"/>
              </w:rPr>
            </w:pPr>
            <w:r>
              <w:rPr>
                <w:rFonts w:ascii="Arial" w:cs="Arial" w:eastAsia="Arial" w:hAnsi="Arial"/>
                <w:sz w:val="31"/>
                <w:szCs w:val="31"/>
                <w:color w:val="auto"/>
              </w:rPr>
              <w:t>Japan</w:t>
            </w:r>
          </w:p>
        </w:tc>
        <w:tc>
          <w:tcPr>
            <w:tcW w:w="2800" w:type="dxa"/>
            <w:vAlign w:val="bottom"/>
          </w:tcPr>
          <w:p>
            <w:pPr>
              <w:jc w:val="right"/>
              <w:ind w:right="1206"/>
              <w:spacing w:after="0"/>
              <w:rPr>
                <w:sz w:val="20"/>
                <w:szCs w:val="20"/>
                <w:color w:val="auto"/>
              </w:rPr>
            </w:pPr>
            <w:r>
              <w:rPr>
                <w:rFonts w:ascii="Arial" w:cs="Arial" w:eastAsia="Arial" w:hAnsi="Arial"/>
                <w:sz w:val="28"/>
                <w:szCs w:val="28"/>
                <w:b w:val="1"/>
                <w:bCs w:val="1"/>
                <w:color w:val="auto"/>
              </w:rPr>
              <w:t>1.8%</w:t>
            </w:r>
          </w:p>
        </w:tc>
        <w:tc>
          <w:tcPr>
            <w:tcW w:w="2120" w:type="dxa"/>
            <w:vAlign w:val="bottom"/>
          </w:tcPr>
          <w:p>
            <w:pPr>
              <w:jc w:val="center"/>
              <w:ind w:right="706"/>
              <w:spacing w:after="0"/>
              <w:rPr>
                <w:sz w:val="20"/>
                <w:szCs w:val="20"/>
                <w:color w:val="auto"/>
              </w:rPr>
            </w:pPr>
            <w:r>
              <w:rPr>
                <w:rFonts w:ascii="Arial" w:cs="Arial" w:eastAsia="Arial" w:hAnsi="Arial"/>
                <w:sz w:val="28"/>
                <w:szCs w:val="28"/>
                <w:b w:val="1"/>
                <w:bCs w:val="1"/>
                <w:color w:val="auto"/>
                <w:w w:val="97"/>
              </w:rPr>
              <w:t>++</w:t>
            </w:r>
          </w:p>
        </w:tc>
        <w:tc>
          <w:tcPr>
            <w:tcW w:w="2000" w:type="dxa"/>
            <w:vAlign w:val="bottom"/>
          </w:tcPr>
          <w:p>
            <w:pPr>
              <w:jc w:val="center"/>
              <w:ind w:right="186"/>
              <w:spacing w:after="0"/>
              <w:rPr>
                <w:sz w:val="20"/>
                <w:szCs w:val="20"/>
                <w:color w:val="auto"/>
              </w:rPr>
            </w:pPr>
            <w:r>
              <w:rPr>
                <w:rFonts w:ascii="Arial" w:cs="Arial" w:eastAsia="Arial" w:hAnsi="Arial"/>
                <w:sz w:val="28"/>
                <w:szCs w:val="28"/>
                <w:b w:val="1"/>
                <w:bCs w:val="1"/>
                <w:color w:val="auto"/>
                <w:w w:val="98"/>
              </w:rPr>
              <w:t>3%</w:t>
            </w:r>
          </w:p>
        </w:tc>
      </w:tr>
      <w:tr>
        <w:trPr>
          <w:trHeight w:val="678"/>
        </w:trPr>
        <w:tc>
          <w:tcPr>
            <w:tcW w:w="2020" w:type="dxa"/>
            <w:vAlign w:val="bottom"/>
          </w:tcPr>
          <w:p>
            <w:pPr>
              <w:spacing w:after="0"/>
              <w:rPr>
                <w:sz w:val="20"/>
                <w:szCs w:val="20"/>
                <w:color w:val="auto"/>
              </w:rPr>
            </w:pPr>
            <w:r>
              <w:rPr>
                <w:rFonts w:ascii="Arial" w:cs="Arial" w:eastAsia="Arial" w:hAnsi="Arial"/>
                <w:sz w:val="31"/>
                <w:szCs w:val="31"/>
                <w:color w:val="auto"/>
              </w:rPr>
              <w:t>US</w:t>
            </w:r>
          </w:p>
        </w:tc>
        <w:tc>
          <w:tcPr>
            <w:tcW w:w="2800" w:type="dxa"/>
            <w:vAlign w:val="bottom"/>
          </w:tcPr>
          <w:p>
            <w:pPr>
              <w:jc w:val="right"/>
              <w:ind w:right="1206"/>
              <w:spacing w:after="0"/>
              <w:rPr>
                <w:sz w:val="20"/>
                <w:szCs w:val="20"/>
                <w:color w:val="auto"/>
              </w:rPr>
            </w:pPr>
            <w:r>
              <w:rPr>
                <w:rFonts w:ascii="Arial" w:cs="Arial" w:eastAsia="Arial" w:hAnsi="Arial"/>
                <w:sz w:val="28"/>
                <w:szCs w:val="28"/>
                <w:b w:val="1"/>
                <w:bCs w:val="1"/>
                <w:color w:val="auto"/>
              </w:rPr>
              <w:t>1.5%</w:t>
            </w:r>
          </w:p>
        </w:tc>
        <w:tc>
          <w:tcPr>
            <w:tcW w:w="2120" w:type="dxa"/>
            <w:vAlign w:val="bottom"/>
          </w:tcPr>
          <w:p>
            <w:pPr>
              <w:jc w:val="center"/>
              <w:ind w:right="706"/>
              <w:spacing w:after="0"/>
              <w:rPr>
                <w:sz w:val="20"/>
                <w:szCs w:val="20"/>
                <w:color w:val="auto"/>
              </w:rPr>
            </w:pPr>
            <w:r>
              <w:rPr>
                <w:rFonts w:ascii="Arial" w:cs="Arial" w:eastAsia="Arial" w:hAnsi="Arial"/>
                <w:sz w:val="28"/>
                <w:szCs w:val="28"/>
                <w:b w:val="1"/>
                <w:bCs w:val="1"/>
                <w:color w:val="auto"/>
                <w:w w:val="97"/>
              </w:rPr>
              <w:t>+</w:t>
            </w:r>
          </w:p>
        </w:tc>
        <w:tc>
          <w:tcPr>
            <w:tcW w:w="2000" w:type="dxa"/>
            <w:vAlign w:val="bottom"/>
          </w:tcPr>
          <w:p>
            <w:pPr>
              <w:jc w:val="center"/>
              <w:ind w:right="186"/>
              <w:spacing w:after="0"/>
              <w:rPr>
                <w:sz w:val="20"/>
                <w:szCs w:val="20"/>
                <w:color w:val="auto"/>
              </w:rPr>
            </w:pPr>
            <w:r>
              <w:rPr>
                <w:rFonts w:ascii="Arial" w:cs="Arial" w:eastAsia="Arial" w:hAnsi="Arial"/>
                <w:sz w:val="28"/>
                <w:szCs w:val="28"/>
                <w:b w:val="1"/>
                <w:bCs w:val="1"/>
                <w:color w:val="auto"/>
                <w:w w:val="98"/>
              </w:rPr>
              <w:t>3%</w:t>
            </w:r>
          </w:p>
        </w:tc>
      </w:tr>
      <w:tr>
        <w:trPr>
          <w:trHeight w:val="643"/>
        </w:trPr>
        <w:tc>
          <w:tcPr>
            <w:tcW w:w="2020" w:type="dxa"/>
            <w:vAlign w:val="bottom"/>
          </w:tcPr>
          <w:p>
            <w:pPr>
              <w:spacing w:after="0"/>
              <w:rPr>
                <w:sz w:val="20"/>
                <w:szCs w:val="20"/>
                <w:color w:val="auto"/>
              </w:rPr>
            </w:pPr>
            <w:r>
              <w:rPr>
                <w:rFonts w:ascii="Arial" w:cs="Arial" w:eastAsia="Arial" w:hAnsi="Arial"/>
                <w:sz w:val="31"/>
                <w:szCs w:val="31"/>
                <w:color w:val="auto"/>
              </w:rPr>
              <w:t>France</w:t>
            </w:r>
          </w:p>
        </w:tc>
        <w:tc>
          <w:tcPr>
            <w:tcW w:w="2800" w:type="dxa"/>
            <w:vAlign w:val="bottom"/>
          </w:tcPr>
          <w:p>
            <w:pPr>
              <w:jc w:val="right"/>
              <w:ind w:right="1206"/>
              <w:spacing w:after="0"/>
              <w:rPr>
                <w:sz w:val="20"/>
                <w:szCs w:val="20"/>
                <w:color w:val="auto"/>
              </w:rPr>
            </w:pPr>
            <w:r>
              <w:rPr>
                <w:rFonts w:ascii="Arial" w:cs="Arial" w:eastAsia="Arial" w:hAnsi="Arial"/>
                <w:sz w:val="28"/>
                <w:szCs w:val="28"/>
                <w:b w:val="1"/>
                <w:bCs w:val="1"/>
                <w:color w:val="auto"/>
              </w:rPr>
              <w:t>2.1%</w:t>
            </w:r>
          </w:p>
        </w:tc>
        <w:tc>
          <w:tcPr>
            <w:tcW w:w="2120" w:type="dxa"/>
            <w:vAlign w:val="bottom"/>
          </w:tcPr>
          <w:p>
            <w:pPr>
              <w:jc w:val="center"/>
              <w:ind w:right="706"/>
              <w:spacing w:after="0"/>
              <w:rPr>
                <w:sz w:val="20"/>
                <w:szCs w:val="20"/>
                <w:color w:val="auto"/>
              </w:rPr>
            </w:pPr>
            <w:r>
              <w:rPr>
                <w:rFonts w:ascii="Arial" w:cs="Arial" w:eastAsia="Arial" w:hAnsi="Arial"/>
                <w:sz w:val="28"/>
                <w:szCs w:val="28"/>
                <w:b w:val="1"/>
                <w:bCs w:val="1"/>
                <w:color w:val="auto"/>
                <w:w w:val="97"/>
              </w:rPr>
              <w:t>+</w:t>
            </w:r>
          </w:p>
        </w:tc>
        <w:tc>
          <w:tcPr>
            <w:tcW w:w="2000" w:type="dxa"/>
            <w:vAlign w:val="bottom"/>
          </w:tcPr>
          <w:p>
            <w:pPr>
              <w:jc w:val="center"/>
              <w:ind w:right="186"/>
              <w:spacing w:after="0"/>
              <w:rPr>
                <w:sz w:val="20"/>
                <w:szCs w:val="20"/>
                <w:color w:val="auto"/>
              </w:rPr>
            </w:pPr>
            <w:r>
              <w:rPr>
                <w:rFonts w:ascii="Arial" w:cs="Arial" w:eastAsia="Arial" w:hAnsi="Arial"/>
                <w:sz w:val="28"/>
                <w:szCs w:val="28"/>
                <w:b w:val="1"/>
                <w:bCs w:val="1"/>
                <w:color w:val="auto"/>
                <w:w w:val="99"/>
              </w:rPr>
              <w:t>21%</w:t>
            </w:r>
          </w:p>
        </w:tc>
      </w:tr>
      <w:tr>
        <w:trPr>
          <w:trHeight w:val="529"/>
        </w:trPr>
        <w:tc>
          <w:tcPr>
            <w:tcW w:w="2020" w:type="dxa"/>
            <w:vAlign w:val="bottom"/>
          </w:tcPr>
          <w:p>
            <w:pPr>
              <w:spacing w:after="0"/>
              <w:rPr>
                <w:sz w:val="20"/>
                <w:szCs w:val="20"/>
                <w:color w:val="auto"/>
              </w:rPr>
            </w:pPr>
            <w:r>
              <w:rPr>
                <w:rFonts w:ascii="Arial" w:cs="Arial" w:eastAsia="Arial" w:hAnsi="Arial"/>
                <w:sz w:val="31"/>
                <w:szCs w:val="31"/>
                <w:color w:val="auto"/>
              </w:rPr>
              <w:t>UK</w:t>
            </w:r>
          </w:p>
        </w:tc>
        <w:tc>
          <w:tcPr>
            <w:tcW w:w="2800" w:type="dxa"/>
            <w:vAlign w:val="bottom"/>
          </w:tcPr>
          <w:p>
            <w:pPr>
              <w:jc w:val="right"/>
              <w:ind w:right="1206"/>
              <w:spacing w:after="0"/>
              <w:rPr>
                <w:sz w:val="20"/>
                <w:szCs w:val="20"/>
                <w:color w:val="auto"/>
              </w:rPr>
            </w:pPr>
            <w:r>
              <w:rPr>
                <w:rFonts w:ascii="Arial" w:cs="Arial" w:eastAsia="Arial" w:hAnsi="Arial"/>
                <w:sz w:val="28"/>
                <w:szCs w:val="28"/>
                <w:b w:val="1"/>
                <w:bCs w:val="1"/>
                <w:color w:val="auto"/>
              </w:rPr>
              <w:t>3.5%</w:t>
            </w:r>
          </w:p>
        </w:tc>
        <w:tc>
          <w:tcPr>
            <w:tcW w:w="2120" w:type="dxa"/>
            <w:vAlign w:val="bottom"/>
          </w:tcPr>
          <w:p>
            <w:pPr>
              <w:jc w:val="center"/>
              <w:ind w:right="706"/>
              <w:spacing w:after="0"/>
              <w:rPr>
                <w:sz w:val="20"/>
                <w:szCs w:val="20"/>
                <w:color w:val="auto"/>
              </w:rPr>
            </w:pPr>
            <w:r>
              <w:rPr>
                <w:rFonts w:ascii="Arial" w:cs="Arial" w:eastAsia="Arial" w:hAnsi="Arial"/>
                <w:sz w:val="28"/>
                <w:szCs w:val="28"/>
                <w:b w:val="1"/>
                <w:bCs w:val="1"/>
                <w:color w:val="auto"/>
                <w:w w:val="97"/>
              </w:rPr>
              <w:t>+</w:t>
            </w:r>
          </w:p>
        </w:tc>
        <w:tc>
          <w:tcPr>
            <w:tcW w:w="2000" w:type="dxa"/>
            <w:vAlign w:val="bottom"/>
          </w:tcPr>
          <w:p>
            <w:pPr>
              <w:jc w:val="center"/>
              <w:ind w:right="186"/>
              <w:spacing w:after="0"/>
              <w:rPr>
                <w:sz w:val="20"/>
                <w:szCs w:val="20"/>
                <w:color w:val="auto"/>
              </w:rPr>
            </w:pPr>
            <w:r>
              <w:rPr>
                <w:rFonts w:ascii="Arial" w:cs="Arial" w:eastAsia="Arial" w:hAnsi="Arial"/>
                <w:sz w:val="28"/>
                <w:szCs w:val="28"/>
                <w:b w:val="1"/>
                <w:bCs w:val="1"/>
                <w:color w:val="auto"/>
                <w:w w:val="98"/>
              </w:rPr>
              <w:t>4%</w:t>
            </w:r>
          </w:p>
        </w:tc>
      </w:tr>
    </w:tbl>
    <w:p>
      <w:pPr>
        <w:spacing w:after="0" w:line="395" w:lineRule="exact"/>
        <w:rPr>
          <w:sz w:val="20"/>
          <w:szCs w:val="20"/>
          <w:color w:val="auto"/>
        </w:rPr>
      </w:pPr>
    </w:p>
    <w:p>
      <w:pPr>
        <w:spacing w:after="0"/>
        <w:rPr>
          <w:sz w:val="20"/>
          <w:szCs w:val="20"/>
          <w:color w:val="auto"/>
        </w:rPr>
      </w:pPr>
      <w:r>
        <w:rPr>
          <w:rFonts w:ascii="Arial" w:cs="Arial" w:eastAsia="Arial" w:hAnsi="Arial"/>
          <w:sz w:val="12"/>
          <w:szCs w:val="12"/>
          <w:color w:val="auto"/>
        </w:rPr>
        <w:t>SOURCE: Manpower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775335</wp:posOffset>
            </wp:positionV>
            <wp:extent cx="727265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9640"/>
          </w:cols>
          <w:pgMar w:left="1260" w:top="446" w:right="999" w:bottom="1440" w:gutter="0" w:footer="0" w:header="0"/>
        </w:sectPr>
      </w:pPr>
    </w:p>
    <w:bookmarkStart w:id="14" w:name="page15"/>
    <w:bookmarkEnd w:id="14"/>
    <w:tbl>
      <w:tblPr>
        <w:tblLayout w:type="fixed"/>
        <w:tblInd w:w="1393"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2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460" w:type="dxa"/>
            <w:vAlign w:val="bottom"/>
          </w:tcPr>
          <w:p>
            <w:pPr>
              <w:jc w:val="right"/>
              <w:spacing w:after="0"/>
              <w:rPr>
                <w:sz w:val="20"/>
                <w:szCs w:val="20"/>
                <w:color w:val="auto"/>
              </w:rPr>
            </w:pPr>
            <w:r>
              <w:rPr>
                <w:rFonts w:ascii="Arial" w:cs="Arial" w:eastAsia="Arial" w:hAnsi="Arial"/>
                <w:sz w:val="17"/>
                <w:szCs w:val="17"/>
                <w:color w:val="FFFFFF"/>
              </w:rPr>
              <w:t>15</w:t>
            </w:r>
          </w:p>
        </w:tc>
      </w:tr>
      <w:tr>
        <w:trPr>
          <w:trHeight w:val="202"/>
        </w:trPr>
        <w:tc>
          <w:tcPr>
            <w:tcW w:w="4960" w:type="dxa"/>
            <w:vAlign w:val="bottom"/>
          </w:tcPr>
          <w:p>
            <w:pPr>
              <w:spacing w:after="0"/>
              <w:rPr>
                <w:sz w:val="17"/>
                <w:szCs w:val="17"/>
                <w:color w:val="auto"/>
              </w:rPr>
            </w:pPr>
          </w:p>
        </w:tc>
        <w:tc>
          <w:tcPr>
            <w:tcW w:w="3120" w:type="dxa"/>
            <w:vAlign w:val="bottom"/>
          </w:tcPr>
          <w:p>
            <w:pPr>
              <w:ind w:left="2160"/>
              <w:spacing w:after="0"/>
              <w:rPr>
                <w:sz w:val="20"/>
                <w:szCs w:val="20"/>
                <w:color w:val="auto"/>
              </w:rPr>
            </w:pPr>
            <w:r>
              <w:rPr>
                <w:rFonts w:ascii="Arial" w:cs="Arial" w:eastAsia="Arial" w:hAnsi="Arial"/>
                <w:sz w:val="17"/>
                <w:szCs w:val="17"/>
                <w:color w:val="FFFFFF"/>
              </w:rPr>
              <w:t>2010</w:t>
            </w:r>
          </w:p>
        </w:tc>
        <w:tc>
          <w:tcPr>
            <w:tcW w:w="460" w:type="dxa"/>
            <w:vAlign w:val="bottom"/>
          </w:tcPr>
          <w:p>
            <w:pPr>
              <w:spacing w:after="0"/>
              <w:rPr>
                <w:sz w:val="17"/>
                <w:szCs w:val="17"/>
                <w:color w:val="auto"/>
              </w:rPr>
            </w:pPr>
          </w:p>
        </w:tc>
      </w:tr>
    </w:tbl>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ind w:left="293"/>
        <w:spacing w:after="0"/>
        <w:rPr>
          <w:sz w:val="20"/>
          <w:szCs w:val="20"/>
          <w:color w:val="auto"/>
        </w:rPr>
      </w:pPr>
      <w:r>
        <w:rPr>
          <w:rFonts w:ascii="Arial" w:cs="Arial" w:eastAsia="Arial" w:hAnsi="Arial"/>
          <w:sz w:val="46"/>
          <w:szCs w:val="46"/>
          <w:color w:val="5F81AA"/>
        </w:rPr>
        <w:t>Capitalizing on Emerging Markets</w:t>
      </w:r>
    </w:p>
    <w:p>
      <w:pPr>
        <w:spacing w:after="0" w:line="210" w:lineRule="exact"/>
        <w:rPr>
          <w:sz w:val="20"/>
          <w:szCs w:val="20"/>
          <w:color w:val="auto"/>
        </w:rPr>
      </w:pPr>
    </w:p>
    <w:p>
      <w:pPr>
        <w:ind w:left="353" w:right="2940"/>
        <w:spacing w:after="0" w:line="260" w:lineRule="auto"/>
        <w:rPr>
          <w:sz w:val="20"/>
          <w:szCs w:val="20"/>
          <w:color w:val="auto"/>
        </w:rPr>
      </w:pPr>
      <w:r>
        <w:rPr>
          <w:rFonts w:ascii="Arial" w:cs="Arial" w:eastAsia="Arial" w:hAnsi="Arial"/>
          <w:sz w:val="23"/>
          <w:szCs w:val="23"/>
          <w:color w:val="auto"/>
        </w:rPr>
        <w:t>Manpower continues to shape labor policy in emerging economies, resulting in new sources of revenue.</w:t>
      </w:r>
    </w:p>
    <w:p>
      <w:pPr>
        <w:sectPr>
          <w:pgSz w:w="11900" w:h="16838" w:orient="portrait"/>
          <w:cols w:equalWidth="0" w:num="1">
            <w:col w:w="10093"/>
          </w:cols>
          <w:pgMar w:left="967" w:top="446"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33" w:right="2330" w:hanging="133"/>
        <w:spacing w:after="0" w:line="283" w:lineRule="auto"/>
        <w:tabs>
          <w:tab w:leader="none" w:pos="151"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Extensive network in </w:t>
      </w:r>
      <w:r>
        <w:rPr>
          <w:rFonts w:ascii="Arial" w:cs="Arial" w:eastAsia="Arial" w:hAnsi="Arial"/>
          <w:sz w:val="22"/>
          <w:szCs w:val="22"/>
          <w:color w:val="7EA190"/>
        </w:rPr>
        <w:t>Eastern Europe</w:t>
      </w:r>
      <w:r>
        <w:rPr>
          <w:rFonts w:ascii="Arial" w:cs="Arial" w:eastAsia="Arial" w:hAnsi="Arial"/>
          <w:sz w:val="22"/>
          <w:szCs w:val="22"/>
          <w:color w:val="auto"/>
        </w:rPr>
        <w:t xml:space="preserve"> with 136 offices in 12 countries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7" w:lineRule="exact"/>
        <w:rPr>
          <w:rFonts w:ascii="Arial" w:cs="Arial" w:eastAsia="Arial" w:hAnsi="Arial"/>
          <w:sz w:val="22"/>
          <w:szCs w:val="22"/>
          <w:color w:val="auto"/>
        </w:rPr>
      </w:pPr>
    </w:p>
    <w:p>
      <w:pPr>
        <w:ind w:left="433" w:right="3230" w:hanging="134"/>
        <w:spacing w:after="0" w:line="261" w:lineRule="auto"/>
        <w:tabs>
          <w:tab w:leader="none" w:pos="451" w:val="left"/>
        </w:tabs>
        <w:numPr>
          <w:ilvl w:val="1"/>
          <w:numId w:val="6"/>
        </w:numPr>
        <w:rPr>
          <w:rFonts w:ascii="Arial" w:cs="Arial" w:eastAsia="Arial" w:hAnsi="Arial"/>
          <w:sz w:val="22"/>
          <w:szCs w:val="22"/>
          <w:color w:val="auto"/>
        </w:rPr>
      </w:pPr>
      <w:r>
        <w:rPr>
          <w:rFonts w:ascii="Arial" w:cs="Arial" w:eastAsia="Arial" w:hAnsi="Arial"/>
          <w:sz w:val="22"/>
          <w:szCs w:val="22"/>
          <w:color w:val="auto"/>
        </w:rPr>
        <w:t xml:space="preserve">Established operations in the </w:t>
      </w:r>
      <w:r>
        <w:rPr>
          <w:rFonts w:ascii="Arial" w:cs="Arial" w:eastAsia="Arial" w:hAnsi="Arial"/>
          <w:sz w:val="22"/>
          <w:szCs w:val="22"/>
          <w:color w:val="6698C2"/>
        </w:rPr>
        <w:t>Middle East</w:t>
      </w:r>
      <w:r>
        <w:rPr>
          <w:rFonts w:ascii="Arial" w:cs="Arial" w:eastAsia="Arial" w:hAnsi="Arial"/>
          <w:sz w:val="22"/>
          <w:szCs w:val="22"/>
          <w:color w:val="auto"/>
        </w:rPr>
        <w:t xml:space="preserve"> with the</w:t>
      </w:r>
    </w:p>
    <w:p>
      <w:pPr>
        <w:spacing w:after="0" w:line="1" w:lineRule="exact"/>
        <w:rPr>
          <w:rFonts w:ascii="Arial" w:cs="Arial" w:eastAsia="Arial" w:hAnsi="Arial"/>
          <w:sz w:val="22"/>
          <w:szCs w:val="22"/>
          <w:color w:val="auto"/>
        </w:rPr>
      </w:pPr>
    </w:p>
    <w:p>
      <w:pPr>
        <w:ind w:left="433" w:right="2810"/>
        <w:spacing w:after="0" w:line="253" w:lineRule="auto"/>
        <w:rPr>
          <w:rFonts w:ascii="Arial" w:cs="Arial" w:eastAsia="Arial" w:hAnsi="Arial"/>
          <w:sz w:val="22"/>
          <w:szCs w:val="22"/>
          <w:color w:val="auto"/>
        </w:rPr>
      </w:pPr>
      <w:r>
        <w:rPr>
          <w:rFonts w:ascii="Arial" w:cs="Arial" w:eastAsia="Arial" w:hAnsi="Arial"/>
          <w:sz w:val="23"/>
          <w:szCs w:val="23"/>
          <w:color w:val="auto"/>
        </w:rPr>
        <w:t>2007 acquisition of one of the leading professional staffing and recruitment companies in the region</w:t>
      </w:r>
    </w:p>
    <w:p>
      <w:pPr>
        <w:spacing w:after="0" w:line="378" w:lineRule="exact"/>
        <w:rPr>
          <w:rFonts w:ascii="Arial" w:cs="Arial" w:eastAsia="Arial" w:hAnsi="Arial"/>
          <w:sz w:val="22"/>
          <w:szCs w:val="22"/>
          <w:color w:val="auto"/>
        </w:rPr>
      </w:pPr>
    </w:p>
    <w:p>
      <w:pPr>
        <w:jc w:val="both"/>
        <w:ind w:left="4013" w:right="250" w:hanging="118"/>
        <w:spacing w:after="0" w:line="272" w:lineRule="auto"/>
        <w:tabs>
          <w:tab w:leader="none" w:pos="4031" w:val="left"/>
        </w:tabs>
        <w:numPr>
          <w:ilvl w:val="2"/>
          <w:numId w:val="6"/>
        </w:numPr>
        <w:rPr>
          <w:rFonts w:ascii="Arial" w:cs="Arial" w:eastAsia="Arial" w:hAnsi="Arial"/>
          <w:sz w:val="22"/>
          <w:szCs w:val="22"/>
          <w:color w:val="auto"/>
        </w:rPr>
      </w:pPr>
      <w:r>
        <w:rPr>
          <w:rFonts w:ascii="Arial" w:cs="Arial" w:eastAsia="Arial" w:hAnsi="Arial"/>
          <w:sz w:val="22"/>
          <w:szCs w:val="22"/>
          <w:color w:val="5F81AA"/>
        </w:rPr>
        <w:t xml:space="preserve">India’s </w:t>
      </w:r>
      <w:r>
        <w:rPr>
          <w:rFonts w:ascii="Arial" w:cs="Arial" w:eastAsia="Arial" w:hAnsi="Arial"/>
          <w:sz w:val="22"/>
          <w:szCs w:val="22"/>
          <w:color w:val="000000"/>
        </w:rPr>
        <w:t>largest ITeS</w:t>
      </w:r>
      <w:r>
        <w:rPr>
          <w:rFonts w:ascii="Arial" w:cs="Arial" w:eastAsia="Arial" w:hAnsi="Arial"/>
          <w:sz w:val="22"/>
          <w:szCs w:val="22"/>
          <w:color w:val="5F81AA"/>
        </w:rPr>
        <w:t xml:space="preserve"> </w:t>
      </w:r>
      <w:r>
        <w:rPr>
          <w:rFonts w:ascii="Arial" w:cs="Arial" w:eastAsia="Arial" w:hAnsi="Arial"/>
          <w:sz w:val="22"/>
          <w:szCs w:val="22"/>
          <w:color w:val="000000"/>
        </w:rPr>
        <w:t>staffing firm with 22 offices in 13 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546100</wp:posOffset>
            </wp:positionV>
            <wp:extent cx="727265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130" w:hanging="130"/>
        <w:spacing w:after="0" w:line="252" w:lineRule="auto"/>
        <w:tabs>
          <w:tab w:leader="none" w:pos="148" w:val="left"/>
        </w:tabs>
        <w:numPr>
          <w:ilvl w:val="0"/>
          <w:numId w:val="7"/>
        </w:numPr>
        <w:rPr>
          <w:rFonts w:ascii="Arial" w:cs="Arial" w:eastAsia="Arial" w:hAnsi="Arial"/>
          <w:sz w:val="23"/>
          <w:szCs w:val="23"/>
          <w:color w:val="auto"/>
        </w:rPr>
      </w:pPr>
      <w:r>
        <w:rPr>
          <w:rFonts w:ascii="Arial" w:cs="Arial" w:eastAsia="Arial" w:hAnsi="Arial"/>
          <w:sz w:val="23"/>
          <w:szCs w:val="23"/>
          <w:color w:val="auto"/>
        </w:rPr>
        <w:t xml:space="preserve">First foreign company to receive a license to provide temporary staffing services in </w:t>
      </w:r>
      <w:r>
        <w:rPr>
          <w:rFonts w:ascii="Arial" w:cs="Arial" w:eastAsia="Arial" w:hAnsi="Arial"/>
          <w:sz w:val="23"/>
          <w:szCs w:val="23"/>
          <w:color w:val="C8504F"/>
        </w:rPr>
        <w:t>China</w:t>
      </w:r>
      <w:r>
        <w:rPr>
          <w:rFonts w:ascii="Arial" w:cs="Arial" w:eastAsia="Arial" w:hAnsi="Arial"/>
          <w:sz w:val="23"/>
          <w:szCs w:val="23"/>
          <w:color w:val="auto"/>
        </w:rPr>
        <w:t>; largest network with 19 offices in 19 cities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0" w:right="420" w:hanging="125"/>
        <w:spacing w:after="0" w:line="255" w:lineRule="auto"/>
        <w:tabs>
          <w:tab w:leader="none" w:pos="568" w:val="left"/>
        </w:tabs>
        <w:numPr>
          <w:ilvl w:val="0"/>
          <w:numId w:val="8"/>
        </w:numPr>
        <w:rPr>
          <w:rFonts w:ascii="Arial" w:cs="Arial" w:eastAsia="Arial" w:hAnsi="Arial"/>
          <w:sz w:val="23"/>
          <w:szCs w:val="23"/>
          <w:color w:val="auto"/>
        </w:rPr>
      </w:pPr>
      <w:r>
        <w:rPr>
          <w:rFonts w:ascii="Arial" w:cs="Arial" w:eastAsia="Arial" w:hAnsi="Arial"/>
          <w:sz w:val="23"/>
          <w:szCs w:val="23"/>
          <w:color w:val="auto"/>
        </w:rPr>
        <w:t xml:space="preserve">First to provide employment services in </w:t>
      </w:r>
      <w:r>
        <w:rPr>
          <w:rFonts w:ascii="Arial" w:cs="Arial" w:eastAsia="Arial" w:hAnsi="Arial"/>
          <w:sz w:val="23"/>
          <w:szCs w:val="23"/>
          <w:color w:val="D47C18"/>
        </w:rPr>
        <w:t>Vietnam</w:t>
      </w:r>
    </w:p>
    <w:p>
      <w:pPr>
        <w:sectPr>
          <w:pgSz w:w="11900" w:h="16838" w:orient="portrait"/>
          <w:cols w:equalWidth="0" w:num="2">
            <w:col w:w="6243" w:space="720"/>
            <w:col w:w="3130"/>
          </w:cols>
          <w:pgMar w:left="967" w:top="446" w:right="839" w:bottom="1440" w:gutter="0" w:footer="0" w:header="0"/>
          <w:type w:val="continuous"/>
        </w:sectPr>
      </w:pPr>
    </w:p>
    <w:bookmarkStart w:id="15" w:name="page16"/>
    <w:bookmarkEnd w:id="15"/>
    <w:tbl>
      <w:tblPr>
        <w:tblLayout w:type="fixed"/>
        <w:tblInd w:w="92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4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480" w:type="dxa"/>
            <w:vAlign w:val="bottom"/>
          </w:tcPr>
          <w:p>
            <w:pPr>
              <w:jc w:val="right"/>
              <w:spacing w:after="0"/>
              <w:rPr>
                <w:sz w:val="20"/>
                <w:szCs w:val="20"/>
                <w:color w:val="auto"/>
              </w:rPr>
            </w:pPr>
            <w:r>
              <w:rPr>
                <w:rFonts w:ascii="Arial" w:cs="Arial" w:eastAsia="Arial" w:hAnsi="Arial"/>
                <w:sz w:val="17"/>
                <w:szCs w:val="17"/>
                <w:color w:val="FFFFFF"/>
              </w:rPr>
              <w:t>16</w:t>
            </w:r>
          </w:p>
        </w:tc>
      </w:tr>
      <w:tr>
        <w:trPr>
          <w:trHeight w:val="202"/>
        </w:trPr>
        <w:tc>
          <w:tcPr>
            <w:tcW w:w="4960" w:type="dxa"/>
            <w:vAlign w:val="bottom"/>
          </w:tcPr>
          <w:p>
            <w:pPr>
              <w:spacing w:after="0"/>
              <w:rPr>
                <w:sz w:val="17"/>
                <w:szCs w:val="17"/>
                <w:color w:val="auto"/>
              </w:rPr>
            </w:pPr>
          </w:p>
        </w:tc>
        <w:tc>
          <w:tcPr>
            <w:tcW w:w="3140" w:type="dxa"/>
            <w:vAlign w:val="bottom"/>
          </w:tcPr>
          <w:p>
            <w:pPr>
              <w:ind w:left="216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80"/>
        <w:spacing w:after="0"/>
        <w:rPr>
          <w:sz w:val="20"/>
          <w:szCs w:val="20"/>
          <w:color w:val="auto"/>
        </w:rPr>
      </w:pPr>
      <w:r>
        <w:rPr>
          <w:rFonts w:ascii="Arial" w:cs="Arial" w:eastAsia="Arial" w:hAnsi="Arial"/>
          <w:sz w:val="46"/>
          <w:szCs w:val="46"/>
          <w:color w:val="5F81AA"/>
        </w:rPr>
        <w:t>Financial Highlights</w:t>
      </w:r>
    </w:p>
    <w:p>
      <w:pPr>
        <w:spacing w:after="0" w:line="207" w:lineRule="exact"/>
        <w:rPr>
          <w:sz w:val="20"/>
          <w:szCs w:val="20"/>
          <w:color w:val="auto"/>
        </w:rPr>
      </w:pPr>
    </w:p>
    <w:p>
      <w:pPr>
        <w:ind w:left="3720" w:hanging="344"/>
        <w:spacing w:after="0"/>
        <w:tabs>
          <w:tab w:leader="none" w:pos="3720" w:val="left"/>
        </w:tabs>
        <w:numPr>
          <w:ilvl w:val="0"/>
          <w:numId w:val="9"/>
        </w:numPr>
        <w:rPr>
          <w:rFonts w:ascii="Arial" w:cs="Arial" w:eastAsia="Arial" w:hAnsi="Arial"/>
          <w:sz w:val="25"/>
          <w:szCs w:val="25"/>
          <w:color w:val="7EA190"/>
        </w:rPr>
      </w:pPr>
      <w:r>
        <w:rPr>
          <w:rFonts w:ascii="Arial" w:cs="Arial" w:eastAsia="Arial" w:hAnsi="Arial"/>
          <w:sz w:val="25"/>
          <w:szCs w:val="25"/>
          <w:color w:val="auto"/>
        </w:rPr>
        <w:t>Quarter Financial Summary</w:t>
      </w:r>
    </w:p>
    <w:p>
      <w:pPr>
        <w:spacing w:after="0" w:line="103" w:lineRule="exact"/>
        <w:rPr>
          <w:rFonts w:ascii="Arial" w:cs="Arial" w:eastAsia="Arial" w:hAnsi="Arial"/>
          <w:sz w:val="25"/>
          <w:szCs w:val="25"/>
          <w:color w:val="7EA190"/>
        </w:rPr>
      </w:pPr>
    </w:p>
    <w:p>
      <w:pPr>
        <w:ind w:left="3720" w:hanging="344"/>
        <w:spacing w:after="0"/>
        <w:tabs>
          <w:tab w:leader="none" w:pos="3720" w:val="left"/>
        </w:tabs>
        <w:numPr>
          <w:ilvl w:val="0"/>
          <w:numId w:val="9"/>
        </w:numPr>
        <w:rPr>
          <w:rFonts w:ascii="Arial" w:cs="Arial" w:eastAsia="Arial" w:hAnsi="Arial"/>
          <w:sz w:val="25"/>
          <w:szCs w:val="25"/>
          <w:color w:val="7EA190"/>
        </w:rPr>
      </w:pPr>
      <w:r>
        <w:rPr>
          <w:rFonts w:ascii="Arial" w:cs="Arial" w:eastAsia="Arial" w:hAnsi="Arial"/>
          <w:sz w:val="25"/>
          <w:szCs w:val="25"/>
          <w:color w:val="auto"/>
        </w:rPr>
        <w:t>Full Year Cash Flow Summary</w:t>
      </w:r>
    </w:p>
    <w:p>
      <w:pPr>
        <w:spacing w:after="0" w:line="91" w:lineRule="exact"/>
        <w:rPr>
          <w:rFonts w:ascii="Arial" w:cs="Arial" w:eastAsia="Arial" w:hAnsi="Arial"/>
          <w:sz w:val="25"/>
          <w:szCs w:val="25"/>
          <w:color w:val="7EA190"/>
        </w:rPr>
      </w:pPr>
    </w:p>
    <w:p>
      <w:pPr>
        <w:ind w:left="3720" w:hanging="344"/>
        <w:spacing w:after="0"/>
        <w:tabs>
          <w:tab w:leader="none" w:pos="3720" w:val="left"/>
        </w:tabs>
        <w:numPr>
          <w:ilvl w:val="0"/>
          <w:numId w:val="9"/>
        </w:numPr>
        <w:rPr>
          <w:rFonts w:ascii="Arial" w:cs="Arial" w:eastAsia="Arial" w:hAnsi="Arial"/>
          <w:sz w:val="25"/>
          <w:szCs w:val="25"/>
          <w:color w:val="7EA190"/>
        </w:rPr>
      </w:pPr>
      <w:r>
        <w:rPr>
          <w:rFonts w:ascii="Arial" w:cs="Arial" w:eastAsia="Arial" w:hAnsi="Arial"/>
          <w:sz w:val="25"/>
          <w:szCs w:val="25"/>
          <w:color w:val="auto"/>
        </w:rPr>
        <w:t>Balance Sheet</w:t>
      </w:r>
    </w:p>
    <w:p>
      <w:pPr>
        <w:spacing w:after="0" w:line="103" w:lineRule="exact"/>
        <w:rPr>
          <w:rFonts w:ascii="Arial" w:cs="Arial" w:eastAsia="Arial" w:hAnsi="Arial"/>
          <w:sz w:val="25"/>
          <w:szCs w:val="25"/>
          <w:color w:val="7EA190"/>
        </w:rPr>
      </w:pPr>
    </w:p>
    <w:p>
      <w:pPr>
        <w:ind w:left="3720" w:right="3040" w:hanging="344"/>
        <w:spacing w:after="0" w:line="289" w:lineRule="auto"/>
        <w:tabs>
          <w:tab w:leader="none" w:pos="3725" w:val="left"/>
        </w:tabs>
        <w:numPr>
          <w:ilvl w:val="0"/>
          <w:numId w:val="9"/>
        </w:numPr>
        <w:rPr>
          <w:rFonts w:ascii="Arial" w:cs="Arial" w:eastAsia="Arial" w:hAnsi="Arial"/>
          <w:sz w:val="23"/>
          <w:szCs w:val="23"/>
          <w:color w:val="7EA190"/>
        </w:rPr>
      </w:pPr>
      <w:r>
        <w:rPr>
          <w:rFonts w:ascii="Arial" w:cs="Arial" w:eastAsia="Arial" w:hAnsi="Arial"/>
          <w:sz w:val="23"/>
          <w:szCs w:val="23"/>
          <w:color w:val="auto"/>
        </w:rPr>
        <w:t>Trend Analysis: Revenue and Operating Profit</w:t>
      </w:r>
    </w:p>
    <w:p>
      <w:pPr>
        <w:spacing w:after="0" w:line="40" w:lineRule="exact"/>
        <w:rPr>
          <w:rFonts w:ascii="Arial" w:cs="Arial" w:eastAsia="Arial" w:hAnsi="Arial"/>
          <w:sz w:val="23"/>
          <w:szCs w:val="23"/>
          <w:color w:val="7EA190"/>
        </w:rPr>
      </w:pPr>
    </w:p>
    <w:p>
      <w:pPr>
        <w:ind w:left="3720" w:hanging="344"/>
        <w:spacing w:after="0"/>
        <w:tabs>
          <w:tab w:leader="none" w:pos="3720" w:val="left"/>
        </w:tabs>
        <w:numPr>
          <w:ilvl w:val="0"/>
          <w:numId w:val="9"/>
        </w:numPr>
        <w:rPr>
          <w:rFonts w:ascii="Arial" w:cs="Arial" w:eastAsia="Arial" w:hAnsi="Arial"/>
          <w:sz w:val="25"/>
          <w:szCs w:val="25"/>
          <w:color w:val="7EA190"/>
        </w:rPr>
      </w:pPr>
      <w:r>
        <w:rPr>
          <w:rFonts w:ascii="Arial" w:cs="Arial" w:eastAsia="Arial" w:hAnsi="Arial"/>
          <w:sz w:val="25"/>
          <w:szCs w:val="25"/>
          <w:color w:val="auto"/>
        </w:rPr>
        <w:t>Operating Cash Flows</w:t>
      </w:r>
    </w:p>
    <w:p>
      <w:pPr>
        <w:spacing w:after="0" w:line="103" w:lineRule="exact"/>
        <w:rPr>
          <w:rFonts w:ascii="Arial" w:cs="Arial" w:eastAsia="Arial" w:hAnsi="Arial"/>
          <w:sz w:val="25"/>
          <w:szCs w:val="25"/>
          <w:color w:val="7EA190"/>
        </w:rPr>
      </w:pPr>
    </w:p>
    <w:p>
      <w:pPr>
        <w:ind w:left="3720" w:hanging="344"/>
        <w:spacing w:after="0"/>
        <w:tabs>
          <w:tab w:leader="none" w:pos="3720" w:val="left"/>
        </w:tabs>
        <w:numPr>
          <w:ilvl w:val="0"/>
          <w:numId w:val="9"/>
        </w:numPr>
        <w:rPr>
          <w:rFonts w:ascii="Arial" w:cs="Arial" w:eastAsia="Arial" w:hAnsi="Arial"/>
          <w:sz w:val="25"/>
          <w:szCs w:val="25"/>
          <w:color w:val="7EA190"/>
        </w:rPr>
      </w:pPr>
      <w:r>
        <w:rPr>
          <w:rFonts w:ascii="Arial" w:cs="Arial" w:eastAsia="Arial" w:hAnsi="Arial"/>
          <w:sz w:val="25"/>
          <w:szCs w:val="25"/>
          <w:color w:val="auto"/>
        </w:rPr>
        <w:t>Return on Invested Capital</w:t>
      </w:r>
    </w:p>
    <w:p>
      <w:pPr>
        <w:spacing w:after="0" w:line="91" w:lineRule="exact"/>
        <w:rPr>
          <w:rFonts w:ascii="Arial" w:cs="Arial" w:eastAsia="Arial" w:hAnsi="Arial"/>
          <w:sz w:val="25"/>
          <w:szCs w:val="25"/>
          <w:color w:val="7EA190"/>
        </w:rPr>
      </w:pPr>
    </w:p>
    <w:p>
      <w:pPr>
        <w:ind w:left="3720" w:hanging="344"/>
        <w:spacing w:after="0"/>
        <w:tabs>
          <w:tab w:leader="none" w:pos="3720" w:val="left"/>
        </w:tabs>
        <w:numPr>
          <w:ilvl w:val="0"/>
          <w:numId w:val="9"/>
        </w:numPr>
        <w:rPr>
          <w:rFonts w:ascii="Arial" w:cs="Arial" w:eastAsia="Arial" w:hAnsi="Arial"/>
          <w:sz w:val="25"/>
          <w:szCs w:val="25"/>
          <w:color w:val="7EA190"/>
        </w:rPr>
      </w:pPr>
      <w:r>
        <w:rPr>
          <w:rFonts w:ascii="Arial" w:cs="Arial" w:eastAsia="Arial" w:hAnsi="Arial"/>
          <w:sz w:val="25"/>
          <w:szCs w:val="25"/>
          <w:color w:val="auto"/>
        </w:rPr>
        <w:t>Financial Targets</w:t>
      </w:r>
    </w:p>
    <w:p>
      <w:pPr>
        <w:spacing w:after="0" w:line="103" w:lineRule="exact"/>
        <w:rPr>
          <w:rFonts w:ascii="Arial" w:cs="Arial" w:eastAsia="Arial" w:hAnsi="Arial"/>
          <w:sz w:val="25"/>
          <w:szCs w:val="25"/>
          <w:color w:val="7EA190"/>
        </w:rPr>
      </w:pPr>
    </w:p>
    <w:p>
      <w:pPr>
        <w:ind w:left="3720" w:hanging="344"/>
        <w:spacing w:after="0"/>
        <w:tabs>
          <w:tab w:leader="none" w:pos="3720" w:val="left"/>
        </w:tabs>
        <w:numPr>
          <w:ilvl w:val="0"/>
          <w:numId w:val="9"/>
        </w:numPr>
        <w:rPr>
          <w:rFonts w:ascii="Arial" w:cs="Arial" w:eastAsia="Arial" w:hAnsi="Arial"/>
          <w:sz w:val="25"/>
          <w:szCs w:val="25"/>
          <w:color w:val="7EA190"/>
        </w:rPr>
      </w:pPr>
      <w:r>
        <w:rPr>
          <w:rFonts w:ascii="Arial" w:cs="Arial" w:eastAsia="Arial" w:hAnsi="Arial"/>
          <w:sz w:val="25"/>
          <w:szCs w:val="25"/>
          <w:color w:val="auto"/>
        </w:rPr>
        <w:t>Record of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1604645</wp:posOffset>
            </wp:positionV>
            <wp:extent cx="727265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9500"/>
          </w:cols>
          <w:pgMar w:left="1440" w:top="446" w:right="959" w:bottom="1440" w:gutter="0" w:footer="0" w:header="0"/>
        </w:sectPr>
      </w:pPr>
    </w:p>
    <w:bookmarkStart w:id="16" w:name="page17"/>
    <w:bookmarkEnd w:id="16"/>
    <w:tbl>
      <w:tblPr>
        <w:tblLayout w:type="fixed"/>
        <w:tblInd w:w="1596"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4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480" w:type="dxa"/>
            <w:vAlign w:val="bottom"/>
          </w:tcPr>
          <w:p>
            <w:pPr>
              <w:jc w:val="right"/>
              <w:spacing w:after="0"/>
              <w:rPr>
                <w:sz w:val="20"/>
                <w:szCs w:val="20"/>
                <w:color w:val="auto"/>
              </w:rPr>
            </w:pPr>
            <w:r>
              <w:rPr>
                <w:rFonts w:ascii="Arial" w:cs="Arial" w:eastAsia="Arial" w:hAnsi="Arial"/>
                <w:sz w:val="17"/>
                <w:szCs w:val="17"/>
                <w:color w:val="FFFFFF"/>
              </w:rPr>
              <w:t>17</w:t>
            </w:r>
          </w:p>
        </w:tc>
      </w:tr>
      <w:tr>
        <w:trPr>
          <w:trHeight w:val="202"/>
        </w:trPr>
        <w:tc>
          <w:tcPr>
            <w:tcW w:w="4960" w:type="dxa"/>
            <w:vAlign w:val="bottom"/>
          </w:tcPr>
          <w:p>
            <w:pPr>
              <w:spacing w:after="0"/>
              <w:rPr>
                <w:sz w:val="17"/>
                <w:szCs w:val="17"/>
                <w:color w:val="auto"/>
              </w:rPr>
            </w:pPr>
          </w:p>
        </w:tc>
        <w:tc>
          <w:tcPr>
            <w:tcW w:w="3140" w:type="dxa"/>
            <w:vAlign w:val="bottom"/>
          </w:tcPr>
          <w:p>
            <w:pPr>
              <w:ind w:left="216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spacing w:after="0" w:line="332" w:lineRule="exact"/>
        <w:rPr>
          <w:sz w:val="20"/>
          <w:szCs w:val="20"/>
          <w:color w:val="auto"/>
        </w:rPr>
      </w:pPr>
    </w:p>
    <w:p>
      <w:pPr>
        <w:ind w:left="516"/>
        <w:spacing w:after="0"/>
        <w:rPr>
          <w:sz w:val="20"/>
          <w:szCs w:val="20"/>
          <w:color w:val="auto"/>
        </w:rPr>
      </w:pPr>
      <w:r>
        <w:rPr>
          <w:rFonts w:ascii="Arial" w:cs="Arial" w:eastAsia="Arial" w:hAnsi="Arial"/>
          <w:sz w:val="46"/>
          <w:szCs w:val="46"/>
          <w:color w:val="5F81AA"/>
        </w:rPr>
        <w:t>Financial Summary - Fourth Quarter</w:t>
      </w:r>
    </w:p>
    <w:p>
      <w:pPr>
        <w:ind w:left="516"/>
        <w:spacing w:after="0"/>
        <w:rPr>
          <w:sz w:val="20"/>
          <w:szCs w:val="20"/>
          <w:color w:val="auto"/>
        </w:rPr>
      </w:pPr>
      <w:r>
        <w:rPr>
          <w:rFonts w:ascii="Arial" w:cs="Arial" w:eastAsia="Arial" w:hAnsi="Arial"/>
          <w:sz w:val="25"/>
          <w:szCs w:val="25"/>
          <w:color w:val="5F81AA"/>
        </w:rPr>
        <w:t>($ in millions, except EPS)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4876"/>
        <w:spacing w:after="0"/>
        <w:tabs>
          <w:tab w:leader="none" w:pos="6395" w:val="left"/>
          <w:tab w:leader="none" w:pos="8775" w:val="left"/>
        </w:tabs>
        <w:rPr>
          <w:sz w:val="20"/>
          <w:szCs w:val="20"/>
          <w:color w:val="auto"/>
        </w:rPr>
      </w:pPr>
      <w:r>
        <w:rPr>
          <w:rFonts w:ascii="Arial" w:cs="Arial" w:eastAsia="Arial" w:hAnsi="Arial"/>
          <w:sz w:val="21"/>
          <w:szCs w:val="21"/>
          <w:color w:val="auto"/>
          <w:vertAlign w:val="superscript"/>
        </w:rPr>
        <w:t>(2)</w:t>
      </w:r>
      <w:r>
        <w:rPr>
          <w:sz w:val="20"/>
          <w:szCs w:val="20"/>
          <w:color w:val="auto"/>
        </w:rPr>
        <w:tab/>
      </w:r>
      <w:r>
        <w:rPr>
          <w:rFonts w:ascii="Arial" w:cs="Arial" w:eastAsia="Arial" w:hAnsi="Arial"/>
          <w:sz w:val="11"/>
          <w:szCs w:val="11"/>
          <w:color w:val="auto"/>
        </w:rPr>
        <w:t>(3)</w:t>
      </w:r>
      <w:r>
        <w:rPr>
          <w:sz w:val="20"/>
          <w:szCs w:val="20"/>
          <w:color w:val="auto"/>
        </w:rPr>
        <w:tab/>
      </w:r>
      <w:r>
        <w:rPr>
          <w:rFonts w:ascii="Arial" w:cs="Arial" w:eastAsia="Arial" w:hAnsi="Arial"/>
          <w:sz w:val="9"/>
          <w:szCs w:val="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76" w:hanging="164"/>
        <w:spacing w:after="0"/>
        <w:tabs>
          <w:tab w:leader="none" w:pos="176" w:val="left"/>
        </w:tabs>
        <w:numPr>
          <w:ilvl w:val="1"/>
          <w:numId w:val="10"/>
        </w:numPr>
        <w:rPr>
          <w:rFonts w:ascii="Arial" w:cs="Arial" w:eastAsia="Arial" w:hAnsi="Arial"/>
          <w:sz w:val="19"/>
          <w:szCs w:val="19"/>
          <w:color w:val="auto"/>
          <w:vertAlign w:val="superscript"/>
        </w:rPr>
      </w:pPr>
      <w:r>
        <w:rPr>
          <w:rFonts w:ascii="Arial" w:cs="Arial" w:eastAsia="Arial" w:hAnsi="Arial"/>
          <w:sz w:val="14"/>
          <w:szCs w:val="14"/>
          <w:color w:val="auto"/>
        </w:rPr>
        <w:t>Constant currency is further explained in our quarterly filings with the SEC.</w:t>
      </w:r>
    </w:p>
    <w:p>
      <w:pPr>
        <w:ind w:left="196" w:hanging="196"/>
        <w:spacing w:after="0" w:line="181" w:lineRule="auto"/>
        <w:tabs>
          <w:tab w:leader="none" w:pos="196"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2009 excludes reorganization charges of $12.7M.</w:t>
      </w:r>
    </w:p>
    <w:p>
      <w:pPr>
        <w:spacing w:after="0" w:line="7" w:lineRule="exact"/>
        <w:rPr>
          <w:rFonts w:ascii="Arial" w:cs="Arial" w:eastAsia="Arial" w:hAnsi="Arial"/>
          <w:sz w:val="19"/>
          <w:szCs w:val="19"/>
          <w:color w:val="auto"/>
          <w:vertAlign w:val="superscript"/>
        </w:rPr>
      </w:pPr>
    </w:p>
    <w:p>
      <w:pPr>
        <w:ind w:left="196" w:hanging="196"/>
        <w:spacing w:after="0" w:line="181" w:lineRule="auto"/>
        <w:tabs>
          <w:tab w:leader="none" w:pos="196"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2008 excludes the impact of the French business tax refund, French payroll tax change, and $37.2M of reorganization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490220</wp:posOffset>
            </wp:positionV>
            <wp:extent cx="727265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176"/>
          </w:cols>
          <w:pgMar w:left="764" w:top="446" w:right="959" w:bottom="1440" w:gutter="0" w:footer="0" w:header="0"/>
        </w:sectPr>
      </w:pPr>
    </w:p>
    <w:bookmarkStart w:id="17" w:name="page18"/>
    <w:bookmarkEnd w:id="17"/>
    <w:tbl>
      <w:tblPr>
        <w:tblLayout w:type="fixed"/>
        <w:tblInd w:w="110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4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480" w:type="dxa"/>
            <w:vAlign w:val="bottom"/>
          </w:tcPr>
          <w:p>
            <w:pPr>
              <w:jc w:val="right"/>
              <w:spacing w:after="0"/>
              <w:rPr>
                <w:sz w:val="20"/>
                <w:szCs w:val="20"/>
                <w:color w:val="auto"/>
              </w:rPr>
            </w:pPr>
            <w:r>
              <w:rPr>
                <w:rFonts w:ascii="Arial" w:cs="Arial" w:eastAsia="Arial" w:hAnsi="Arial"/>
                <w:sz w:val="17"/>
                <w:szCs w:val="17"/>
                <w:color w:val="FFFFFF"/>
              </w:rPr>
              <w:t>18</w:t>
            </w:r>
          </w:p>
        </w:tc>
      </w:tr>
      <w:tr>
        <w:trPr>
          <w:trHeight w:val="202"/>
        </w:trPr>
        <w:tc>
          <w:tcPr>
            <w:tcW w:w="4960" w:type="dxa"/>
            <w:vAlign w:val="bottom"/>
          </w:tcPr>
          <w:p>
            <w:pPr>
              <w:spacing w:after="0"/>
              <w:rPr>
                <w:sz w:val="17"/>
                <w:szCs w:val="17"/>
                <w:color w:val="auto"/>
              </w:rPr>
            </w:pPr>
          </w:p>
        </w:tc>
        <w:tc>
          <w:tcPr>
            <w:tcW w:w="3140" w:type="dxa"/>
            <w:vAlign w:val="bottom"/>
          </w:tcPr>
          <w:p>
            <w:pPr>
              <w:ind w:left="216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46"/>
          <w:szCs w:val="46"/>
          <w:color w:val="5F81AA"/>
        </w:rPr>
        <w:t>Cash Flow Summary -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4443095</wp:posOffset>
            </wp:positionV>
            <wp:extent cx="727265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9680"/>
          </w:cols>
          <w:pgMar w:left="1260" w:top="446" w:right="959" w:bottom="1440" w:gutter="0" w:footer="0" w:header="0"/>
        </w:sectPr>
      </w:pPr>
    </w:p>
    <w:bookmarkStart w:id="18" w:name="page19"/>
    <w:bookmarkEnd w:id="18"/>
    <w:p>
      <w:pPr>
        <w:ind w:left="110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t>Manpower Inc. (NYSE: MAN)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40"/>
          <w:szCs w:val="40"/>
          <w:color w:val="5F81AA"/>
        </w:rPr>
        <w:t>Balance Sheet</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5F81AA"/>
        </w:rPr>
        <w:t>December 31, 2009 ($ in millions)</w:t>
      </w:r>
    </w:p>
    <w:p>
      <w:pPr>
        <w:spacing w:after="0" w:line="200" w:lineRule="exact"/>
        <w:rPr>
          <w:sz w:val="20"/>
          <w:szCs w:val="20"/>
          <w:color w:val="auto"/>
        </w:rPr>
      </w:pP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326"/>
        </w:trPr>
        <w:tc>
          <w:tcPr>
            <w:tcW w:w="1140" w:type="dxa"/>
            <w:vAlign w:val="bottom"/>
          </w:tcPr>
          <w:p>
            <w:pPr>
              <w:spacing w:after="0"/>
              <w:rPr>
                <w:sz w:val="24"/>
                <w:szCs w:val="24"/>
                <w:color w:val="auto"/>
              </w:rPr>
            </w:pPr>
          </w:p>
        </w:tc>
        <w:tc>
          <w:tcPr>
            <w:tcW w:w="1560" w:type="dxa"/>
            <w:vAlign w:val="bottom"/>
          </w:tcPr>
          <w:p>
            <w:pPr>
              <w:jc w:val="right"/>
              <w:ind w:right="397"/>
              <w:spacing w:after="0"/>
              <w:rPr>
                <w:sz w:val="20"/>
                <w:szCs w:val="20"/>
                <w:color w:val="auto"/>
              </w:rPr>
            </w:pPr>
            <w:r>
              <w:rPr>
                <w:rFonts w:ascii="Arial" w:cs="Arial" w:eastAsia="Arial" w:hAnsi="Arial"/>
                <w:sz w:val="25"/>
                <w:szCs w:val="25"/>
                <w:b w:val="1"/>
                <w:bCs w:val="1"/>
                <w:color w:val="6698C2"/>
              </w:rPr>
              <w:t>Cash</w:t>
            </w:r>
          </w:p>
        </w:tc>
        <w:tc>
          <w:tcPr>
            <w:tcW w:w="2880" w:type="dxa"/>
            <w:vAlign w:val="bottom"/>
          </w:tcPr>
          <w:p>
            <w:pPr>
              <w:jc w:val="right"/>
              <w:spacing w:after="0"/>
              <w:rPr>
                <w:sz w:val="20"/>
                <w:szCs w:val="20"/>
                <w:color w:val="auto"/>
              </w:rPr>
            </w:pPr>
            <w:r>
              <w:rPr>
                <w:rFonts w:ascii="Arial" w:cs="Arial" w:eastAsia="Arial" w:hAnsi="Arial"/>
                <w:sz w:val="25"/>
                <w:szCs w:val="25"/>
                <w:b w:val="1"/>
                <w:bCs w:val="1"/>
                <w:color w:val="7EA190"/>
              </w:rPr>
              <w:t>Accounts Receivable</w:t>
            </w:r>
          </w:p>
        </w:tc>
        <w:tc>
          <w:tcPr>
            <w:tcW w:w="0" w:type="dxa"/>
            <w:vAlign w:val="bottom"/>
          </w:tcPr>
          <w:p>
            <w:pPr>
              <w:spacing w:after="0"/>
              <w:rPr>
                <w:sz w:val="1"/>
                <w:szCs w:val="1"/>
                <w:color w:val="auto"/>
              </w:rPr>
            </w:pPr>
          </w:p>
        </w:tc>
      </w:tr>
      <w:tr>
        <w:trPr>
          <w:trHeight w:val="821"/>
        </w:trPr>
        <w:tc>
          <w:tcPr>
            <w:tcW w:w="1140" w:type="dxa"/>
            <w:vAlign w:val="bottom"/>
          </w:tcPr>
          <w:p>
            <w:pPr>
              <w:spacing w:after="0"/>
              <w:rPr>
                <w:sz w:val="20"/>
                <w:szCs w:val="20"/>
                <w:color w:val="auto"/>
              </w:rPr>
            </w:pPr>
            <w:r>
              <w:rPr>
                <w:rFonts w:ascii="Arial" w:cs="Arial" w:eastAsia="Arial" w:hAnsi="Arial"/>
                <w:sz w:val="21"/>
                <w:szCs w:val="21"/>
                <w:b w:val="1"/>
                <w:bCs w:val="1"/>
                <w:color w:val="auto"/>
              </w:rPr>
              <w:t>Assets</w:t>
            </w:r>
          </w:p>
        </w:tc>
        <w:tc>
          <w:tcPr>
            <w:tcW w:w="1560" w:type="dxa"/>
            <w:vAlign w:val="bottom"/>
            <w:vMerge w:val="restart"/>
          </w:tcPr>
          <w:p>
            <w:pPr>
              <w:jc w:val="right"/>
              <w:ind w:right="297"/>
              <w:spacing w:after="0"/>
              <w:rPr>
                <w:sz w:val="20"/>
                <w:szCs w:val="20"/>
                <w:color w:val="auto"/>
              </w:rPr>
            </w:pPr>
            <w:r>
              <w:rPr>
                <w:rFonts w:ascii="Arial" w:cs="Arial" w:eastAsia="Arial" w:hAnsi="Arial"/>
                <w:sz w:val="25"/>
                <w:szCs w:val="25"/>
                <w:b w:val="1"/>
                <w:bCs w:val="1"/>
                <w:color w:val="FFFFFF"/>
              </w:rPr>
              <w:t>1,015</w:t>
            </w:r>
          </w:p>
        </w:tc>
        <w:tc>
          <w:tcPr>
            <w:tcW w:w="2880" w:type="dxa"/>
            <w:vAlign w:val="bottom"/>
            <w:vMerge w:val="restart"/>
          </w:tcPr>
          <w:p>
            <w:pPr>
              <w:jc w:val="right"/>
              <w:ind w:right="637"/>
              <w:spacing w:after="0"/>
              <w:rPr>
                <w:sz w:val="20"/>
                <w:szCs w:val="20"/>
                <w:color w:val="auto"/>
              </w:rPr>
            </w:pPr>
            <w:r>
              <w:rPr>
                <w:rFonts w:ascii="Arial" w:cs="Arial" w:eastAsia="Arial" w:hAnsi="Arial"/>
                <w:sz w:val="25"/>
                <w:szCs w:val="25"/>
                <w:b w:val="1"/>
                <w:bCs w:val="1"/>
                <w:color w:val="FFFFFF"/>
              </w:rPr>
              <w:t>3,071</w:t>
            </w:r>
          </w:p>
        </w:tc>
        <w:tc>
          <w:tcPr>
            <w:tcW w:w="0" w:type="dxa"/>
            <w:vAlign w:val="bottom"/>
          </w:tcPr>
          <w:p>
            <w:pPr>
              <w:spacing w:after="0"/>
              <w:rPr>
                <w:sz w:val="1"/>
                <w:szCs w:val="1"/>
                <w:color w:val="auto"/>
              </w:rPr>
            </w:pPr>
          </w:p>
        </w:tc>
      </w:tr>
      <w:tr>
        <w:trPr>
          <w:trHeight w:val="191"/>
        </w:trPr>
        <w:tc>
          <w:tcPr>
            <w:tcW w:w="1140" w:type="dxa"/>
            <w:vAlign w:val="bottom"/>
            <w:vMerge w:val="restart"/>
          </w:tcPr>
          <w:p>
            <w:pPr>
              <w:ind w:left="20"/>
              <w:spacing w:after="0"/>
              <w:rPr>
                <w:sz w:val="20"/>
                <w:szCs w:val="20"/>
                <w:color w:val="auto"/>
              </w:rPr>
            </w:pPr>
            <w:r>
              <w:rPr>
                <w:rFonts w:ascii="Arial" w:cs="Arial" w:eastAsia="Arial" w:hAnsi="Arial"/>
                <w:sz w:val="21"/>
                <w:szCs w:val="21"/>
                <w:b w:val="1"/>
                <w:bCs w:val="1"/>
                <w:color w:val="auto"/>
              </w:rPr>
              <w:t>$6,214</w:t>
            </w:r>
          </w:p>
        </w:tc>
        <w:tc>
          <w:tcPr>
            <w:tcW w:w="1560" w:type="dxa"/>
            <w:vAlign w:val="bottom"/>
            <w:vMerge w:val="continue"/>
          </w:tcPr>
          <w:p>
            <w:pPr>
              <w:spacing w:after="0"/>
              <w:rPr>
                <w:sz w:val="16"/>
                <w:szCs w:val="16"/>
                <w:color w:val="auto"/>
              </w:rPr>
            </w:pP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1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220"/>
        <w:spacing w:after="0"/>
        <w:tabs>
          <w:tab w:leader="none" w:pos="1380" w:val="left"/>
        </w:tabs>
        <w:rPr>
          <w:sz w:val="20"/>
          <w:szCs w:val="20"/>
          <w:color w:val="auto"/>
        </w:rPr>
      </w:pPr>
      <w:r>
        <w:rPr>
          <w:rFonts w:ascii="Arial" w:cs="Arial" w:eastAsia="Arial" w:hAnsi="Arial"/>
          <w:sz w:val="25"/>
          <w:szCs w:val="25"/>
          <w:b w:val="1"/>
          <w:bCs w:val="1"/>
          <w:color w:val="6698C2"/>
        </w:rPr>
        <w:t>Other Liabilities</w:t>
      </w:r>
      <w:r>
        <w:rPr>
          <w:sz w:val="20"/>
          <w:szCs w:val="20"/>
          <w:color w:val="auto"/>
        </w:rPr>
        <w:tab/>
      </w:r>
      <w:r>
        <w:rPr>
          <w:rFonts w:ascii="Arial" w:cs="Arial" w:eastAsia="Arial" w:hAnsi="Arial"/>
          <w:sz w:val="23"/>
          <w:szCs w:val="23"/>
          <w:b w:val="1"/>
          <w:bCs w:val="1"/>
          <w:color w:val="7EA190"/>
        </w:rPr>
        <w:t>Total Debt</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Liabilities</w:t>
      </w:r>
    </w:p>
    <w:p>
      <w:pPr>
        <w:spacing w:after="0" w:line="14" w:lineRule="exact"/>
        <w:rPr>
          <w:sz w:val="20"/>
          <w:szCs w:val="20"/>
          <w:color w:val="auto"/>
        </w:rPr>
      </w:pPr>
    </w:p>
    <w:p>
      <w:pPr>
        <w:ind w:left="80"/>
        <w:spacing w:after="0"/>
        <w:tabs>
          <w:tab w:leader="none" w:pos="2860" w:val="left"/>
          <w:tab w:leader="none" w:pos="5140" w:val="left"/>
        </w:tabs>
        <w:rPr>
          <w:sz w:val="20"/>
          <w:szCs w:val="20"/>
          <w:color w:val="auto"/>
        </w:rPr>
      </w:pPr>
      <w:r>
        <w:rPr>
          <w:rFonts w:ascii="Arial" w:cs="Arial" w:eastAsia="Arial" w:hAnsi="Arial"/>
          <w:sz w:val="21"/>
          <w:szCs w:val="21"/>
          <w:b w:val="1"/>
          <w:bCs w:val="1"/>
          <w:color w:val="auto"/>
        </w:rPr>
        <w:t>&amp; Equity</w:t>
      </w:r>
      <w:r>
        <w:rPr>
          <w:sz w:val="20"/>
          <w:szCs w:val="20"/>
          <w:color w:val="auto"/>
        </w:rPr>
        <w:tab/>
      </w:r>
      <w:r>
        <w:rPr>
          <w:rFonts w:ascii="Arial" w:cs="Arial" w:eastAsia="Arial" w:hAnsi="Arial"/>
          <w:sz w:val="25"/>
          <w:szCs w:val="25"/>
          <w:b w:val="1"/>
          <w:bCs w:val="1"/>
          <w:color w:val="FFFFFF"/>
        </w:rPr>
        <w:t>2,920</w:t>
      </w:r>
      <w:r>
        <w:rPr>
          <w:sz w:val="20"/>
          <w:szCs w:val="20"/>
          <w:color w:val="auto"/>
        </w:rPr>
        <w:tab/>
      </w:r>
      <w:r>
        <w:rPr>
          <w:rFonts w:ascii="Arial" w:cs="Arial" w:eastAsia="Arial" w:hAnsi="Arial"/>
          <w:sz w:val="25"/>
          <w:szCs w:val="25"/>
          <w:b w:val="1"/>
          <w:bCs w:val="1"/>
          <w:color w:val="FFFFFF"/>
        </w:rPr>
        <w:t>757</w:t>
      </w:r>
    </w:p>
    <w:p>
      <w:pPr>
        <w:ind w:left="180"/>
        <w:spacing w:after="0"/>
        <w:rPr>
          <w:sz w:val="20"/>
          <w:szCs w:val="20"/>
          <w:color w:val="auto"/>
        </w:rPr>
      </w:pPr>
      <w:r>
        <w:rPr>
          <w:rFonts w:ascii="Arial" w:cs="Arial" w:eastAsia="Arial" w:hAnsi="Arial"/>
          <w:sz w:val="21"/>
          <w:szCs w:val="21"/>
          <w:b w:val="1"/>
          <w:bCs w:val="1"/>
          <w:color w:val="auto"/>
        </w:rPr>
        <w:t>$6,214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1528445</wp:posOffset>
            </wp:positionV>
            <wp:extent cx="727265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360"/>
        <w:spacing w:after="0"/>
        <w:tabs>
          <w:tab w:leader="none" w:pos="2600" w:val="left"/>
        </w:tabs>
        <w:rPr>
          <w:sz w:val="20"/>
          <w:szCs w:val="20"/>
          <w:color w:val="auto"/>
        </w:rPr>
      </w:pPr>
      <w:r>
        <w:rPr>
          <w:rFonts w:ascii="Arial" w:cs="Arial" w:eastAsia="Arial" w:hAnsi="Arial"/>
          <w:sz w:val="17"/>
          <w:szCs w:val="17"/>
          <w:color w:val="FFFFFF"/>
        </w:rPr>
        <w:t>February</w:t>
      </w:r>
      <w:r>
        <w:rPr>
          <w:sz w:val="20"/>
          <w:szCs w:val="20"/>
          <w:color w:val="auto"/>
        </w:rPr>
        <w:tab/>
      </w:r>
      <w:r>
        <w:rPr>
          <w:rFonts w:ascii="Arial" w:cs="Arial" w:eastAsia="Arial" w:hAnsi="Arial"/>
          <w:sz w:val="17"/>
          <w:szCs w:val="17"/>
          <w:color w:val="FFFFFF"/>
        </w:rPr>
        <w:t>19</w:t>
      </w:r>
    </w:p>
    <w:p>
      <w:pPr>
        <w:ind w:left="1360"/>
        <w:spacing w:after="0"/>
        <w:rPr>
          <w:sz w:val="20"/>
          <w:szCs w:val="20"/>
          <w:color w:val="auto"/>
        </w:rPr>
      </w:pPr>
      <w:r>
        <w:rPr>
          <w:rFonts w:ascii="Arial" w:cs="Arial" w:eastAsia="Arial" w:hAnsi="Arial"/>
          <w:sz w:val="17"/>
          <w:szCs w:val="17"/>
          <w:color w:val="FFFFFF"/>
        </w:rPr>
        <w:t>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D47C18"/>
        </w:rPr>
        <w:t>Other Assets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
        <w:spacing w:after="0"/>
        <w:rPr>
          <w:sz w:val="20"/>
          <w:szCs w:val="20"/>
          <w:color w:val="auto"/>
        </w:rPr>
      </w:pPr>
      <w:r>
        <w:rPr>
          <w:rFonts w:ascii="Arial" w:cs="Arial" w:eastAsia="Arial" w:hAnsi="Arial"/>
          <w:sz w:val="25"/>
          <w:szCs w:val="25"/>
          <w:b w:val="1"/>
          <w:bCs w:val="1"/>
          <w:color w:val="FFFFFF"/>
        </w:rPr>
        <w:t>2,128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D47C18"/>
        </w:rPr>
        <w:t>Equity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FFFFFF"/>
        </w:rPr>
        <w:t>2,537</w:t>
      </w:r>
    </w:p>
    <w:p>
      <w:pPr>
        <w:sectPr>
          <w:pgSz w:w="11900" w:h="16838" w:orient="portrait"/>
          <w:cols w:equalWidth="0" w:num="2">
            <w:col w:w="6140" w:space="720"/>
            <w:col w:w="2820"/>
          </w:cols>
          <w:pgMar w:left="1260" w:top="474" w:right="959" w:bottom="1440" w:gutter="0" w:footer="0" w:header="0"/>
        </w:sectPr>
      </w:pPr>
    </w:p>
    <w:bookmarkStart w:id="19" w:name="page20"/>
    <w:bookmarkEnd w:id="19"/>
    <w:tbl>
      <w:tblPr>
        <w:tblLayout w:type="fixed"/>
        <w:tblInd w:w="110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4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480" w:type="dxa"/>
            <w:vAlign w:val="bottom"/>
          </w:tcPr>
          <w:p>
            <w:pPr>
              <w:jc w:val="right"/>
              <w:spacing w:after="0"/>
              <w:rPr>
                <w:sz w:val="20"/>
                <w:szCs w:val="20"/>
                <w:color w:val="auto"/>
              </w:rPr>
            </w:pPr>
            <w:r>
              <w:rPr>
                <w:rFonts w:ascii="Arial" w:cs="Arial" w:eastAsia="Arial" w:hAnsi="Arial"/>
                <w:sz w:val="17"/>
                <w:szCs w:val="17"/>
                <w:color w:val="FFFFFF"/>
              </w:rPr>
              <w:t>20</w:t>
            </w:r>
          </w:p>
        </w:tc>
      </w:tr>
      <w:tr>
        <w:trPr>
          <w:trHeight w:val="202"/>
        </w:trPr>
        <w:tc>
          <w:tcPr>
            <w:tcW w:w="4960" w:type="dxa"/>
            <w:vAlign w:val="bottom"/>
          </w:tcPr>
          <w:p>
            <w:pPr>
              <w:spacing w:after="0"/>
              <w:rPr>
                <w:sz w:val="17"/>
                <w:szCs w:val="17"/>
                <w:color w:val="auto"/>
              </w:rPr>
            </w:pPr>
          </w:p>
        </w:tc>
        <w:tc>
          <w:tcPr>
            <w:tcW w:w="3140" w:type="dxa"/>
            <w:vAlign w:val="bottom"/>
          </w:tcPr>
          <w:p>
            <w:pPr>
              <w:ind w:left="216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spacing w:after="0"/>
        <w:rPr>
          <w:sz w:val="20"/>
          <w:szCs w:val="20"/>
          <w:color w:val="auto"/>
        </w:rPr>
      </w:pPr>
      <w:r>
        <w:rPr>
          <w:rFonts w:ascii="Arial" w:cs="Arial" w:eastAsia="Arial" w:hAnsi="Arial"/>
          <w:sz w:val="46"/>
          <w:szCs w:val="46"/>
          <w:color w:val="5F81AA"/>
        </w:rPr>
        <w:t>Trend Analysis</w:t>
      </w:r>
    </w:p>
    <w:p>
      <w:pPr>
        <w:sectPr>
          <w:pgSz w:w="11900" w:h="16838" w:orient="portrait"/>
          <w:cols w:equalWidth="0" w:num="1">
            <w:col w:w="9680"/>
          </w:cols>
          <w:pgMar w:left="1260" w:top="446" w:right="959" w:bottom="1440" w:gutter="0" w:footer="0" w:header="0"/>
        </w:sectPr>
      </w:pPr>
    </w:p>
    <w:p>
      <w:pPr>
        <w:spacing w:after="0" w:line="278" w:lineRule="exact"/>
        <w:rPr>
          <w:sz w:val="20"/>
          <w:szCs w:val="20"/>
          <w:color w:val="auto"/>
        </w:rPr>
      </w:pPr>
    </w:p>
    <w:tbl>
      <w:tblPr>
        <w:tblLayout w:type="fixed"/>
        <w:tblInd w:w="440" w:type="dxa"/>
        <w:tblCellMar>
          <w:top w:w="0" w:type="dxa"/>
          <w:left w:w="0" w:type="dxa"/>
          <w:bottom w:w="0" w:type="dxa"/>
          <w:right w:w="0" w:type="dxa"/>
        </w:tblCellMar>
      </w:tblPr>
      <w:tr>
        <w:trPr>
          <w:trHeight w:val="244"/>
        </w:trPr>
        <w:tc>
          <w:tcPr>
            <w:tcW w:w="3200" w:type="dxa"/>
            <w:vAlign w:val="bottom"/>
          </w:tcPr>
          <w:p>
            <w:pPr>
              <w:jc w:val="right"/>
              <w:ind w:right="2113"/>
              <w:spacing w:after="0"/>
              <w:rPr>
                <w:sz w:val="20"/>
                <w:szCs w:val="20"/>
                <w:color w:val="auto"/>
              </w:rPr>
            </w:pPr>
            <w:r>
              <w:rPr>
                <w:rFonts w:ascii="Arial" w:cs="Arial" w:eastAsia="Arial" w:hAnsi="Arial"/>
                <w:sz w:val="12"/>
                <w:szCs w:val="12"/>
                <w:b w:val="1"/>
                <w:bCs w:val="1"/>
                <w:color w:val="auto"/>
                <w:w w:val="98"/>
              </w:rPr>
              <w:t>Dollars in Billions</w:t>
            </w:r>
          </w:p>
        </w:tc>
        <w:tc>
          <w:tcPr>
            <w:tcW w:w="1640" w:type="dxa"/>
            <w:vAlign w:val="bottom"/>
            <w:vMerge w:val="restart"/>
          </w:tcPr>
          <w:p>
            <w:pPr>
              <w:jc w:val="right"/>
              <w:ind w:right="293"/>
              <w:spacing w:after="0"/>
              <w:rPr>
                <w:sz w:val="20"/>
                <w:szCs w:val="20"/>
                <w:color w:val="auto"/>
              </w:rPr>
            </w:pPr>
            <w:r>
              <w:rPr>
                <w:rFonts w:ascii="Arial" w:cs="Arial" w:eastAsia="Arial" w:hAnsi="Arial"/>
                <w:sz w:val="31"/>
                <w:szCs w:val="31"/>
                <w:color w:val="7EA190"/>
                <w:w w:val="98"/>
              </w:rPr>
              <w:t>Revenue</w:t>
            </w: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3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3200" w:type="dxa"/>
            <w:vAlign w:val="bottom"/>
          </w:tcPr>
          <w:p>
            <w:pPr>
              <w:jc w:val="right"/>
              <w:ind w:right="2933"/>
              <w:spacing w:after="0"/>
              <w:rPr>
                <w:sz w:val="20"/>
                <w:szCs w:val="20"/>
                <w:color w:val="auto"/>
              </w:rPr>
            </w:pPr>
            <w:r>
              <w:rPr>
                <w:rFonts w:ascii="Arial" w:cs="Arial" w:eastAsia="Arial" w:hAnsi="Arial"/>
                <w:sz w:val="14"/>
                <w:szCs w:val="14"/>
                <w:color w:val="auto"/>
              </w:rPr>
              <w:t>25</w:t>
            </w:r>
          </w:p>
        </w:tc>
        <w:tc>
          <w:tcPr>
            <w:tcW w:w="1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34"/>
        </w:trPr>
        <w:tc>
          <w:tcPr>
            <w:tcW w:w="3200" w:type="dxa"/>
            <w:vAlign w:val="bottom"/>
            <w:vMerge w:val="restart"/>
          </w:tcPr>
          <w:p>
            <w:pPr>
              <w:jc w:val="right"/>
              <w:spacing w:after="0"/>
              <w:rPr>
                <w:sz w:val="20"/>
                <w:szCs w:val="20"/>
                <w:color w:val="auto"/>
              </w:rPr>
            </w:pPr>
            <w:r>
              <w:rPr>
                <w:rFonts w:ascii="Arial" w:cs="Arial" w:eastAsia="Arial" w:hAnsi="Arial"/>
                <w:sz w:val="14"/>
                <w:szCs w:val="14"/>
                <w:b w:val="1"/>
                <w:bCs w:val="1"/>
                <w:color w:val="D47C18"/>
              </w:rPr>
              <w:t>% = Variance in constant currency</w:t>
            </w:r>
          </w:p>
        </w:tc>
        <w:tc>
          <w:tcPr>
            <w:tcW w:w="1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vMerge w:val="restart"/>
          </w:tcPr>
          <w:p>
            <w:pPr>
              <w:jc w:val="right"/>
              <w:ind w:right="163"/>
              <w:spacing w:after="0"/>
              <w:rPr>
                <w:sz w:val="20"/>
                <w:szCs w:val="20"/>
                <w:color w:val="auto"/>
              </w:rPr>
            </w:pPr>
            <w:r>
              <w:rPr>
                <w:rFonts w:ascii="Arial" w:cs="Arial" w:eastAsia="Arial" w:hAnsi="Arial"/>
                <w:sz w:val="12"/>
                <w:szCs w:val="12"/>
                <w:color w:val="auto"/>
              </w:rPr>
              <w:t>+9.0%</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vMerge w:val="continue"/>
          </w:tcPr>
          <w:p>
            <w:pPr>
              <w:spacing w:after="0"/>
              <w:rPr>
                <w:sz w:val="6"/>
                <w:szCs w:val="6"/>
                <w:color w:val="auto"/>
              </w:rPr>
            </w:pPr>
          </w:p>
        </w:tc>
        <w:tc>
          <w:tcPr>
            <w:tcW w:w="1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200" w:type="dxa"/>
            <w:vAlign w:val="bottom"/>
          </w:tcPr>
          <w:p>
            <w:pPr>
              <w:jc w:val="right"/>
              <w:ind w:right="2933"/>
              <w:spacing w:after="0"/>
              <w:rPr>
                <w:sz w:val="20"/>
                <w:szCs w:val="20"/>
                <w:color w:val="auto"/>
              </w:rPr>
            </w:pPr>
            <w:r>
              <w:rPr>
                <w:rFonts w:ascii="Arial" w:cs="Arial" w:eastAsia="Arial" w:hAnsi="Arial"/>
                <w:sz w:val="14"/>
                <w:szCs w:val="14"/>
                <w:color w:val="auto"/>
              </w:rPr>
              <w:t>20</w:t>
            </w:r>
          </w:p>
        </w:tc>
        <w:tc>
          <w:tcPr>
            <w:tcW w:w="1640" w:type="dxa"/>
            <w:vAlign w:val="bottom"/>
            <w:vMerge w:val="restart"/>
          </w:tcPr>
          <w:p>
            <w:pPr>
              <w:jc w:val="right"/>
              <w:ind w:right="93"/>
              <w:spacing w:after="0"/>
              <w:rPr>
                <w:sz w:val="20"/>
                <w:szCs w:val="20"/>
                <w:color w:val="auto"/>
              </w:rPr>
            </w:pPr>
            <w:r>
              <w:rPr>
                <w:rFonts w:ascii="Arial" w:cs="Arial" w:eastAsia="Arial" w:hAnsi="Arial"/>
                <w:sz w:val="12"/>
                <w:szCs w:val="12"/>
                <w:color w:val="auto"/>
              </w:rPr>
              <w:t>+7.9%</w:t>
            </w:r>
          </w:p>
        </w:tc>
        <w:tc>
          <w:tcPr>
            <w:tcW w:w="780" w:type="dxa"/>
            <w:vAlign w:val="bottom"/>
          </w:tcPr>
          <w:p>
            <w:pPr>
              <w:jc w:val="right"/>
              <w:ind w:right="119"/>
              <w:spacing w:after="0"/>
              <w:rPr>
                <w:sz w:val="20"/>
                <w:szCs w:val="20"/>
                <w:color w:val="auto"/>
              </w:rPr>
            </w:pPr>
            <w:r>
              <w:rPr>
                <w:rFonts w:ascii="Arial" w:cs="Arial" w:eastAsia="Arial" w:hAnsi="Arial"/>
                <w:sz w:val="12"/>
                <w:szCs w:val="12"/>
                <w:color w:val="auto"/>
              </w:rPr>
              <w:t>+10.0%</w:t>
            </w:r>
          </w:p>
        </w:tc>
        <w:tc>
          <w:tcPr>
            <w:tcW w:w="780" w:type="dxa"/>
            <w:vAlign w:val="bottom"/>
            <w:vMerge w:val="restart"/>
          </w:tcPr>
          <w:p>
            <w:pPr>
              <w:jc w:val="right"/>
              <w:ind w:right="123"/>
              <w:spacing w:after="0"/>
              <w:rPr>
                <w:sz w:val="20"/>
                <w:szCs w:val="20"/>
                <w:color w:val="auto"/>
              </w:rPr>
            </w:pPr>
            <w:r>
              <w:rPr>
                <w:rFonts w:ascii="Arial" w:cs="Arial" w:eastAsia="Arial" w:hAnsi="Arial"/>
                <w:sz w:val="18"/>
                <w:szCs w:val="18"/>
                <w:color w:val="FFFFFF"/>
              </w:rPr>
              <w:t>20.5</w:t>
            </w:r>
          </w:p>
        </w:tc>
        <w:tc>
          <w:tcPr>
            <w:tcW w:w="580" w:type="dxa"/>
            <w:vAlign w:val="bottom"/>
          </w:tcPr>
          <w:p>
            <w:pPr>
              <w:jc w:val="right"/>
              <w:spacing w:after="0"/>
              <w:rPr>
                <w:sz w:val="20"/>
                <w:szCs w:val="20"/>
                <w:color w:val="auto"/>
              </w:rPr>
            </w:pPr>
            <w:r>
              <w:rPr>
                <w:rFonts w:ascii="Arial" w:cs="Arial" w:eastAsia="Arial" w:hAnsi="Arial"/>
                <w:sz w:val="18"/>
                <w:szCs w:val="18"/>
                <w:color w:val="FFFFFF"/>
              </w:rPr>
              <w:t>21.5</w:t>
            </w:r>
          </w:p>
        </w:tc>
        <w:tc>
          <w:tcPr>
            <w:tcW w:w="0" w:type="dxa"/>
            <w:vAlign w:val="bottom"/>
          </w:tcPr>
          <w:p>
            <w:pPr>
              <w:spacing w:after="0"/>
              <w:rPr>
                <w:sz w:val="1"/>
                <w:szCs w:val="1"/>
                <w:color w:val="auto"/>
              </w:rPr>
            </w:pPr>
          </w:p>
        </w:tc>
      </w:tr>
      <w:tr>
        <w:trPr>
          <w:trHeight w:val="48"/>
        </w:trPr>
        <w:tc>
          <w:tcPr>
            <w:tcW w:w="3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right"/>
        <w:ind w:right="500"/>
        <w:spacing w:after="0"/>
        <w:rPr>
          <w:sz w:val="20"/>
          <w:szCs w:val="20"/>
          <w:color w:val="auto"/>
        </w:rPr>
      </w:pPr>
      <w:r>
        <w:rPr>
          <w:rFonts w:ascii="Arial" w:cs="Arial" w:eastAsia="Arial" w:hAnsi="Arial"/>
          <w:sz w:val="12"/>
          <w:szCs w:val="12"/>
          <w:b w:val="1"/>
          <w:bCs w:val="1"/>
          <w:color w:val="auto"/>
        </w:rPr>
        <w:t>Y-O-Y Growth</w:t>
      </w:r>
    </w:p>
    <w:p>
      <w:pPr>
        <w:spacing w:after="0" w:line="57" w:lineRule="exact"/>
        <w:rPr>
          <w:sz w:val="20"/>
          <w:szCs w:val="20"/>
          <w:color w:val="auto"/>
        </w:rPr>
      </w:pPr>
    </w:p>
    <w:p>
      <w:pPr>
        <w:jc w:val="right"/>
        <w:ind w:right="500"/>
        <w:spacing w:after="0"/>
        <w:rPr>
          <w:sz w:val="20"/>
          <w:szCs w:val="20"/>
          <w:color w:val="auto"/>
        </w:rPr>
      </w:pPr>
      <w:r>
        <w:rPr>
          <w:rFonts w:ascii="Arial" w:cs="Arial" w:eastAsia="Arial" w:hAnsi="Arial"/>
          <w:sz w:val="12"/>
          <w:szCs w:val="12"/>
          <w:b w:val="1"/>
          <w:bCs w:val="1"/>
          <w:color w:val="auto"/>
        </w:rPr>
        <w:t>in CC%</w:t>
      </w:r>
    </w:p>
    <w:p>
      <w:pPr>
        <w:spacing w:after="0" w:line="57" w:lineRule="exact"/>
        <w:rPr>
          <w:sz w:val="20"/>
          <w:szCs w:val="20"/>
          <w:color w:val="auto"/>
        </w:rPr>
      </w:pPr>
    </w:p>
    <w:p>
      <w:pPr>
        <w:jc w:val="right"/>
        <w:ind w:right="500"/>
        <w:spacing w:after="0"/>
        <w:rPr>
          <w:sz w:val="20"/>
          <w:szCs w:val="20"/>
          <w:color w:val="auto"/>
        </w:rPr>
      </w:pPr>
      <w:r>
        <w:rPr>
          <w:rFonts w:ascii="Arial" w:cs="Arial" w:eastAsia="Arial" w:hAnsi="Arial"/>
          <w:sz w:val="14"/>
          <w:szCs w:val="14"/>
          <w:color w:val="auto"/>
        </w:rPr>
        <w:t>50.0%</w:t>
      </w:r>
    </w:p>
    <w:p>
      <w:pPr>
        <w:spacing w:after="0" w:line="195" w:lineRule="exact"/>
        <w:rPr>
          <w:sz w:val="20"/>
          <w:szCs w:val="20"/>
          <w:color w:val="auto"/>
        </w:rPr>
      </w:pPr>
    </w:p>
    <w:p>
      <w:pPr>
        <w:jc w:val="right"/>
        <w:ind w:right="500"/>
        <w:spacing w:after="0"/>
        <w:rPr>
          <w:sz w:val="20"/>
          <w:szCs w:val="20"/>
          <w:color w:val="auto"/>
        </w:rPr>
      </w:pPr>
      <w:r>
        <w:rPr>
          <w:rFonts w:ascii="Arial" w:cs="Arial" w:eastAsia="Arial" w:hAnsi="Arial"/>
          <w:sz w:val="14"/>
          <w:szCs w:val="14"/>
          <w:color w:val="auto"/>
        </w:rPr>
        <w:t>35.0%</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-20.9%</w:t>
      </w:r>
    </w:p>
    <w:p>
      <w:pPr>
        <w:spacing w:after="0" w:line="1" w:lineRule="exact"/>
        <w:rPr>
          <w:sz w:val="20"/>
          <w:szCs w:val="20"/>
          <w:color w:val="auto"/>
        </w:rPr>
      </w:pPr>
    </w:p>
    <w:p>
      <w:pPr>
        <w:sectPr>
          <w:pgSz w:w="11900" w:h="16838" w:orient="portrait"/>
          <w:cols w:equalWidth="0" w:num="2">
            <w:col w:w="7420" w:space="420"/>
            <w:col w:w="1840"/>
          </w:cols>
          <w:pgMar w:left="1260" w:top="446" w:right="959" w:bottom="1440" w:gutter="0" w:footer="0" w:header="0"/>
          <w:type w:val="continuous"/>
        </w:sectPr>
      </w:pPr>
    </w:p>
    <w:tbl>
      <w:tblPr>
        <w:tblLayout w:type="fixed"/>
        <w:tblInd w:w="480" w:type="dxa"/>
        <w:tblCellMar>
          <w:top w:w="0" w:type="dxa"/>
          <w:left w:w="0" w:type="dxa"/>
          <w:bottom w:w="0" w:type="dxa"/>
          <w:right w:w="0" w:type="dxa"/>
        </w:tblCellMar>
      </w:tblPr>
      <w:tr>
        <w:trPr>
          <w:trHeight w:val="147"/>
        </w:trPr>
        <w:tc>
          <w:tcPr>
            <w:tcW w:w="280" w:type="dxa"/>
            <w:vAlign w:val="bottom"/>
            <w:vMerge w:val="restart"/>
          </w:tcPr>
          <w:p>
            <w:pPr>
              <w:jc w:val="right"/>
              <w:ind w:right="51"/>
              <w:spacing w:after="0"/>
              <w:rPr>
                <w:sz w:val="20"/>
                <w:szCs w:val="20"/>
                <w:color w:val="auto"/>
              </w:rPr>
            </w:pPr>
            <w:r>
              <w:rPr>
                <w:rFonts w:ascii="Arial" w:cs="Arial" w:eastAsia="Arial" w:hAnsi="Arial"/>
                <w:sz w:val="14"/>
                <w:szCs w:val="14"/>
                <w:color w:val="auto"/>
                <w:w w:val="89"/>
              </w:rPr>
              <w:t>15</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right"/>
              <w:ind w:right="103"/>
              <w:spacing w:after="0"/>
              <w:rPr>
                <w:sz w:val="20"/>
                <w:szCs w:val="20"/>
                <w:color w:val="auto"/>
              </w:rPr>
            </w:pPr>
            <w:r>
              <w:rPr>
                <w:rFonts w:ascii="Arial" w:cs="Arial" w:eastAsia="Arial" w:hAnsi="Arial"/>
                <w:sz w:val="12"/>
                <w:szCs w:val="12"/>
                <w:color w:val="auto"/>
              </w:rPr>
              <w:t>+13.1%</w:t>
            </w:r>
          </w:p>
        </w:tc>
        <w:tc>
          <w:tcPr>
            <w:tcW w:w="7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FFFFFF"/>
              </w:rPr>
              <w:t>17.6</w:t>
            </w:r>
          </w:p>
        </w:tc>
        <w:tc>
          <w:tcPr>
            <w:tcW w:w="0" w:type="dxa"/>
            <w:vAlign w:val="bottom"/>
          </w:tcPr>
          <w:p>
            <w:pPr>
              <w:spacing w:after="0"/>
              <w:rPr>
                <w:sz w:val="1"/>
                <w:szCs w:val="1"/>
                <w:color w:val="auto"/>
              </w:rPr>
            </w:pPr>
          </w:p>
        </w:tc>
      </w:tr>
      <w:tr>
        <w:trPr>
          <w:trHeight w:val="110"/>
        </w:trPr>
        <w:tc>
          <w:tcPr>
            <w:tcW w:w="2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restart"/>
          </w:tcPr>
          <w:p>
            <w:pPr>
              <w:jc w:val="right"/>
              <w:ind w:right="143"/>
              <w:spacing w:after="0"/>
              <w:rPr>
                <w:sz w:val="20"/>
                <w:szCs w:val="20"/>
                <w:color w:val="auto"/>
              </w:rPr>
            </w:pPr>
            <w:r>
              <w:rPr>
                <w:rFonts w:ascii="Arial" w:cs="Arial" w:eastAsia="Arial" w:hAnsi="Arial"/>
                <w:sz w:val="12"/>
                <w:szCs w:val="12"/>
                <w:color w:val="auto"/>
              </w:rPr>
              <w:t>+2.1%</w:t>
            </w:r>
          </w:p>
        </w:tc>
        <w:tc>
          <w:tcPr>
            <w:tcW w:w="780" w:type="dxa"/>
            <w:vAlign w:val="bottom"/>
            <w:vMerge w:val="restart"/>
          </w:tcPr>
          <w:p>
            <w:pPr>
              <w:jc w:val="right"/>
              <w:ind w:right="103"/>
              <w:spacing w:after="0"/>
              <w:rPr>
                <w:sz w:val="20"/>
                <w:szCs w:val="20"/>
                <w:color w:val="auto"/>
              </w:rPr>
            </w:pPr>
            <w:r>
              <w:rPr>
                <w:rFonts w:ascii="Arial" w:cs="Arial" w:eastAsia="Arial" w:hAnsi="Arial"/>
                <w:sz w:val="18"/>
                <w:szCs w:val="18"/>
                <w:color w:val="FFFFFF"/>
              </w:rPr>
              <w:t>14.7</w:t>
            </w:r>
          </w:p>
        </w:tc>
        <w:tc>
          <w:tcPr>
            <w:tcW w:w="760" w:type="dxa"/>
            <w:vAlign w:val="bottom"/>
            <w:vMerge w:val="restart"/>
          </w:tcPr>
          <w:p>
            <w:pPr>
              <w:jc w:val="right"/>
              <w:ind w:right="128"/>
              <w:spacing w:after="0"/>
              <w:rPr>
                <w:sz w:val="20"/>
                <w:szCs w:val="20"/>
                <w:color w:val="auto"/>
              </w:rPr>
            </w:pPr>
            <w:r>
              <w:rPr>
                <w:rFonts w:ascii="Arial" w:cs="Arial" w:eastAsia="Arial" w:hAnsi="Arial"/>
                <w:sz w:val="18"/>
                <w:szCs w:val="18"/>
                <w:color w:val="FFFFFF"/>
              </w:rPr>
              <w:t>15.8</w:t>
            </w: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80" w:type="dxa"/>
            <w:vAlign w:val="bottom"/>
          </w:tcPr>
          <w:p>
            <w:pPr>
              <w:spacing w:after="0"/>
              <w:rPr>
                <w:sz w:val="10"/>
                <w:szCs w:val="10"/>
                <w:color w:val="auto"/>
              </w:rPr>
            </w:pPr>
          </w:p>
        </w:tc>
        <w:tc>
          <w:tcPr>
            <w:tcW w:w="760" w:type="dxa"/>
            <w:vAlign w:val="bottom"/>
            <w:vMerge w:val="restart"/>
          </w:tcPr>
          <w:p>
            <w:pPr>
              <w:jc w:val="right"/>
              <w:ind w:right="103"/>
              <w:spacing w:after="0"/>
              <w:rPr>
                <w:sz w:val="20"/>
                <w:szCs w:val="20"/>
                <w:color w:val="auto"/>
              </w:rPr>
            </w:pPr>
            <w:r>
              <w:rPr>
                <w:rFonts w:ascii="Arial" w:cs="Arial" w:eastAsia="Arial" w:hAnsi="Arial"/>
                <w:sz w:val="12"/>
                <w:szCs w:val="12"/>
                <w:color w:val="auto"/>
              </w:rPr>
              <w:t>+20.8%</w:t>
            </w:r>
          </w:p>
        </w:tc>
        <w:tc>
          <w:tcPr>
            <w:tcW w:w="740" w:type="dxa"/>
            <w:vAlign w:val="bottom"/>
            <w:vMerge w:val="restart"/>
          </w:tcPr>
          <w:p>
            <w:pPr>
              <w:jc w:val="right"/>
              <w:ind w:right="123"/>
              <w:spacing w:after="0"/>
              <w:rPr>
                <w:sz w:val="20"/>
                <w:szCs w:val="20"/>
                <w:color w:val="auto"/>
              </w:rPr>
            </w:pPr>
            <w:r>
              <w:rPr>
                <w:rFonts w:ascii="Arial" w:cs="Arial" w:eastAsia="Arial" w:hAnsi="Arial"/>
                <w:sz w:val="12"/>
                <w:szCs w:val="12"/>
                <w:color w:val="auto"/>
              </w:rPr>
              <w:t>+0.4%</w:t>
            </w: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-2.6%</w:t>
            </w: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80" w:type="dxa"/>
            <w:vAlign w:val="bottom"/>
            <w:vMerge w:val="restart"/>
          </w:tcPr>
          <w:p>
            <w:pPr>
              <w:jc w:val="right"/>
              <w:ind w:right="51"/>
              <w:spacing w:after="0"/>
              <w:rPr>
                <w:sz w:val="20"/>
                <w:szCs w:val="20"/>
                <w:color w:val="auto"/>
              </w:rPr>
            </w:pPr>
            <w:r>
              <w:rPr>
                <w:rFonts w:ascii="Arial" w:cs="Arial" w:eastAsia="Arial" w:hAnsi="Arial"/>
                <w:sz w:val="14"/>
                <w:szCs w:val="14"/>
                <w:color w:val="auto"/>
                <w:w w:val="89"/>
              </w:rPr>
              <w:t>10</w:t>
            </w: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80" w:type="dxa"/>
            <w:vAlign w:val="bottom"/>
            <w:vMerge w:val="restart"/>
          </w:tcPr>
          <w:p>
            <w:pPr>
              <w:jc w:val="right"/>
              <w:ind w:right="103"/>
              <w:spacing w:after="0"/>
              <w:rPr>
                <w:sz w:val="20"/>
                <w:szCs w:val="20"/>
                <w:color w:val="auto"/>
              </w:rPr>
            </w:pPr>
            <w:r>
              <w:rPr>
                <w:rFonts w:ascii="Arial" w:cs="Arial" w:eastAsia="Arial" w:hAnsi="Arial"/>
                <w:sz w:val="18"/>
                <w:szCs w:val="18"/>
                <w:color w:val="FFFFFF"/>
              </w:rPr>
              <w:t>12.1</w:t>
            </w: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80" w:type="dxa"/>
            <w:vAlign w:val="bottom"/>
            <w:vMerge w:val="continue"/>
          </w:tcPr>
          <w:p>
            <w:pPr>
              <w:spacing w:after="0"/>
              <w:rPr>
                <w:sz w:val="12"/>
                <w:szCs w:val="12"/>
                <w:color w:val="auto"/>
              </w:rPr>
            </w:pPr>
          </w:p>
        </w:tc>
        <w:tc>
          <w:tcPr>
            <w:tcW w:w="760" w:type="dxa"/>
            <w:vAlign w:val="bottom"/>
            <w:vMerge w:val="restart"/>
          </w:tcPr>
          <w:p>
            <w:pPr>
              <w:jc w:val="right"/>
              <w:ind w:right="183"/>
              <w:spacing w:after="0"/>
              <w:rPr>
                <w:sz w:val="20"/>
                <w:szCs w:val="20"/>
                <w:color w:val="auto"/>
              </w:rPr>
            </w:pPr>
            <w:r>
              <w:rPr>
                <w:rFonts w:ascii="Arial" w:cs="Arial" w:eastAsia="Arial" w:hAnsi="Arial"/>
                <w:sz w:val="18"/>
                <w:szCs w:val="18"/>
                <w:color w:val="FFFFFF"/>
              </w:rPr>
              <w:t>10.8</w:t>
            </w:r>
          </w:p>
        </w:tc>
        <w:tc>
          <w:tcPr>
            <w:tcW w:w="740" w:type="dxa"/>
            <w:vAlign w:val="bottom"/>
            <w:vMerge w:val="restart"/>
          </w:tcPr>
          <w:p>
            <w:pPr>
              <w:jc w:val="right"/>
              <w:ind w:right="103"/>
              <w:spacing w:after="0"/>
              <w:rPr>
                <w:sz w:val="20"/>
                <w:szCs w:val="20"/>
                <w:color w:val="auto"/>
              </w:rPr>
            </w:pPr>
            <w:r>
              <w:rPr>
                <w:rFonts w:ascii="Arial" w:cs="Arial" w:eastAsia="Arial" w:hAnsi="Arial"/>
                <w:sz w:val="18"/>
                <w:szCs w:val="18"/>
                <w:color w:val="FFFFFF"/>
              </w:rPr>
              <w:t>10.5</w:t>
            </w:r>
          </w:p>
        </w:tc>
        <w:tc>
          <w:tcPr>
            <w:tcW w:w="720" w:type="dxa"/>
            <w:vAlign w:val="bottom"/>
            <w:vMerge w:val="restart"/>
          </w:tcPr>
          <w:p>
            <w:pPr>
              <w:ind w:left="180"/>
              <w:spacing w:after="0"/>
              <w:rPr>
                <w:sz w:val="20"/>
                <w:szCs w:val="20"/>
                <w:color w:val="auto"/>
              </w:rPr>
            </w:pPr>
            <w:r>
              <w:rPr>
                <w:rFonts w:ascii="Arial" w:cs="Arial" w:eastAsia="Arial" w:hAnsi="Arial"/>
                <w:sz w:val="18"/>
                <w:szCs w:val="18"/>
                <w:color w:val="FFFFFF"/>
              </w:rPr>
              <w:t>10.5</w:t>
            </w: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FFFFFF"/>
        </w:rPr>
        <w:t>16.0</w:t>
      </w:r>
    </w:p>
    <w:p>
      <w:pPr>
        <w:spacing w:after="0" w:line="20" w:lineRule="exact"/>
        <w:rPr>
          <w:sz w:val="20"/>
          <w:szCs w:val="20"/>
          <w:color w:val="auto"/>
        </w:rPr>
      </w:pPr>
      <w:r>
        <w:rPr>
          <w:sz w:val="20"/>
          <w:szCs w:val="20"/>
          <w:color w:val="auto"/>
        </w:rPr>
        <w:br w:type="column"/>
      </w:r>
    </w:p>
    <w:p>
      <w:pPr>
        <w:jc w:val="right"/>
        <w:ind w:right="500"/>
        <w:spacing w:after="0"/>
        <w:rPr>
          <w:sz w:val="20"/>
          <w:szCs w:val="20"/>
          <w:color w:val="auto"/>
        </w:rPr>
      </w:pPr>
      <w:r>
        <w:rPr>
          <w:rFonts w:ascii="Arial" w:cs="Arial" w:eastAsia="Arial" w:hAnsi="Arial"/>
          <w:sz w:val="14"/>
          <w:szCs w:val="14"/>
          <w:color w:val="auto"/>
        </w:rPr>
        <w:t>20.0%</w:t>
      </w:r>
    </w:p>
    <w:p>
      <w:pPr>
        <w:spacing w:after="0" w:line="207" w:lineRule="exact"/>
        <w:rPr>
          <w:sz w:val="20"/>
          <w:szCs w:val="20"/>
          <w:color w:val="auto"/>
        </w:rPr>
      </w:pPr>
    </w:p>
    <w:p>
      <w:pPr>
        <w:jc w:val="right"/>
        <w:ind w:right="500"/>
        <w:spacing w:after="0"/>
        <w:rPr>
          <w:sz w:val="20"/>
          <w:szCs w:val="20"/>
          <w:color w:val="auto"/>
        </w:rPr>
      </w:pPr>
      <w:r>
        <w:rPr>
          <w:rFonts w:ascii="Arial" w:cs="Arial" w:eastAsia="Arial" w:hAnsi="Arial"/>
          <w:sz w:val="14"/>
          <w:szCs w:val="14"/>
          <w:color w:val="auto"/>
        </w:rPr>
        <w:t>5.0%</w:t>
      </w:r>
    </w:p>
    <w:p>
      <w:pPr>
        <w:spacing w:after="0" w:line="195" w:lineRule="exact"/>
        <w:rPr>
          <w:sz w:val="20"/>
          <w:szCs w:val="20"/>
          <w:color w:val="auto"/>
        </w:rPr>
      </w:pPr>
    </w:p>
    <w:p>
      <w:pPr>
        <w:sectPr>
          <w:pgSz w:w="11900" w:h="16838" w:orient="portrait"/>
          <w:cols w:equalWidth="0" w:num="3">
            <w:col w:w="7100" w:space="720"/>
            <w:col w:w="360" w:space="600"/>
            <w:col w:w="900"/>
          </w:cols>
          <w:pgMar w:left="1260" w:top="446" w:right="959" w:bottom="1440" w:gutter="0" w:footer="0" w:header="0"/>
          <w:type w:val="continuous"/>
        </w:sectPr>
      </w:pPr>
    </w:p>
    <w:p>
      <w:pPr>
        <w:spacing w:after="0" w:line="80" w:lineRule="exact"/>
        <w:rPr>
          <w:sz w:val="20"/>
          <w:szCs w:val="20"/>
          <w:color w:val="auto"/>
        </w:rPr>
      </w:pPr>
    </w:p>
    <w:tbl>
      <w:tblPr>
        <w:tblLayout w:type="fixed"/>
        <w:tblInd w:w="540" w:type="dxa"/>
        <w:tblCellMar>
          <w:top w:w="0" w:type="dxa"/>
          <w:left w:w="0" w:type="dxa"/>
          <w:bottom w:w="0" w:type="dxa"/>
          <w:right w:w="0" w:type="dxa"/>
        </w:tblCellMar>
      </w:tblPr>
      <w:tr>
        <w:trPr>
          <w:trHeight w:val="165"/>
        </w:trPr>
        <w:tc>
          <w:tcPr>
            <w:tcW w:w="920" w:type="dxa"/>
            <w:vAlign w:val="bottom"/>
          </w:tcPr>
          <w:p>
            <w:pPr>
              <w:jc w:val="right"/>
              <w:ind w:right="774"/>
              <w:spacing w:after="0"/>
              <w:rPr>
                <w:sz w:val="20"/>
                <w:szCs w:val="20"/>
                <w:color w:val="auto"/>
              </w:rPr>
            </w:pPr>
            <w:r>
              <w:rPr>
                <w:rFonts w:ascii="Arial" w:cs="Arial" w:eastAsia="Arial" w:hAnsi="Arial"/>
                <w:sz w:val="14"/>
                <w:szCs w:val="14"/>
                <w:color w:val="auto"/>
                <w:w w:val="76"/>
              </w:rPr>
              <w:t>5</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3"/>
        </w:trPr>
        <w:tc>
          <w:tcPr>
            <w:tcW w:w="920" w:type="dxa"/>
            <w:vAlign w:val="bottom"/>
          </w:tcPr>
          <w:p>
            <w:pPr>
              <w:jc w:val="right"/>
              <w:ind w:right="774"/>
              <w:spacing w:after="0"/>
              <w:rPr>
                <w:sz w:val="20"/>
                <w:szCs w:val="20"/>
                <w:color w:val="auto"/>
              </w:rPr>
            </w:pPr>
            <w:r>
              <w:rPr>
                <w:rFonts w:ascii="Arial" w:cs="Arial" w:eastAsia="Arial" w:hAnsi="Arial"/>
                <w:sz w:val="14"/>
                <w:szCs w:val="14"/>
                <w:color w:val="auto"/>
                <w:w w:val="76"/>
              </w:rPr>
              <w:t>0</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47"/>
        </w:trPr>
        <w:tc>
          <w:tcPr>
            <w:tcW w:w="920" w:type="dxa"/>
            <w:vAlign w:val="bottom"/>
          </w:tcPr>
          <w:p>
            <w:pPr>
              <w:jc w:val="right"/>
              <w:ind w:right="194"/>
              <w:spacing w:after="0"/>
              <w:rPr>
                <w:sz w:val="20"/>
                <w:szCs w:val="20"/>
                <w:color w:val="auto"/>
              </w:rPr>
            </w:pPr>
            <w:r>
              <w:rPr>
                <w:rFonts w:ascii="Arial" w:cs="Arial" w:eastAsia="Arial" w:hAnsi="Arial"/>
                <w:sz w:val="12"/>
                <w:szCs w:val="12"/>
                <w:color w:val="auto"/>
              </w:rPr>
              <w:t>2000</w:t>
            </w:r>
          </w:p>
        </w:tc>
        <w:tc>
          <w:tcPr>
            <w:tcW w:w="760" w:type="dxa"/>
            <w:vAlign w:val="bottom"/>
          </w:tcPr>
          <w:p>
            <w:pPr>
              <w:jc w:val="right"/>
              <w:ind w:right="199"/>
              <w:spacing w:after="0"/>
              <w:rPr>
                <w:sz w:val="20"/>
                <w:szCs w:val="20"/>
                <w:color w:val="auto"/>
              </w:rPr>
            </w:pPr>
            <w:r>
              <w:rPr>
                <w:rFonts w:ascii="Arial" w:cs="Arial" w:eastAsia="Arial" w:hAnsi="Arial"/>
                <w:sz w:val="12"/>
                <w:szCs w:val="12"/>
                <w:color w:val="auto"/>
              </w:rPr>
              <w:t>2001</w:t>
            </w:r>
          </w:p>
        </w:tc>
        <w:tc>
          <w:tcPr>
            <w:tcW w:w="760" w:type="dxa"/>
            <w:vAlign w:val="bottom"/>
          </w:tcPr>
          <w:p>
            <w:pPr>
              <w:jc w:val="right"/>
              <w:ind w:right="179"/>
              <w:spacing w:after="0"/>
              <w:rPr>
                <w:sz w:val="20"/>
                <w:szCs w:val="20"/>
                <w:color w:val="auto"/>
              </w:rPr>
            </w:pPr>
            <w:r>
              <w:rPr>
                <w:rFonts w:ascii="Arial" w:cs="Arial" w:eastAsia="Arial" w:hAnsi="Arial"/>
                <w:sz w:val="12"/>
                <w:szCs w:val="12"/>
                <w:color w:val="auto"/>
              </w:rPr>
              <w:t>2002</w:t>
            </w:r>
          </w:p>
        </w:tc>
        <w:tc>
          <w:tcPr>
            <w:tcW w:w="780" w:type="dxa"/>
            <w:vAlign w:val="bottom"/>
          </w:tcPr>
          <w:p>
            <w:pPr>
              <w:jc w:val="right"/>
              <w:ind w:right="199"/>
              <w:spacing w:after="0"/>
              <w:rPr>
                <w:sz w:val="20"/>
                <w:szCs w:val="20"/>
                <w:color w:val="auto"/>
              </w:rPr>
            </w:pPr>
            <w:r>
              <w:rPr>
                <w:rFonts w:ascii="Arial" w:cs="Arial" w:eastAsia="Arial" w:hAnsi="Arial"/>
                <w:sz w:val="12"/>
                <w:szCs w:val="12"/>
                <w:color w:val="auto"/>
              </w:rPr>
              <w:t>2003</w:t>
            </w:r>
          </w:p>
        </w:tc>
        <w:tc>
          <w:tcPr>
            <w:tcW w:w="760" w:type="dxa"/>
            <w:vAlign w:val="bottom"/>
          </w:tcPr>
          <w:p>
            <w:pPr>
              <w:jc w:val="right"/>
              <w:ind w:right="199"/>
              <w:spacing w:after="0"/>
              <w:rPr>
                <w:sz w:val="20"/>
                <w:szCs w:val="20"/>
                <w:color w:val="auto"/>
              </w:rPr>
            </w:pPr>
            <w:r>
              <w:rPr>
                <w:rFonts w:ascii="Arial" w:cs="Arial" w:eastAsia="Arial" w:hAnsi="Arial"/>
                <w:sz w:val="12"/>
                <w:szCs w:val="12"/>
                <w:color w:val="auto"/>
              </w:rPr>
              <w:t>2004</w:t>
            </w:r>
          </w:p>
        </w:tc>
        <w:tc>
          <w:tcPr>
            <w:tcW w:w="760" w:type="dxa"/>
            <w:vAlign w:val="bottom"/>
          </w:tcPr>
          <w:p>
            <w:pPr>
              <w:jc w:val="right"/>
              <w:ind w:right="179"/>
              <w:spacing w:after="0"/>
              <w:rPr>
                <w:sz w:val="20"/>
                <w:szCs w:val="20"/>
                <w:color w:val="auto"/>
              </w:rPr>
            </w:pPr>
            <w:r>
              <w:rPr>
                <w:rFonts w:ascii="Arial" w:cs="Arial" w:eastAsia="Arial" w:hAnsi="Arial"/>
                <w:sz w:val="12"/>
                <w:szCs w:val="12"/>
                <w:color w:val="auto"/>
              </w:rPr>
              <w:t>2005</w:t>
            </w:r>
          </w:p>
        </w:tc>
        <w:tc>
          <w:tcPr>
            <w:tcW w:w="760" w:type="dxa"/>
            <w:vAlign w:val="bottom"/>
          </w:tcPr>
          <w:p>
            <w:pPr>
              <w:jc w:val="right"/>
              <w:ind w:right="179"/>
              <w:spacing w:after="0"/>
              <w:rPr>
                <w:sz w:val="20"/>
                <w:szCs w:val="20"/>
                <w:color w:val="auto"/>
              </w:rPr>
            </w:pPr>
            <w:r>
              <w:rPr>
                <w:rFonts w:ascii="Arial" w:cs="Arial" w:eastAsia="Arial" w:hAnsi="Arial"/>
                <w:sz w:val="12"/>
                <w:szCs w:val="12"/>
                <w:color w:val="auto"/>
              </w:rPr>
              <w:t>2006</w:t>
            </w:r>
          </w:p>
        </w:tc>
        <w:tc>
          <w:tcPr>
            <w:tcW w:w="780" w:type="dxa"/>
            <w:vAlign w:val="bottom"/>
          </w:tcPr>
          <w:p>
            <w:pPr>
              <w:jc w:val="right"/>
              <w:ind w:right="199"/>
              <w:spacing w:after="0"/>
              <w:rPr>
                <w:sz w:val="20"/>
                <w:szCs w:val="20"/>
                <w:color w:val="auto"/>
              </w:rPr>
            </w:pPr>
            <w:r>
              <w:rPr>
                <w:rFonts w:ascii="Arial" w:cs="Arial" w:eastAsia="Arial" w:hAnsi="Arial"/>
                <w:sz w:val="12"/>
                <w:szCs w:val="12"/>
                <w:color w:val="auto"/>
              </w:rPr>
              <w:t>2007</w:t>
            </w:r>
          </w:p>
        </w:tc>
        <w:tc>
          <w:tcPr>
            <w:tcW w:w="520" w:type="dxa"/>
            <w:vAlign w:val="bottom"/>
          </w:tcPr>
          <w:p>
            <w:pPr>
              <w:jc w:val="right"/>
              <w:spacing w:after="0"/>
              <w:rPr>
                <w:sz w:val="20"/>
                <w:szCs w:val="20"/>
                <w:color w:val="auto"/>
              </w:rPr>
            </w:pPr>
            <w:r>
              <w:rPr>
                <w:rFonts w:ascii="Arial" w:cs="Arial" w:eastAsia="Arial" w:hAnsi="Arial"/>
                <w:sz w:val="12"/>
                <w:szCs w:val="12"/>
                <w:color w:val="auto"/>
              </w:rPr>
              <w:t>2008</w:t>
            </w:r>
          </w:p>
        </w:tc>
      </w:tr>
    </w:tbl>
    <w:p>
      <w:pPr>
        <w:spacing w:after="0" w:line="343" w:lineRule="exact"/>
        <w:rPr>
          <w:sz w:val="20"/>
          <w:szCs w:val="20"/>
          <w:color w:val="auto"/>
        </w:rPr>
      </w:pPr>
    </w:p>
    <w:tbl>
      <w:tblPr>
        <w:tblLayout w:type="fixed"/>
        <w:tblInd w:w="320" w:type="dxa"/>
        <w:tblCellMar>
          <w:top w:w="0" w:type="dxa"/>
          <w:left w:w="0" w:type="dxa"/>
          <w:bottom w:w="0" w:type="dxa"/>
          <w:right w:w="0" w:type="dxa"/>
        </w:tblCellMar>
      </w:tblPr>
      <w:tr>
        <w:trPr>
          <w:trHeight w:val="356"/>
        </w:trPr>
        <w:tc>
          <w:tcPr>
            <w:tcW w:w="1160" w:type="dxa"/>
            <w:vAlign w:val="bottom"/>
            <w:gridSpan w:val="2"/>
            <w:vMerge w:val="restart"/>
          </w:tcPr>
          <w:p>
            <w:pPr>
              <w:jc w:val="right"/>
              <w:ind w:right="491"/>
              <w:spacing w:after="0"/>
              <w:rPr>
                <w:sz w:val="20"/>
                <w:szCs w:val="20"/>
                <w:color w:val="auto"/>
              </w:rPr>
            </w:pPr>
            <w:r>
              <w:rPr>
                <w:rFonts w:ascii="Arial" w:cs="Arial" w:eastAsia="Arial" w:hAnsi="Arial"/>
                <w:sz w:val="12"/>
                <w:szCs w:val="12"/>
                <w:b w:val="1"/>
                <w:bCs w:val="1"/>
                <w:color w:val="auto"/>
              </w:rPr>
              <w:t>Dollars in</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80" w:type="dxa"/>
            <w:vAlign w:val="bottom"/>
            <w:gridSpan w:val="3"/>
          </w:tcPr>
          <w:p>
            <w:pPr>
              <w:ind w:left="180"/>
              <w:spacing w:after="0"/>
              <w:rPr>
                <w:sz w:val="20"/>
                <w:szCs w:val="20"/>
                <w:color w:val="auto"/>
              </w:rPr>
            </w:pPr>
            <w:r>
              <w:rPr>
                <w:rFonts w:ascii="Arial" w:cs="Arial" w:eastAsia="Arial" w:hAnsi="Arial"/>
                <w:sz w:val="31"/>
                <w:szCs w:val="31"/>
                <w:color w:val="7EA190"/>
              </w:rPr>
              <w:t>Operating Profit</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16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500" w:type="dxa"/>
            <w:vAlign w:val="bottom"/>
          </w:tcPr>
          <w:p>
            <w:pPr>
              <w:jc w:val="right"/>
              <w:spacing w:after="0"/>
              <w:rPr>
                <w:sz w:val="20"/>
                <w:szCs w:val="20"/>
                <w:color w:val="auto"/>
              </w:rPr>
            </w:pPr>
            <w:r>
              <w:rPr>
                <w:rFonts w:ascii="Arial" w:cs="Arial" w:eastAsia="Arial" w:hAnsi="Arial"/>
                <w:sz w:val="12"/>
                <w:szCs w:val="12"/>
                <w:b w:val="1"/>
                <w:bCs w:val="1"/>
                <w:color w:val="auto"/>
                <w:w w:val="98"/>
              </w:rPr>
              <w:t>Millions</w:t>
            </w: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500" w:type="dxa"/>
            <w:vAlign w:val="bottom"/>
          </w:tcPr>
          <w:p>
            <w:pPr>
              <w:jc w:val="right"/>
              <w:ind w:right="134"/>
              <w:spacing w:after="0"/>
              <w:rPr>
                <w:sz w:val="20"/>
                <w:szCs w:val="20"/>
                <w:color w:val="auto"/>
              </w:rPr>
            </w:pPr>
            <w:r>
              <w:rPr>
                <w:rFonts w:ascii="Arial" w:cs="Arial" w:eastAsia="Arial" w:hAnsi="Arial"/>
                <w:sz w:val="14"/>
                <w:szCs w:val="14"/>
                <w:color w:val="auto"/>
              </w:rPr>
              <w:t>750</w:t>
            </w: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vMerge w:val="restart"/>
          </w:tcPr>
          <w:p>
            <w:pPr>
              <w:jc w:val="right"/>
              <w:ind w:right="111"/>
              <w:spacing w:after="0"/>
              <w:rPr>
                <w:sz w:val="20"/>
                <w:szCs w:val="20"/>
                <w:color w:val="auto"/>
              </w:rPr>
            </w:pPr>
            <w:r>
              <w:rPr>
                <w:rFonts w:ascii="Arial" w:cs="Arial" w:eastAsia="Arial" w:hAnsi="Arial"/>
                <w:sz w:val="12"/>
                <w:szCs w:val="12"/>
                <w:color w:val="auto"/>
              </w:rPr>
              <w:t>+17.6%</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500" w:type="dxa"/>
            <w:vAlign w:val="bottom"/>
          </w:tcPr>
          <w:p>
            <w:pPr>
              <w:spacing w:after="0"/>
              <w:rPr>
                <w:sz w:val="3"/>
                <w:szCs w:val="3"/>
                <w:color w:val="auto"/>
              </w:rPr>
            </w:pPr>
          </w:p>
        </w:tc>
        <w:tc>
          <w:tcPr>
            <w:tcW w:w="29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D47C18"/>
              </w:rPr>
              <w:t>% = Variance in constant currency</w:t>
            </w: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-12.9%</w:t>
            </w:r>
          </w:p>
        </w:tc>
        <w:tc>
          <w:tcPr>
            <w:tcW w:w="0" w:type="dxa"/>
            <w:vAlign w:val="bottom"/>
          </w:tcPr>
          <w:p>
            <w:pPr>
              <w:spacing w:after="0" w:line="20" w:lineRule="exact"/>
              <w:rPr>
                <w:sz w:val="1"/>
                <w:szCs w:val="1"/>
                <w:color w:val="auto"/>
              </w:rPr>
            </w:pPr>
          </w:p>
        </w:tc>
      </w:tr>
      <w:tr>
        <w:trPr>
          <w:trHeight w:val="145"/>
        </w:trPr>
        <w:tc>
          <w:tcPr>
            <w:tcW w:w="500" w:type="dxa"/>
            <w:vAlign w:val="bottom"/>
            <w:vMerge w:val="restart"/>
          </w:tcPr>
          <w:p>
            <w:pPr>
              <w:jc w:val="right"/>
              <w:ind w:right="134"/>
              <w:spacing w:after="0"/>
              <w:rPr>
                <w:sz w:val="20"/>
                <w:szCs w:val="20"/>
                <w:color w:val="auto"/>
              </w:rPr>
            </w:pPr>
            <w:r>
              <w:rPr>
                <w:rFonts w:ascii="Arial" w:cs="Arial" w:eastAsia="Arial" w:hAnsi="Arial"/>
                <w:sz w:val="14"/>
                <w:szCs w:val="14"/>
                <w:color w:val="auto"/>
              </w:rPr>
              <w:t>600</w:t>
            </w:r>
          </w:p>
        </w:tc>
        <w:tc>
          <w:tcPr>
            <w:tcW w:w="2980" w:type="dxa"/>
            <w:vAlign w:val="bottom"/>
            <w:gridSpan w:val="4"/>
            <w:vMerge w:val="continue"/>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right"/>
              <w:ind w:right="71"/>
              <w:spacing w:after="0"/>
              <w:rPr>
                <w:sz w:val="20"/>
                <w:szCs w:val="20"/>
                <w:color w:val="auto"/>
              </w:rPr>
            </w:pPr>
            <w:r>
              <w:rPr>
                <w:rFonts w:ascii="Arial" w:cs="Arial" w:eastAsia="Arial" w:hAnsi="Arial"/>
                <w:sz w:val="18"/>
                <w:szCs w:val="18"/>
                <w:color w:val="FFFFFF"/>
              </w:rPr>
              <w:t>680.6</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vMerge w:val="restart"/>
          </w:tcPr>
          <w:p>
            <w:pPr>
              <w:ind w:left="100"/>
              <w:spacing w:after="0"/>
              <w:rPr>
                <w:sz w:val="20"/>
                <w:szCs w:val="20"/>
                <w:color w:val="auto"/>
              </w:rPr>
            </w:pPr>
            <w:r>
              <w:rPr>
                <w:rFonts w:ascii="Arial" w:cs="Arial" w:eastAsia="Arial" w:hAnsi="Arial"/>
                <w:sz w:val="12"/>
                <w:szCs w:val="12"/>
                <w:color w:val="auto"/>
              </w:rPr>
              <w:t>+21.9%</w:t>
            </w:r>
          </w:p>
        </w:tc>
        <w:tc>
          <w:tcPr>
            <w:tcW w:w="760" w:type="dxa"/>
            <w:vAlign w:val="bottom"/>
            <w:vMerge w:val="continue"/>
          </w:tcPr>
          <w:p>
            <w:pPr>
              <w:spacing w:after="0"/>
              <w:rPr>
                <w:sz w:val="11"/>
                <w:szCs w:val="11"/>
                <w:color w:val="auto"/>
              </w:rPr>
            </w:pPr>
          </w:p>
        </w:tc>
        <w:tc>
          <w:tcPr>
            <w:tcW w:w="600" w:type="dxa"/>
            <w:vAlign w:val="bottom"/>
            <w:vMerge w:val="restart"/>
          </w:tcPr>
          <w:p>
            <w:pPr>
              <w:ind w:left="140"/>
              <w:spacing w:after="0"/>
              <w:rPr>
                <w:sz w:val="20"/>
                <w:szCs w:val="20"/>
                <w:color w:val="auto"/>
              </w:rPr>
            </w:pPr>
            <w:r>
              <w:rPr>
                <w:rFonts w:ascii="Arial" w:cs="Arial" w:eastAsia="Arial" w:hAnsi="Arial"/>
                <w:sz w:val="18"/>
                <w:szCs w:val="18"/>
                <w:color w:val="FFFFFF"/>
                <w:w w:val="97"/>
              </w:rPr>
              <w:t>631.4</w:t>
            </w:r>
          </w:p>
        </w:tc>
        <w:tc>
          <w:tcPr>
            <w:tcW w:w="0" w:type="dxa"/>
            <w:vAlign w:val="bottom"/>
          </w:tcPr>
          <w:p>
            <w:pPr>
              <w:spacing w:after="0"/>
              <w:rPr>
                <w:sz w:val="1"/>
                <w:szCs w:val="1"/>
                <w:color w:val="auto"/>
              </w:rPr>
            </w:pPr>
          </w:p>
        </w:tc>
      </w:tr>
      <w:tr>
        <w:trPr>
          <w:trHeight w:val="92"/>
        </w:trPr>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500" w:type="dxa"/>
            <w:vAlign w:val="bottom"/>
          </w:tcPr>
          <w:p>
            <w:pPr>
              <w:jc w:val="right"/>
              <w:ind w:right="134"/>
              <w:spacing w:after="0"/>
              <w:rPr>
                <w:sz w:val="20"/>
                <w:szCs w:val="20"/>
                <w:color w:val="auto"/>
              </w:rPr>
            </w:pPr>
            <w:r>
              <w:rPr>
                <w:rFonts w:ascii="Arial" w:cs="Arial" w:eastAsia="Arial" w:hAnsi="Arial"/>
                <w:sz w:val="14"/>
                <w:szCs w:val="14"/>
                <w:color w:val="auto"/>
              </w:rPr>
              <w:t>450</w:t>
            </w: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vMerge w:val="restart"/>
          </w:tcPr>
          <w:p>
            <w:pPr>
              <w:jc w:val="right"/>
              <w:ind w:right="71"/>
              <w:spacing w:after="0"/>
              <w:rPr>
                <w:sz w:val="20"/>
                <w:szCs w:val="20"/>
                <w:color w:val="auto"/>
              </w:rPr>
            </w:pPr>
            <w:r>
              <w:rPr>
                <w:rFonts w:ascii="Arial" w:cs="Arial" w:eastAsia="Arial" w:hAnsi="Arial"/>
                <w:sz w:val="12"/>
                <w:szCs w:val="12"/>
                <w:color w:val="auto"/>
              </w:rPr>
              <w:t>+43.1%</w:t>
            </w:r>
          </w:p>
        </w:tc>
        <w:tc>
          <w:tcPr>
            <w:tcW w:w="840" w:type="dxa"/>
            <w:vAlign w:val="bottom"/>
          </w:tcPr>
          <w:p>
            <w:pPr>
              <w:ind w:left="200"/>
              <w:spacing w:after="0"/>
              <w:rPr>
                <w:sz w:val="20"/>
                <w:szCs w:val="20"/>
                <w:color w:val="auto"/>
              </w:rPr>
            </w:pPr>
            <w:r>
              <w:rPr>
                <w:rFonts w:ascii="Arial" w:cs="Arial" w:eastAsia="Arial" w:hAnsi="Arial"/>
                <w:sz w:val="12"/>
                <w:szCs w:val="12"/>
                <w:color w:val="auto"/>
              </w:rPr>
              <w:t>+8.4%</w:t>
            </w:r>
          </w:p>
        </w:tc>
        <w:tc>
          <w:tcPr>
            <w:tcW w:w="700" w:type="dxa"/>
            <w:vAlign w:val="bottom"/>
          </w:tcPr>
          <w:p>
            <w:pPr>
              <w:ind w:left="100"/>
              <w:spacing w:after="0"/>
              <w:rPr>
                <w:sz w:val="20"/>
                <w:szCs w:val="20"/>
                <w:color w:val="auto"/>
              </w:rPr>
            </w:pPr>
            <w:r>
              <w:rPr>
                <w:rFonts w:ascii="Arial" w:cs="Arial" w:eastAsia="Arial" w:hAnsi="Arial"/>
                <w:sz w:val="18"/>
                <w:szCs w:val="18"/>
                <w:color w:val="FFFFFF"/>
              </w:rPr>
              <w:t>532.1</w:t>
            </w: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40" w:type="dxa"/>
            <w:vAlign w:val="bottom"/>
            <w:vMerge w:val="restart"/>
          </w:tcPr>
          <w:p>
            <w:pPr>
              <w:jc w:val="right"/>
              <w:ind w:right="151"/>
              <w:spacing w:after="0"/>
              <w:rPr>
                <w:sz w:val="20"/>
                <w:szCs w:val="20"/>
                <w:color w:val="auto"/>
              </w:rPr>
            </w:pPr>
            <w:r>
              <w:rPr>
                <w:rFonts w:ascii="Arial" w:cs="Arial" w:eastAsia="Arial" w:hAnsi="Arial"/>
                <w:sz w:val="18"/>
                <w:szCs w:val="18"/>
                <w:color w:val="FFFFFF"/>
              </w:rPr>
              <w:t>428.8</w:t>
            </w: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0" w:type="dxa"/>
            <w:vAlign w:val="bottom"/>
            <w:vMerge w:val="restart"/>
          </w:tcPr>
          <w:p>
            <w:pPr>
              <w:jc w:val="right"/>
              <w:ind w:right="134"/>
              <w:spacing w:after="0"/>
              <w:rPr>
                <w:sz w:val="20"/>
                <w:szCs w:val="20"/>
                <w:color w:val="auto"/>
              </w:rPr>
            </w:pPr>
            <w:r>
              <w:rPr>
                <w:rFonts w:ascii="Arial" w:cs="Arial" w:eastAsia="Arial" w:hAnsi="Arial"/>
                <w:sz w:val="14"/>
                <w:szCs w:val="14"/>
                <w:color w:val="auto"/>
              </w:rPr>
              <w:t>300</w:t>
            </w:r>
          </w:p>
        </w:tc>
        <w:tc>
          <w:tcPr>
            <w:tcW w:w="660" w:type="dxa"/>
            <w:vAlign w:val="bottom"/>
          </w:tcPr>
          <w:p>
            <w:pPr>
              <w:jc w:val="right"/>
              <w:ind w:right="91"/>
              <w:spacing w:after="0"/>
              <w:rPr>
                <w:sz w:val="20"/>
                <w:szCs w:val="20"/>
                <w:color w:val="auto"/>
              </w:rPr>
            </w:pPr>
            <w:r>
              <w:rPr>
                <w:rFonts w:ascii="Arial" w:cs="Arial" w:eastAsia="Arial" w:hAnsi="Arial"/>
                <w:sz w:val="12"/>
                <w:szCs w:val="12"/>
                <w:color w:val="auto"/>
              </w:rPr>
              <w:t>+47.5%</w:t>
            </w:r>
          </w:p>
        </w:tc>
        <w:tc>
          <w:tcPr>
            <w:tcW w:w="780" w:type="dxa"/>
            <w:vAlign w:val="bottom"/>
            <w:vMerge w:val="restart"/>
          </w:tcPr>
          <w:p>
            <w:pPr>
              <w:jc w:val="right"/>
              <w:ind w:right="111"/>
              <w:spacing w:after="0"/>
              <w:rPr>
                <w:sz w:val="20"/>
                <w:szCs w:val="20"/>
                <w:color w:val="auto"/>
              </w:rPr>
            </w:pPr>
            <w:r>
              <w:rPr>
                <w:rFonts w:ascii="Arial" w:cs="Arial" w:eastAsia="Arial" w:hAnsi="Arial"/>
                <w:sz w:val="12"/>
                <w:szCs w:val="12"/>
                <w:color w:val="auto"/>
              </w:rPr>
              <w:t>-21.6%</w:t>
            </w:r>
          </w:p>
        </w:tc>
        <w:tc>
          <w:tcPr>
            <w:tcW w:w="760" w:type="dxa"/>
            <w:vAlign w:val="bottom"/>
            <w:vMerge w:val="restart"/>
          </w:tcPr>
          <w:p>
            <w:pPr>
              <w:jc w:val="right"/>
              <w:ind w:right="151"/>
              <w:spacing w:after="0"/>
              <w:rPr>
                <w:sz w:val="20"/>
                <w:szCs w:val="20"/>
                <w:color w:val="auto"/>
              </w:rPr>
            </w:pPr>
            <w:r>
              <w:rPr>
                <w:rFonts w:ascii="Arial" w:cs="Arial" w:eastAsia="Arial" w:hAnsi="Arial"/>
                <w:sz w:val="12"/>
                <w:szCs w:val="12"/>
                <w:color w:val="auto"/>
              </w:rPr>
              <w:t>-7.9%</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+1.5%</w:t>
            </w:r>
          </w:p>
        </w:tc>
        <w:tc>
          <w:tcPr>
            <w:tcW w:w="760" w:type="dxa"/>
            <w:vAlign w:val="bottom"/>
          </w:tcPr>
          <w:p>
            <w:pPr>
              <w:jc w:val="right"/>
              <w:ind w:right="71"/>
              <w:spacing w:after="0"/>
              <w:rPr>
                <w:sz w:val="20"/>
                <w:szCs w:val="20"/>
                <w:color w:val="auto"/>
              </w:rPr>
            </w:pPr>
            <w:r>
              <w:rPr>
                <w:rFonts w:ascii="Arial" w:cs="Arial" w:eastAsia="Arial" w:hAnsi="Arial"/>
                <w:sz w:val="18"/>
                <w:szCs w:val="18"/>
                <w:color w:val="FFFFFF"/>
              </w:rPr>
              <w:t>397.8</w:t>
            </w:r>
          </w:p>
        </w:tc>
        <w:tc>
          <w:tcPr>
            <w:tcW w:w="84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500" w:type="dxa"/>
            <w:vAlign w:val="bottom"/>
            <w:vMerge w:val="continue"/>
          </w:tcPr>
          <w:p>
            <w:pPr>
              <w:spacing w:after="0"/>
              <w:rPr>
                <w:sz w:val="10"/>
                <w:szCs w:val="10"/>
                <w:color w:val="auto"/>
              </w:rPr>
            </w:pPr>
          </w:p>
        </w:tc>
        <w:tc>
          <w:tcPr>
            <w:tcW w:w="660" w:type="dxa"/>
            <w:vAlign w:val="bottom"/>
            <w:vMerge w:val="restart"/>
          </w:tcPr>
          <w:p>
            <w:pPr>
              <w:jc w:val="right"/>
              <w:ind w:right="91"/>
              <w:spacing w:after="0"/>
              <w:rPr>
                <w:sz w:val="20"/>
                <w:szCs w:val="20"/>
                <w:color w:val="auto"/>
              </w:rPr>
            </w:pPr>
            <w:r>
              <w:rPr>
                <w:rFonts w:ascii="Arial" w:cs="Arial" w:eastAsia="Arial" w:hAnsi="Arial"/>
                <w:sz w:val="18"/>
                <w:szCs w:val="18"/>
                <w:color w:val="FFFFFF"/>
              </w:rPr>
              <w:t>311.0</w:t>
            </w: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500" w:type="dxa"/>
            <w:vAlign w:val="bottom"/>
            <w:vMerge w:val="restart"/>
          </w:tcPr>
          <w:p>
            <w:pPr>
              <w:jc w:val="right"/>
              <w:ind w:right="134"/>
              <w:spacing w:after="0"/>
              <w:rPr>
                <w:sz w:val="20"/>
                <w:szCs w:val="20"/>
                <w:color w:val="auto"/>
              </w:rPr>
            </w:pPr>
            <w:r>
              <w:rPr>
                <w:rFonts w:ascii="Arial" w:cs="Arial" w:eastAsia="Arial" w:hAnsi="Arial"/>
                <w:sz w:val="14"/>
                <w:szCs w:val="14"/>
                <w:color w:val="auto"/>
              </w:rPr>
              <w:t>150</w:t>
            </w:r>
          </w:p>
        </w:tc>
        <w:tc>
          <w:tcPr>
            <w:tcW w:w="660" w:type="dxa"/>
            <w:vAlign w:val="bottom"/>
            <w:vMerge w:val="continue"/>
          </w:tcPr>
          <w:p>
            <w:pPr>
              <w:spacing w:after="0"/>
              <w:rPr>
                <w:sz w:val="16"/>
                <w:szCs w:val="16"/>
                <w:color w:val="auto"/>
              </w:rPr>
            </w:pPr>
          </w:p>
        </w:tc>
        <w:tc>
          <w:tcPr>
            <w:tcW w:w="780" w:type="dxa"/>
            <w:vAlign w:val="bottom"/>
            <w:vMerge w:val="restart"/>
          </w:tcPr>
          <w:p>
            <w:pPr>
              <w:jc w:val="right"/>
              <w:ind w:right="91"/>
              <w:spacing w:after="0"/>
              <w:rPr>
                <w:sz w:val="20"/>
                <w:szCs w:val="20"/>
                <w:color w:val="auto"/>
              </w:rPr>
            </w:pPr>
            <w:r>
              <w:rPr>
                <w:rFonts w:ascii="Arial" w:cs="Arial" w:eastAsia="Arial" w:hAnsi="Arial"/>
                <w:sz w:val="18"/>
                <w:szCs w:val="18"/>
                <w:color w:val="FFFFFF"/>
              </w:rPr>
              <w:t>237.6</w:t>
            </w:r>
          </w:p>
        </w:tc>
        <w:tc>
          <w:tcPr>
            <w:tcW w:w="760" w:type="dxa"/>
            <w:vAlign w:val="bottom"/>
            <w:vMerge w:val="restart"/>
          </w:tcPr>
          <w:p>
            <w:pPr>
              <w:jc w:val="right"/>
              <w:ind w:right="71"/>
              <w:spacing w:after="0"/>
              <w:rPr>
                <w:sz w:val="20"/>
                <w:szCs w:val="20"/>
                <w:color w:val="auto"/>
              </w:rPr>
            </w:pPr>
            <w:r>
              <w:rPr>
                <w:rFonts w:ascii="Arial" w:cs="Arial" w:eastAsia="Arial" w:hAnsi="Arial"/>
                <w:sz w:val="18"/>
                <w:szCs w:val="18"/>
                <w:color w:val="FFFFFF"/>
              </w:rPr>
              <w:t>233.1</w:t>
            </w:r>
          </w:p>
        </w:tc>
        <w:tc>
          <w:tcPr>
            <w:tcW w:w="780" w:type="dxa"/>
            <w:vAlign w:val="bottom"/>
            <w:vMerge w:val="restart"/>
          </w:tcPr>
          <w:p>
            <w:pPr>
              <w:ind w:left="160"/>
              <w:spacing w:after="0"/>
              <w:rPr>
                <w:sz w:val="20"/>
                <w:szCs w:val="20"/>
                <w:color w:val="auto"/>
              </w:rPr>
            </w:pPr>
            <w:r>
              <w:rPr>
                <w:rFonts w:ascii="Arial" w:cs="Arial" w:eastAsia="Arial" w:hAnsi="Arial"/>
                <w:sz w:val="18"/>
                <w:szCs w:val="18"/>
                <w:color w:val="FFFFFF"/>
              </w:rPr>
              <w:t>259.1</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8"/>
        </w:trPr>
        <w:tc>
          <w:tcPr>
            <w:tcW w:w="500" w:type="dxa"/>
            <w:vAlign w:val="bottom"/>
          </w:tcPr>
          <w:p>
            <w:pPr>
              <w:jc w:val="right"/>
              <w:ind w:right="134"/>
              <w:spacing w:after="0"/>
              <w:rPr>
                <w:sz w:val="20"/>
                <w:szCs w:val="20"/>
                <w:color w:val="auto"/>
              </w:rPr>
            </w:pPr>
            <w:r>
              <w:rPr>
                <w:rFonts w:ascii="Arial" w:cs="Arial" w:eastAsia="Arial" w:hAnsi="Arial"/>
                <w:sz w:val="14"/>
                <w:szCs w:val="14"/>
                <w:color w:val="auto"/>
              </w:rPr>
              <w:t>0</w:t>
            </w:r>
          </w:p>
        </w:tc>
        <w:tc>
          <w:tcPr>
            <w:tcW w:w="660" w:type="dxa"/>
            <w:vAlign w:val="bottom"/>
            <w:vMerge w:val="restart"/>
          </w:tcPr>
          <w:p>
            <w:pPr>
              <w:jc w:val="right"/>
              <w:ind w:right="211"/>
              <w:spacing w:after="0"/>
              <w:rPr>
                <w:sz w:val="20"/>
                <w:szCs w:val="20"/>
                <w:color w:val="auto"/>
              </w:rPr>
            </w:pPr>
            <w:r>
              <w:rPr>
                <w:rFonts w:ascii="Arial" w:cs="Arial" w:eastAsia="Arial" w:hAnsi="Arial"/>
                <w:sz w:val="12"/>
                <w:szCs w:val="12"/>
                <w:color w:val="auto"/>
              </w:rPr>
              <w:t>2000</w:t>
            </w:r>
          </w:p>
        </w:tc>
        <w:tc>
          <w:tcPr>
            <w:tcW w:w="780" w:type="dxa"/>
            <w:vAlign w:val="bottom"/>
            <w:vMerge w:val="restart"/>
          </w:tcPr>
          <w:p>
            <w:pPr>
              <w:jc w:val="right"/>
              <w:ind w:right="231"/>
              <w:spacing w:after="0"/>
              <w:rPr>
                <w:sz w:val="20"/>
                <w:szCs w:val="20"/>
                <w:color w:val="auto"/>
              </w:rPr>
            </w:pPr>
            <w:r>
              <w:rPr>
                <w:rFonts w:ascii="Arial" w:cs="Arial" w:eastAsia="Arial" w:hAnsi="Arial"/>
                <w:sz w:val="12"/>
                <w:szCs w:val="12"/>
                <w:color w:val="auto"/>
              </w:rPr>
              <w:t>2001</w:t>
            </w:r>
          </w:p>
        </w:tc>
        <w:tc>
          <w:tcPr>
            <w:tcW w:w="760" w:type="dxa"/>
            <w:vAlign w:val="bottom"/>
            <w:vMerge w:val="restart"/>
          </w:tcPr>
          <w:p>
            <w:pPr>
              <w:jc w:val="right"/>
              <w:ind w:right="211"/>
              <w:spacing w:after="0"/>
              <w:rPr>
                <w:sz w:val="20"/>
                <w:szCs w:val="20"/>
                <w:color w:val="auto"/>
              </w:rPr>
            </w:pPr>
            <w:r>
              <w:rPr>
                <w:rFonts w:ascii="Arial" w:cs="Arial" w:eastAsia="Arial" w:hAnsi="Arial"/>
                <w:sz w:val="12"/>
                <w:szCs w:val="12"/>
                <w:color w:val="auto"/>
              </w:rPr>
              <w:t>2002</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2003</w:t>
            </w:r>
          </w:p>
        </w:tc>
        <w:tc>
          <w:tcPr>
            <w:tcW w:w="760" w:type="dxa"/>
            <w:vAlign w:val="bottom"/>
            <w:vMerge w:val="restart"/>
          </w:tcPr>
          <w:p>
            <w:pPr>
              <w:jc w:val="right"/>
              <w:ind w:right="231"/>
              <w:spacing w:after="0"/>
              <w:rPr>
                <w:sz w:val="20"/>
                <w:szCs w:val="20"/>
                <w:color w:val="auto"/>
              </w:rPr>
            </w:pPr>
            <w:r>
              <w:rPr>
                <w:rFonts w:ascii="Arial" w:cs="Arial" w:eastAsia="Arial" w:hAnsi="Arial"/>
                <w:sz w:val="12"/>
                <w:szCs w:val="12"/>
                <w:color w:val="auto"/>
              </w:rPr>
              <w:t>2004</w:t>
            </w:r>
          </w:p>
        </w:tc>
        <w:tc>
          <w:tcPr>
            <w:tcW w:w="840" w:type="dxa"/>
            <w:vAlign w:val="bottom"/>
            <w:vMerge w:val="restart"/>
          </w:tcPr>
          <w:p>
            <w:pPr>
              <w:ind w:left="200"/>
              <w:spacing w:after="0"/>
              <w:rPr>
                <w:sz w:val="20"/>
                <w:szCs w:val="20"/>
                <w:color w:val="auto"/>
              </w:rPr>
            </w:pPr>
            <w:r>
              <w:rPr>
                <w:rFonts w:ascii="Arial" w:cs="Arial" w:eastAsia="Arial" w:hAnsi="Arial"/>
                <w:sz w:val="12"/>
                <w:szCs w:val="12"/>
                <w:color w:val="auto"/>
              </w:rPr>
              <w:t>2005</w:t>
            </w:r>
          </w:p>
        </w:tc>
        <w:tc>
          <w:tcPr>
            <w:tcW w:w="700" w:type="dxa"/>
            <w:vAlign w:val="bottom"/>
            <w:vMerge w:val="restart"/>
          </w:tcPr>
          <w:p>
            <w:pPr>
              <w:jc w:val="right"/>
              <w:ind w:right="231"/>
              <w:spacing w:after="0"/>
              <w:rPr>
                <w:sz w:val="20"/>
                <w:szCs w:val="20"/>
                <w:color w:val="auto"/>
              </w:rPr>
            </w:pPr>
            <w:r>
              <w:rPr>
                <w:rFonts w:ascii="Arial" w:cs="Arial" w:eastAsia="Arial" w:hAnsi="Arial"/>
                <w:sz w:val="12"/>
                <w:szCs w:val="12"/>
                <w:color w:val="auto"/>
              </w:rPr>
              <w:t>2006</w:t>
            </w:r>
          </w:p>
        </w:tc>
        <w:tc>
          <w:tcPr>
            <w:tcW w:w="760" w:type="dxa"/>
            <w:vAlign w:val="bottom"/>
            <w:vMerge w:val="restart"/>
          </w:tcPr>
          <w:p>
            <w:pPr>
              <w:jc w:val="right"/>
              <w:ind w:right="91"/>
              <w:spacing w:after="0"/>
              <w:rPr>
                <w:sz w:val="20"/>
                <w:szCs w:val="20"/>
                <w:color w:val="auto"/>
              </w:rPr>
            </w:pPr>
            <w:r>
              <w:rPr>
                <w:rFonts w:ascii="Arial" w:cs="Arial" w:eastAsia="Arial" w:hAnsi="Arial"/>
                <w:sz w:val="12"/>
                <w:szCs w:val="12"/>
                <w:color w:val="auto"/>
              </w:rPr>
              <w:t xml:space="preserve">2007 </w:t>
            </w:r>
            <w:r>
              <w:rPr>
                <w:rFonts w:ascii="Arial" w:cs="Arial" w:eastAsia="Arial" w:hAnsi="Arial"/>
                <w:sz w:val="9"/>
                <w:szCs w:val="9"/>
                <w:color w:val="auto"/>
              </w:rPr>
              <w:t>(1)</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 xml:space="preserve">2008 </w:t>
            </w: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6"/>
        </w:trPr>
        <w:tc>
          <w:tcPr>
            <w:tcW w:w="5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OP%</w:t>
            </w:r>
          </w:p>
        </w:tc>
        <w:tc>
          <w:tcPr>
            <w:tcW w:w="660" w:type="dxa"/>
            <w:vAlign w:val="bottom"/>
          </w:tcPr>
          <w:p>
            <w:pPr>
              <w:jc w:val="right"/>
              <w:ind w:right="191"/>
              <w:spacing w:after="0"/>
              <w:rPr>
                <w:sz w:val="20"/>
                <w:szCs w:val="20"/>
                <w:color w:val="auto"/>
              </w:rPr>
            </w:pPr>
            <w:r>
              <w:rPr>
                <w:rFonts w:ascii="Arial" w:cs="Arial" w:eastAsia="Arial" w:hAnsi="Arial"/>
                <w:sz w:val="12"/>
                <w:szCs w:val="12"/>
                <w:b w:val="1"/>
                <w:bCs w:val="1"/>
                <w:color w:val="auto"/>
              </w:rPr>
              <w:t>2.9%</w:t>
            </w:r>
          </w:p>
        </w:tc>
        <w:tc>
          <w:tcPr>
            <w:tcW w:w="780" w:type="dxa"/>
            <w:vAlign w:val="bottom"/>
          </w:tcPr>
          <w:p>
            <w:pPr>
              <w:jc w:val="right"/>
              <w:ind w:right="211"/>
              <w:spacing w:after="0"/>
              <w:rPr>
                <w:sz w:val="20"/>
                <w:szCs w:val="20"/>
                <w:color w:val="auto"/>
              </w:rPr>
            </w:pPr>
            <w:r>
              <w:rPr>
                <w:rFonts w:ascii="Arial" w:cs="Arial" w:eastAsia="Arial" w:hAnsi="Arial"/>
                <w:sz w:val="12"/>
                <w:szCs w:val="12"/>
                <w:b w:val="1"/>
                <w:bCs w:val="1"/>
                <w:color w:val="auto"/>
              </w:rPr>
              <w:t>2.3%</w:t>
            </w:r>
          </w:p>
        </w:tc>
        <w:tc>
          <w:tcPr>
            <w:tcW w:w="760" w:type="dxa"/>
            <w:vAlign w:val="bottom"/>
          </w:tcPr>
          <w:p>
            <w:pPr>
              <w:jc w:val="right"/>
              <w:ind w:right="231"/>
              <w:spacing w:after="0"/>
              <w:rPr>
                <w:sz w:val="20"/>
                <w:szCs w:val="20"/>
                <w:color w:val="auto"/>
              </w:rPr>
            </w:pPr>
            <w:r>
              <w:rPr>
                <w:rFonts w:ascii="Arial" w:cs="Arial" w:eastAsia="Arial" w:hAnsi="Arial"/>
                <w:sz w:val="12"/>
                <w:szCs w:val="12"/>
                <w:b w:val="1"/>
                <w:bCs w:val="1"/>
                <w:color w:val="auto"/>
              </w:rPr>
              <w:t>2.2%</w:t>
            </w:r>
          </w:p>
        </w:tc>
        <w:tc>
          <w:tcPr>
            <w:tcW w:w="780" w:type="dxa"/>
            <w:vAlign w:val="bottom"/>
          </w:tcPr>
          <w:p>
            <w:pPr>
              <w:ind w:left="220"/>
              <w:spacing w:after="0"/>
              <w:rPr>
                <w:sz w:val="20"/>
                <w:szCs w:val="20"/>
                <w:color w:val="auto"/>
              </w:rPr>
            </w:pPr>
            <w:r>
              <w:rPr>
                <w:rFonts w:ascii="Arial" w:cs="Arial" w:eastAsia="Arial" w:hAnsi="Arial"/>
                <w:sz w:val="12"/>
                <w:szCs w:val="12"/>
                <w:b w:val="1"/>
                <w:bCs w:val="1"/>
                <w:color w:val="auto"/>
              </w:rPr>
              <w:t>2.1%</w:t>
            </w:r>
          </w:p>
        </w:tc>
        <w:tc>
          <w:tcPr>
            <w:tcW w:w="760" w:type="dxa"/>
            <w:vAlign w:val="bottom"/>
          </w:tcPr>
          <w:p>
            <w:pPr>
              <w:jc w:val="right"/>
              <w:ind w:right="231"/>
              <w:spacing w:after="0"/>
              <w:rPr>
                <w:sz w:val="20"/>
                <w:szCs w:val="20"/>
                <w:color w:val="auto"/>
              </w:rPr>
            </w:pPr>
            <w:r>
              <w:rPr>
                <w:rFonts w:ascii="Arial" w:cs="Arial" w:eastAsia="Arial" w:hAnsi="Arial"/>
                <w:sz w:val="12"/>
                <w:szCs w:val="12"/>
                <w:b w:val="1"/>
                <w:bCs w:val="1"/>
                <w:color w:val="auto"/>
              </w:rPr>
              <w:t>2.7%</w:t>
            </w: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2.7%</w:t>
            </w:r>
          </w:p>
        </w:tc>
        <w:tc>
          <w:tcPr>
            <w:tcW w:w="700" w:type="dxa"/>
            <w:vAlign w:val="bottom"/>
          </w:tcPr>
          <w:p>
            <w:pPr>
              <w:jc w:val="right"/>
              <w:ind w:right="291"/>
              <w:spacing w:after="0"/>
              <w:rPr>
                <w:sz w:val="20"/>
                <w:szCs w:val="20"/>
                <w:color w:val="auto"/>
              </w:rPr>
            </w:pPr>
            <w:r>
              <w:rPr>
                <w:rFonts w:ascii="Arial" w:cs="Arial" w:eastAsia="Arial" w:hAnsi="Arial"/>
                <w:sz w:val="12"/>
                <w:szCs w:val="12"/>
                <w:b w:val="1"/>
                <w:bCs w:val="1"/>
                <w:color w:val="auto"/>
              </w:rPr>
              <w:t>3.0%</w:t>
            </w:r>
          </w:p>
        </w:tc>
        <w:tc>
          <w:tcPr>
            <w:tcW w:w="760" w:type="dxa"/>
            <w:vAlign w:val="bottom"/>
          </w:tcPr>
          <w:p>
            <w:pPr>
              <w:jc w:val="right"/>
              <w:ind w:right="271"/>
              <w:spacing w:after="0"/>
              <w:rPr>
                <w:sz w:val="20"/>
                <w:szCs w:val="20"/>
                <w:color w:val="auto"/>
              </w:rPr>
            </w:pPr>
            <w:r>
              <w:rPr>
                <w:rFonts w:ascii="Arial" w:cs="Arial" w:eastAsia="Arial" w:hAnsi="Arial"/>
                <w:sz w:val="12"/>
                <w:szCs w:val="12"/>
                <w:b w:val="1"/>
                <w:bCs w:val="1"/>
                <w:color w:val="auto"/>
              </w:rPr>
              <w:t>3.3%</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right"/>
        <w:ind w:right="500"/>
        <w:spacing w:after="0"/>
        <w:rPr>
          <w:sz w:val="20"/>
          <w:szCs w:val="20"/>
          <w:color w:val="auto"/>
        </w:rPr>
      </w:pPr>
      <w:r>
        <w:rPr>
          <w:rFonts w:ascii="Arial" w:cs="Arial" w:eastAsia="Arial" w:hAnsi="Arial"/>
          <w:sz w:val="14"/>
          <w:szCs w:val="14"/>
          <w:color w:val="auto"/>
        </w:rPr>
        <w:t>-10.0%</w:t>
      </w:r>
    </w:p>
    <w:p>
      <w:pPr>
        <w:spacing w:after="0" w:line="207" w:lineRule="exact"/>
        <w:rPr>
          <w:sz w:val="20"/>
          <w:szCs w:val="20"/>
          <w:color w:val="auto"/>
        </w:rPr>
      </w:pPr>
    </w:p>
    <w:p>
      <w:pPr>
        <w:jc w:val="right"/>
        <w:ind w:right="500"/>
        <w:spacing w:after="0"/>
        <w:rPr>
          <w:sz w:val="20"/>
          <w:szCs w:val="20"/>
          <w:color w:val="auto"/>
        </w:rPr>
      </w:pPr>
      <w:r>
        <w:rPr>
          <w:rFonts w:ascii="Arial" w:cs="Arial" w:eastAsia="Arial" w:hAnsi="Arial"/>
          <w:sz w:val="14"/>
          <w:szCs w:val="14"/>
          <w:color w:val="auto"/>
        </w:rPr>
        <w:t>-25.0%</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2009</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60"/>
        <w:spacing w:after="0"/>
        <w:rPr>
          <w:sz w:val="20"/>
          <w:szCs w:val="20"/>
          <w:color w:val="auto"/>
        </w:rPr>
      </w:pPr>
      <w:r>
        <w:rPr>
          <w:rFonts w:ascii="Arial" w:cs="Arial" w:eastAsia="Arial" w:hAnsi="Arial"/>
          <w:sz w:val="12"/>
          <w:szCs w:val="12"/>
          <w:b w:val="1"/>
          <w:bCs w:val="1"/>
          <w:color w:val="auto"/>
        </w:rPr>
        <w:t>OP Margin</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7.5%</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4"/>
          <w:szCs w:val="14"/>
          <w:color w:val="auto"/>
        </w:rPr>
        <w:t>7.0%</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4.5%</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2"/>
          <w:szCs w:val="12"/>
          <w:color w:val="auto"/>
        </w:rPr>
        <w:t>-78.1%</w:t>
      </w:r>
      <w:r>
        <w:rPr>
          <w:sz w:val="20"/>
          <w:szCs w:val="20"/>
          <w:color w:val="auto"/>
        </w:rPr>
        <w:tab/>
      </w:r>
      <w:r>
        <w:rPr>
          <w:rFonts w:ascii="Arial" w:cs="Arial" w:eastAsia="Arial" w:hAnsi="Arial"/>
          <w:sz w:val="21"/>
          <w:szCs w:val="21"/>
          <w:color w:val="auto"/>
          <w:vertAlign w:val="subscript"/>
        </w:rPr>
        <w:t>1.5%</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FFFFFF"/>
        </w:rPr>
        <w:t>136.3</w:t>
      </w:r>
    </w:p>
    <w:p>
      <w:pPr>
        <w:ind w:left="980"/>
        <w:spacing w:after="0"/>
        <w:rPr>
          <w:sz w:val="20"/>
          <w:szCs w:val="20"/>
          <w:color w:val="auto"/>
        </w:rPr>
      </w:pPr>
      <w:r>
        <w:rPr>
          <w:rFonts w:ascii="Arial" w:cs="Arial" w:eastAsia="Arial" w:hAnsi="Arial"/>
          <w:sz w:val="14"/>
          <w:szCs w:val="14"/>
          <w:color w:val="auto"/>
        </w:rPr>
        <w:t>0.0%</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2009</w:t>
      </w:r>
      <w:r>
        <w:rPr>
          <w:rFonts w:ascii="Arial" w:cs="Arial" w:eastAsia="Arial" w:hAnsi="Arial"/>
          <w:sz w:val="9"/>
          <w:szCs w:val="9"/>
          <w:color w:val="auto"/>
        </w:rPr>
        <w:t>(1)</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0.8%</w:t>
      </w:r>
    </w:p>
    <w:p>
      <w:pPr>
        <w:spacing w:after="0" w:line="222" w:lineRule="exact"/>
        <w:rPr>
          <w:sz w:val="20"/>
          <w:szCs w:val="20"/>
          <w:color w:val="auto"/>
        </w:rPr>
      </w:pPr>
    </w:p>
    <w:p>
      <w:pPr>
        <w:sectPr>
          <w:pgSz w:w="11900" w:h="16838" w:orient="portrait"/>
          <w:cols w:equalWidth="0" w:num="2">
            <w:col w:w="7460" w:space="340"/>
            <w:col w:w="1880"/>
          </w:cols>
          <w:pgMar w:left="1260" w:top="446" w:right="959" w:bottom="1440" w:gutter="0" w:footer="0" w:header="0"/>
          <w:type w:val="continuous"/>
        </w:sectPr>
      </w:pPr>
    </w:p>
    <w:p>
      <w:pPr>
        <w:spacing w:after="0" w:line="122" w:lineRule="exact"/>
        <w:rPr>
          <w:sz w:val="20"/>
          <w:szCs w:val="20"/>
          <w:color w:val="auto"/>
        </w:rPr>
      </w:pPr>
    </w:p>
    <w:p>
      <w:pPr>
        <w:ind w:left="860" w:right="1180" w:hanging="142"/>
        <w:spacing w:after="0" w:line="246" w:lineRule="auto"/>
        <w:tabs>
          <w:tab w:leader="none" w:pos="855"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Excludes non-recurring items as detailed in our earnings release and further explained on our website. As reported, operating profit was $41.7M in 2009, $493.5M in 2008 and $811.2M in 2007 and OP% was 0.3%, 2.3% and 4.0%,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334010</wp:posOffset>
            </wp:positionV>
            <wp:extent cx="727265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9680"/>
          </w:cols>
          <w:pgMar w:left="1260" w:top="446" w:right="959" w:bottom="1440" w:gutter="0" w:footer="0" w:header="0"/>
          <w:type w:val="continuous"/>
        </w:sectPr>
      </w:pPr>
    </w:p>
    <w:bookmarkStart w:id="20" w:name="page21"/>
    <w:bookmarkEnd w:id="20"/>
    <w:tbl>
      <w:tblPr>
        <w:tblLayout w:type="fixed"/>
        <w:tblInd w:w="580" w:type="dxa"/>
        <w:tblCellMar>
          <w:top w:w="0" w:type="dxa"/>
          <w:left w:w="0" w:type="dxa"/>
          <w:bottom w:w="0" w:type="dxa"/>
          <w:right w:w="0" w:type="dxa"/>
        </w:tblCellMar>
      </w:tblPr>
      <w:tr>
        <w:trPr>
          <w:trHeight w:val="241"/>
        </w:trPr>
        <w:tc>
          <w:tcPr>
            <w:tcW w:w="6380" w:type="dxa"/>
            <w:vAlign w:val="bottom"/>
          </w:tcPr>
          <w:p>
            <w:pPr>
              <w:ind w:left="1100"/>
              <w:spacing w:after="0"/>
              <w:rPr>
                <w:sz w:val="20"/>
                <w:szCs w:val="20"/>
                <w:color w:val="auto"/>
              </w:rPr>
            </w:pPr>
            <w:r>
              <w:rPr>
                <w:rFonts w:ascii="Arial" w:cs="Arial" w:eastAsia="Arial" w:hAnsi="Arial"/>
                <w:sz w:val="21"/>
                <w:szCs w:val="21"/>
                <w:color w:val="FFFFFF"/>
              </w:rPr>
              <w:t>Manpower Inc. (NYSE: MAN)</w:t>
            </w:r>
          </w:p>
        </w:tc>
        <w:tc>
          <w:tcPr>
            <w:tcW w:w="2720" w:type="dxa"/>
            <w:vAlign w:val="bottom"/>
          </w:tcPr>
          <w:p>
            <w:pPr>
              <w:ind w:left="1840"/>
              <w:spacing w:after="0"/>
              <w:rPr>
                <w:sz w:val="20"/>
                <w:szCs w:val="20"/>
                <w:color w:val="auto"/>
              </w:rPr>
            </w:pPr>
            <w:r>
              <w:rPr>
                <w:rFonts w:ascii="Arial" w:cs="Arial" w:eastAsia="Arial" w:hAnsi="Arial"/>
                <w:sz w:val="17"/>
                <w:szCs w:val="17"/>
                <w:color w:val="FFFFFF"/>
              </w:rPr>
              <w:t>February</w:t>
            </w:r>
          </w:p>
        </w:tc>
      </w:tr>
      <w:tr>
        <w:trPr>
          <w:trHeight w:val="202"/>
        </w:trPr>
        <w:tc>
          <w:tcPr>
            <w:tcW w:w="6380" w:type="dxa"/>
            <w:vAlign w:val="bottom"/>
          </w:tcPr>
          <w:p>
            <w:pPr>
              <w:spacing w:after="0"/>
              <w:rPr>
                <w:sz w:val="17"/>
                <w:szCs w:val="17"/>
                <w:color w:val="auto"/>
              </w:rPr>
            </w:pPr>
          </w:p>
        </w:tc>
        <w:tc>
          <w:tcPr>
            <w:tcW w:w="2720" w:type="dxa"/>
            <w:vAlign w:val="bottom"/>
          </w:tcPr>
          <w:p>
            <w:pPr>
              <w:ind w:left="1840"/>
              <w:spacing w:after="0"/>
              <w:rPr>
                <w:sz w:val="20"/>
                <w:szCs w:val="20"/>
                <w:color w:val="auto"/>
              </w:rPr>
            </w:pPr>
            <w:r>
              <w:rPr>
                <w:rFonts w:ascii="Arial" w:cs="Arial" w:eastAsia="Arial" w:hAnsi="Arial"/>
                <w:sz w:val="17"/>
                <w:szCs w:val="17"/>
                <w:color w:val="FFFFFF"/>
              </w:rPr>
              <w:t>2010</w:t>
            </w:r>
          </w:p>
        </w:tc>
      </w:tr>
      <w:tr>
        <w:trPr>
          <w:trHeight w:val="314"/>
        </w:trPr>
        <w:tc>
          <w:tcPr>
            <w:tcW w:w="6380" w:type="dxa"/>
            <w:vAlign w:val="bottom"/>
          </w:tcPr>
          <w:p>
            <w:pPr>
              <w:spacing w:after="0"/>
              <w:rPr>
                <w:sz w:val="24"/>
                <w:szCs w:val="24"/>
                <w:color w:val="auto"/>
              </w:rPr>
            </w:pPr>
          </w:p>
        </w:tc>
        <w:tc>
          <w:tcPr>
            <w:tcW w:w="2720" w:type="dxa"/>
            <w:vAlign w:val="bottom"/>
          </w:tcPr>
          <w:p>
            <w:pPr>
              <w:ind w:left="2260"/>
              <w:spacing w:after="0"/>
              <w:rPr>
                <w:sz w:val="20"/>
                <w:szCs w:val="20"/>
                <w:color w:val="auto"/>
              </w:rPr>
            </w:pPr>
            <w:r>
              <w:rPr>
                <w:rFonts w:ascii="Arial" w:cs="Arial" w:eastAsia="Arial" w:hAnsi="Arial"/>
                <w:sz w:val="18"/>
                <w:szCs w:val="18"/>
                <w:color w:val="auto"/>
                <w:w w:val="97"/>
              </w:rPr>
              <w:t>792.0</w:t>
            </w:r>
          </w:p>
        </w:tc>
      </w:tr>
      <w:tr>
        <w:trPr>
          <w:trHeight w:val="579"/>
        </w:trPr>
        <w:tc>
          <w:tcPr>
            <w:tcW w:w="6380" w:type="dxa"/>
            <w:vAlign w:val="bottom"/>
          </w:tcPr>
          <w:p>
            <w:pPr>
              <w:spacing w:after="0"/>
              <w:rPr>
                <w:sz w:val="20"/>
                <w:szCs w:val="20"/>
                <w:color w:val="auto"/>
              </w:rPr>
            </w:pPr>
            <w:r>
              <w:rPr>
                <w:rFonts w:ascii="Arial" w:cs="Arial" w:eastAsia="Arial" w:hAnsi="Arial"/>
                <w:sz w:val="46"/>
                <w:szCs w:val="46"/>
                <w:color w:val="5F81AA"/>
              </w:rPr>
              <w:t>Operating Cash Flows</w:t>
            </w:r>
          </w:p>
        </w:tc>
        <w:tc>
          <w:tcPr>
            <w:tcW w:w="2720" w:type="dxa"/>
            <w:vAlign w:val="bottom"/>
          </w:tcPr>
          <w:p>
            <w:pPr>
              <w:ind w:left="2280"/>
              <w:spacing w:after="0"/>
              <w:rPr>
                <w:sz w:val="20"/>
                <w:szCs w:val="20"/>
                <w:color w:val="auto"/>
              </w:rPr>
            </w:pPr>
            <w:r>
              <w:rPr>
                <w:rFonts w:ascii="Arial" w:cs="Arial" w:eastAsia="Arial" w:hAnsi="Arial"/>
                <w:sz w:val="18"/>
                <w:szCs w:val="18"/>
                <w:color w:val="FFFFFF"/>
              </w:rPr>
              <w:t>93.1</w:t>
            </w:r>
          </w:p>
        </w:tc>
      </w:tr>
      <w:tr>
        <w:trPr>
          <w:trHeight w:val="258"/>
        </w:trPr>
        <w:tc>
          <w:tcPr>
            <w:tcW w:w="6380" w:type="dxa"/>
            <w:vAlign w:val="bottom"/>
          </w:tcPr>
          <w:p>
            <w:pPr>
              <w:spacing w:after="0"/>
              <w:rPr>
                <w:sz w:val="20"/>
                <w:szCs w:val="20"/>
                <w:color w:val="auto"/>
              </w:rPr>
            </w:pPr>
            <w:r>
              <w:rPr>
                <w:rFonts w:ascii="Arial" w:cs="Arial" w:eastAsia="Arial" w:hAnsi="Arial"/>
                <w:sz w:val="21"/>
                <w:szCs w:val="21"/>
                <w:color w:val="5F81AA"/>
              </w:rPr>
              <w:t>($ in millions)</w:t>
            </w:r>
          </w:p>
        </w:tc>
        <w:tc>
          <w:tcPr>
            <w:tcW w:w="2720" w:type="dxa"/>
            <w:vAlign w:val="bottom"/>
          </w:tcPr>
          <w:p>
            <w:pPr>
              <w:spacing w:after="0"/>
              <w:rPr>
                <w:sz w:val="22"/>
                <w:szCs w:val="22"/>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432.2</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FFFFFF"/>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414.3</w:t>
      </w:r>
    </w:p>
    <w:p>
      <w:pPr>
        <w:spacing w:after="0" w:line="103" w:lineRule="exact"/>
        <w:rPr>
          <w:sz w:val="20"/>
          <w:szCs w:val="20"/>
          <w:color w:val="auto"/>
        </w:rPr>
      </w:pPr>
    </w:p>
    <w:p>
      <w:pPr>
        <w:sectPr>
          <w:pgSz w:w="11900" w:h="16838" w:orient="portrait"/>
          <w:cols w:equalWidth="0" w:num="2">
            <w:col w:w="9680" w:space="380"/>
            <w:col w:w="460"/>
          </w:cols>
          <w:pgMar w:left="680" w:top="446" w:right="699" w:bottom="1440" w:gutter="0" w:footer="0" w:header="0"/>
        </w:sectPr>
      </w:pPr>
    </w:p>
    <w:p>
      <w:pPr>
        <w:spacing w:after="0" w:line="200" w:lineRule="exact"/>
        <w:rPr>
          <w:sz w:val="20"/>
          <w:szCs w:val="20"/>
          <w:color w:val="auto"/>
        </w:rPr>
      </w:pPr>
    </w:p>
    <w:p>
      <w:pPr>
        <w:spacing w:after="0" w:line="398" w:lineRule="exact"/>
        <w:rPr>
          <w:sz w:val="20"/>
          <w:szCs w:val="20"/>
          <w:color w:val="auto"/>
        </w:rPr>
      </w:pPr>
    </w:p>
    <w:tbl>
      <w:tblPr>
        <w:tblLayout w:type="fixed"/>
        <w:tblInd w:w="2580" w:type="dxa"/>
        <w:tblCellMar>
          <w:top w:w="0" w:type="dxa"/>
          <w:left w:w="0" w:type="dxa"/>
          <w:bottom w:w="0" w:type="dxa"/>
          <w:right w:w="0" w:type="dxa"/>
        </w:tblCellMar>
      </w:tblPr>
      <w:tr>
        <w:trPr>
          <w:trHeight w:val="255"/>
        </w:trPr>
        <w:tc>
          <w:tcPr>
            <w:tcW w:w="640" w:type="dxa"/>
            <w:vAlign w:val="bottom"/>
          </w:tcPr>
          <w:p>
            <w:pPr>
              <w:spacing w:after="0"/>
              <w:rPr>
                <w:sz w:val="22"/>
                <w:szCs w:val="22"/>
                <w:color w:val="auto"/>
              </w:rPr>
            </w:pPr>
          </w:p>
        </w:tc>
        <w:tc>
          <w:tcPr>
            <w:tcW w:w="840" w:type="dxa"/>
            <w:vAlign w:val="bottom"/>
          </w:tcPr>
          <w:p>
            <w:pPr>
              <w:jc w:val="right"/>
              <w:ind w:right="108"/>
              <w:spacing w:after="0"/>
              <w:rPr>
                <w:sz w:val="20"/>
                <w:szCs w:val="20"/>
                <w:color w:val="auto"/>
              </w:rPr>
            </w:pPr>
            <w:r>
              <w:rPr>
                <w:rFonts w:ascii="Arial" w:cs="Arial" w:eastAsia="Arial" w:hAnsi="Arial"/>
                <w:sz w:val="18"/>
                <w:szCs w:val="18"/>
                <w:color w:val="auto"/>
              </w:rPr>
              <w:t>281.0</w:t>
            </w:r>
          </w:p>
        </w:tc>
        <w:tc>
          <w:tcPr>
            <w:tcW w:w="8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87"/>
        </w:trPr>
        <w:tc>
          <w:tcPr>
            <w:tcW w:w="640" w:type="dxa"/>
            <w:vAlign w:val="bottom"/>
            <w:vMerge w:val="restart"/>
          </w:tcPr>
          <w:p>
            <w:pPr>
              <w:jc w:val="right"/>
              <w:ind w:right="88"/>
              <w:spacing w:after="0"/>
              <w:rPr>
                <w:sz w:val="20"/>
                <w:szCs w:val="20"/>
                <w:color w:val="auto"/>
              </w:rPr>
            </w:pPr>
            <w:r>
              <w:rPr>
                <w:rFonts w:ascii="Arial" w:cs="Arial" w:eastAsia="Arial" w:hAnsi="Arial"/>
                <w:sz w:val="18"/>
                <w:szCs w:val="18"/>
                <w:color w:val="auto"/>
                <w:w w:val="97"/>
              </w:rPr>
              <w:t>212.9</w:t>
            </w:r>
          </w:p>
        </w:tc>
        <w:tc>
          <w:tcPr>
            <w:tcW w:w="84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8"/>
                <w:szCs w:val="18"/>
                <w:color w:val="auto"/>
              </w:rPr>
              <w:t>227.9</w:t>
            </w:r>
          </w:p>
        </w:tc>
        <w:tc>
          <w:tcPr>
            <w:tcW w:w="1640" w:type="dxa"/>
            <w:vAlign w:val="bottom"/>
            <w:vMerge w:val="restart"/>
          </w:tcPr>
          <w:p>
            <w:pPr>
              <w:jc w:val="right"/>
              <w:ind w:right="908"/>
              <w:spacing w:after="0"/>
              <w:rPr>
                <w:sz w:val="20"/>
                <w:szCs w:val="20"/>
                <w:color w:val="auto"/>
              </w:rPr>
            </w:pPr>
            <w:r>
              <w:rPr>
                <w:rFonts w:ascii="Arial" w:cs="Arial" w:eastAsia="Arial" w:hAnsi="Arial"/>
                <w:sz w:val="18"/>
                <w:szCs w:val="18"/>
                <w:color w:val="auto"/>
              </w:rPr>
              <w:t>223.4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640" w:type="dxa"/>
            <w:vAlign w:val="bottom"/>
            <w:vMerge w:val="continue"/>
          </w:tcPr>
          <w:p>
            <w:pPr>
              <w:spacing w:after="0"/>
              <w:rPr>
                <w:sz w:val="7"/>
                <w:szCs w:val="7"/>
                <w:color w:val="auto"/>
              </w:rPr>
            </w:pPr>
          </w:p>
        </w:tc>
        <w:tc>
          <w:tcPr>
            <w:tcW w:w="840" w:type="dxa"/>
            <w:vAlign w:val="bottom"/>
            <w:vMerge w:val="restart"/>
          </w:tcPr>
          <w:p>
            <w:pPr>
              <w:jc w:val="right"/>
              <w:ind w:right="168"/>
              <w:spacing w:after="0"/>
              <w:rPr>
                <w:sz w:val="20"/>
                <w:szCs w:val="20"/>
                <w:color w:val="auto"/>
              </w:rPr>
            </w:pPr>
            <w:r>
              <w:rPr>
                <w:rFonts w:ascii="Arial" w:cs="Arial" w:eastAsia="Arial" w:hAnsi="Arial"/>
                <w:sz w:val="18"/>
                <w:szCs w:val="18"/>
                <w:color w:val="FFFFFF"/>
              </w:rPr>
              <w:t>87.3</w:t>
            </w:r>
          </w:p>
        </w:tc>
        <w:tc>
          <w:tcPr>
            <w:tcW w:w="82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FFFFFF"/>
              </w:rPr>
              <w:t>77.6</w:t>
            </w: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jc w:val="right"/>
              <w:ind w:right="88"/>
              <w:spacing w:after="0" w:line="161" w:lineRule="exact"/>
              <w:rPr>
                <w:sz w:val="20"/>
                <w:szCs w:val="20"/>
                <w:color w:val="auto"/>
              </w:rPr>
            </w:pPr>
            <w:r>
              <w:rPr>
                <w:rFonts w:ascii="Arial" w:cs="Arial" w:eastAsia="Arial" w:hAnsi="Arial"/>
                <w:sz w:val="18"/>
                <w:szCs w:val="18"/>
                <w:color w:val="auto"/>
              </w:rPr>
              <w:t>187.4</w:t>
            </w: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880" w:val="left"/>
        </w:tabs>
        <w:rPr>
          <w:sz w:val="20"/>
          <w:szCs w:val="20"/>
          <w:color w:val="auto"/>
        </w:rPr>
      </w:pPr>
      <w:r>
        <w:rPr>
          <w:rFonts w:ascii="Arial" w:cs="Arial" w:eastAsia="Arial" w:hAnsi="Arial"/>
          <w:sz w:val="18"/>
          <w:szCs w:val="18"/>
          <w:color w:val="auto"/>
        </w:rPr>
        <w:t>359.1</w:t>
      </w:r>
      <w:r>
        <w:rPr>
          <w:sz w:val="20"/>
          <w:szCs w:val="20"/>
          <w:color w:val="auto"/>
        </w:rPr>
        <w:tab/>
      </w:r>
      <w:r>
        <w:rPr>
          <w:rFonts w:ascii="Arial" w:cs="Arial" w:eastAsia="Arial" w:hAnsi="Arial"/>
          <w:sz w:val="18"/>
          <w:szCs w:val="18"/>
          <w:color w:val="FFFFFF"/>
        </w:rPr>
        <w:t>91.6</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color w:val="FFFFFF"/>
        </w:rPr>
        <w:t>80.0</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FFFFFF"/>
        </w:rPr>
        <w:t>698.9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color w:val="FFFFFF"/>
        </w:rPr>
        <w:t>35.1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FFFFFF"/>
        </w:rPr>
        <w:t>379.2</w:t>
      </w:r>
    </w:p>
    <w:p>
      <w:pPr>
        <w:spacing w:after="0" w:line="3" w:lineRule="exact"/>
        <w:rPr>
          <w:sz w:val="20"/>
          <w:szCs w:val="20"/>
          <w:color w:val="auto"/>
        </w:rPr>
      </w:pPr>
    </w:p>
    <w:p>
      <w:pPr>
        <w:sectPr>
          <w:pgSz w:w="11900" w:h="16838" w:orient="portrait"/>
          <w:cols w:equalWidth="0" w:num="4">
            <w:col w:w="7180" w:space="340"/>
            <w:col w:w="1260" w:space="420"/>
            <w:col w:w="460" w:space="360"/>
            <w:col w:w="500"/>
          </w:cols>
          <w:pgMar w:left="680" w:top="446" w:right="699" w:bottom="1440" w:gutter="0" w:footer="0" w:header="0"/>
          <w:type w:val="continuous"/>
        </w:sect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7EA190"/>
        </w:rPr>
        <w:t>Capital Expenditures</w:t>
      </w:r>
    </w:p>
    <w:p>
      <w:pPr>
        <w:spacing w:after="0" w:line="200" w:lineRule="exact"/>
        <w:rPr>
          <w:sz w:val="20"/>
          <w:szCs w:val="20"/>
          <w:color w:val="auto"/>
        </w:rPr>
      </w:pPr>
    </w:p>
    <w:p>
      <w:pPr>
        <w:spacing w:after="0" w:line="2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6698C2"/>
        </w:rPr>
        <w:t>Free Cash Flow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Share Repurchases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5" w:type="dxa"/>
        <w:tblCellMar>
          <w:top w:w="0" w:type="dxa"/>
          <w:left w:w="0" w:type="dxa"/>
          <w:bottom w:w="0" w:type="dxa"/>
          <w:right w:w="0" w:type="dxa"/>
        </w:tblCellMar>
      </w:tblPr>
      <w:tr>
        <w:trPr>
          <w:trHeight w:val="220"/>
        </w:trPr>
        <w:tc>
          <w:tcPr>
            <w:tcW w:w="640" w:type="dxa"/>
            <w:vAlign w:val="bottom"/>
            <w:vMerge w:val="restart"/>
          </w:tcPr>
          <w:p>
            <w:pPr>
              <w:jc w:val="right"/>
              <w:ind w:right="132"/>
              <w:spacing w:after="0"/>
              <w:rPr>
                <w:sz w:val="20"/>
                <w:szCs w:val="20"/>
                <w:color w:val="auto"/>
              </w:rPr>
            </w:pPr>
            <w:r>
              <w:rPr>
                <w:rFonts w:ascii="Arial" w:cs="Arial" w:eastAsia="Arial" w:hAnsi="Arial"/>
                <w:sz w:val="18"/>
                <w:szCs w:val="18"/>
                <w:color w:val="FFFFFF"/>
              </w:rPr>
              <w:t>82.6</w:t>
            </w:r>
          </w:p>
        </w:tc>
        <w:tc>
          <w:tcPr>
            <w:tcW w:w="84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FFFFFF"/>
              </w:rPr>
              <w:t>58.5</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FFFFFF"/>
              </w:rPr>
              <w:t>55.5</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
        </w:trPr>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64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vMerge w:val="restart"/>
          </w:tcPr>
          <w:p>
            <w:pPr>
              <w:jc w:val="right"/>
              <w:ind w:right="113"/>
              <w:spacing w:after="0"/>
              <w:rPr>
                <w:sz w:val="20"/>
                <w:szCs w:val="20"/>
                <w:color w:val="auto"/>
              </w:rPr>
            </w:pPr>
            <w:r>
              <w:rPr>
                <w:rFonts w:ascii="Arial" w:cs="Arial" w:eastAsia="Arial" w:hAnsi="Arial"/>
                <w:sz w:val="18"/>
                <w:szCs w:val="18"/>
                <w:color w:val="FFFFFF"/>
              </w:rPr>
              <w:t>67.9</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6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FFFFFF"/>
              </w:rPr>
              <w:t>193.7</w:t>
            </w:r>
          </w:p>
        </w:tc>
        <w:tc>
          <w:tcPr>
            <w:tcW w:w="820" w:type="dxa"/>
            <w:vAlign w:val="bottom"/>
            <w:vMerge w:val="restart"/>
          </w:tcPr>
          <w:p>
            <w:pPr>
              <w:jc w:val="right"/>
              <w:ind w:right="92"/>
              <w:spacing w:after="0"/>
              <w:rPr>
                <w:sz w:val="20"/>
                <w:szCs w:val="20"/>
                <w:color w:val="auto"/>
              </w:rPr>
            </w:pPr>
            <w:r>
              <w:rPr>
                <w:rFonts w:ascii="Arial" w:cs="Arial" w:eastAsia="Arial" w:hAnsi="Arial"/>
                <w:sz w:val="18"/>
                <w:szCs w:val="18"/>
                <w:color w:val="FFFFFF"/>
              </w:rPr>
              <w:t>169.4</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FFFFFF"/>
              </w:rPr>
              <w:t>167.9</w:t>
            </w:r>
          </w:p>
        </w:tc>
        <w:tc>
          <w:tcPr>
            <w:tcW w:w="8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FFFFFF"/>
              </w:rPr>
              <w:t>191.2</w:t>
            </w:r>
          </w:p>
        </w:tc>
        <w:tc>
          <w:tcPr>
            <w:tcW w:w="0" w:type="dxa"/>
            <w:vAlign w:val="bottom"/>
          </w:tcPr>
          <w:p>
            <w:pPr>
              <w:spacing w:after="0"/>
              <w:rPr>
                <w:sz w:val="1"/>
                <w:szCs w:val="1"/>
                <w:color w:val="auto"/>
              </w:rPr>
            </w:pPr>
          </w:p>
        </w:tc>
      </w:tr>
      <w:tr>
        <w:trPr>
          <w:trHeight w:val="69"/>
        </w:trPr>
        <w:tc>
          <w:tcPr>
            <w:tcW w:w="640" w:type="dxa"/>
            <w:vAlign w:val="bottom"/>
            <w:vMerge w:val="restart"/>
          </w:tcPr>
          <w:p>
            <w:pPr>
              <w:jc w:val="right"/>
              <w:ind w:right="92"/>
              <w:spacing w:after="0"/>
              <w:rPr>
                <w:sz w:val="20"/>
                <w:szCs w:val="20"/>
                <w:color w:val="auto"/>
              </w:rPr>
            </w:pPr>
            <w:r>
              <w:rPr>
                <w:rFonts w:ascii="Arial" w:cs="Arial" w:eastAsia="Arial" w:hAnsi="Arial"/>
                <w:sz w:val="18"/>
                <w:szCs w:val="18"/>
                <w:color w:val="FFFFFF"/>
                <w:w w:val="97"/>
              </w:rPr>
              <w:t>130.3</w:t>
            </w:r>
          </w:p>
        </w:tc>
        <w:tc>
          <w:tcPr>
            <w:tcW w:w="8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FFFFFF"/>
              </w:rPr>
              <w:t>119.5</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64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5"/>
        </w:trPr>
        <w:tc>
          <w:tcPr>
            <w:tcW w:w="640" w:type="dxa"/>
            <w:vAlign w:val="bottom"/>
          </w:tcPr>
          <w:p>
            <w:pPr>
              <w:jc w:val="right"/>
              <w:ind w:right="132"/>
              <w:spacing w:after="0"/>
              <w:rPr>
                <w:sz w:val="20"/>
                <w:szCs w:val="20"/>
                <w:color w:val="auto"/>
              </w:rPr>
            </w:pPr>
            <w:r>
              <w:rPr>
                <w:rFonts w:ascii="Arial" w:cs="Arial" w:eastAsia="Arial" w:hAnsi="Arial"/>
                <w:sz w:val="17"/>
                <w:szCs w:val="17"/>
                <w:b w:val="1"/>
                <w:bCs w:val="1"/>
                <w:color w:val="auto"/>
              </w:rPr>
              <w:t>2000</w:t>
            </w: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rPr>
              <w:t>2001</w:t>
            </w:r>
          </w:p>
        </w:tc>
        <w:tc>
          <w:tcPr>
            <w:tcW w:w="820" w:type="dxa"/>
            <w:vAlign w:val="bottom"/>
          </w:tcPr>
          <w:p>
            <w:pPr>
              <w:jc w:val="right"/>
              <w:ind w:right="132"/>
              <w:spacing w:after="0"/>
              <w:rPr>
                <w:sz w:val="20"/>
                <w:szCs w:val="20"/>
                <w:color w:val="auto"/>
              </w:rPr>
            </w:pPr>
            <w:r>
              <w:rPr>
                <w:rFonts w:ascii="Arial" w:cs="Arial" w:eastAsia="Arial" w:hAnsi="Arial"/>
                <w:sz w:val="17"/>
                <w:szCs w:val="17"/>
                <w:b w:val="1"/>
                <w:bCs w:val="1"/>
                <w:color w:val="auto"/>
              </w:rPr>
              <w:t>2002</w:t>
            </w: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w w:val="95"/>
              </w:rPr>
              <w:t>2003</w:t>
            </w: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rPr>
              <w:t>2004</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2005</w:t>
            </w:r>
          </w:p>
        </w:tc>
        <w:tc>
          <w:tcPr>
            <w:tcW w:w="0" w:type="dxa"/>
            <w:vAlign w:val="bottom"/>
          </w:tcPr>
          <w:p>
            <w:pPr>
              <w:spacing w:after="0"/>
              <w:rPr>
                <w:sz w:val="1"/>
                <w:szCs w:val="1"/>
                <w:color w:val="auto"/>
              </w:rPr>
            </w:pPr>
          </w:p>
        </w:tc>
      </w:tr>
      <w:tr>
        <w:trPr>
          <w:trHeight w:val="379"/>
        </w:trPr>
        <w:tc>
          <w:tcPr>
            <w:tcW w:w="640" w:type="dxa"/>
            <w:vAlign w:val="bottom"/>
          </w:tcPr>
          <w:p>
            <w:pPr>
              <w:jc w:val="right"/>
              <w:ind w:right="112"/>
              <w:spacing w:after="0"/>
              <w:rPr>
                <w:sz w:val="20"/>
                <w:szCs w:val="20"/>
                <w:color w:val="auto"/>
              </w:rPr>
            </w:pPr>
            <w:r>
              <w:rPr>
                <w:rFonts w:ascii="Arial" w:cs="Arial" w:eastAsia="Arial" w:hAnsi="Arial"/>
                <w:sz w:val="17"/>
                <w:szCs w:val="17"/>
                <w:color w:val="auto"/>
                <w:w w:val="98"/>
              </w:rPr>
              <w:t>$20.0</w:t>
            </w:r>
          </w:p>
        </w:tc>
        <w:tc>
          <w:tcPr>
            <w:tcW w:w="840" w:type="dxa"/>
            <w:vAlign w:val="bottom"/>
          </w:tcPr>
          <w:p>
            <w:pPr>
              <w:jc w:val="center"/>
              <w:spacing w:after="0"/>
              <w:rPr>
                <w:sz w:val="20"/>
                <w:szCs w:val="20"/>
                <w:color w:val="auto"/>
              </w:rPr>
            </w:pPr>
            <w:r>
              <w:rPr>
                <w:rFonts w:ascii="Arial" w:cs="Arial" w:eastAsia="Arial" w:hAnsi="Arial"/>
                <w:sz w:val="17"/>
                <w:szCs w:val="17"/>
                <w:color w:val="auto"/>
              </w:rPr>
              <w:t>$3.3</w:t>
            </w:r>
          </w:p>
        </w:tc>
        <w:tc>
          <w:tcPr>
            <w:tcW w:w="820" w:type="dxa"/>
            <w:vAlign w:val="bottom"/>
          </w:tcPr>
          <w:p>
            <w:pPr>
              <w:jc w:val="right"/>
              <w:ind w:right="92"/>
              <w:spacing w:after="0"/>
              <w:rPr>
                <w:sz w:val="20"/>
                <w:szCs w:val="20"/>
                <w:color w:val="auto"/>
              </w:rPr>
            </w:pPr>
            <w:r>
              <w:rPr>
                <w:rFonts w:ascii="Arial" w:cs="Arial" w:eastAsia="Arial" w:hAnsi="Arial"/>
                <w:sz w:val="17"/>
                <w:szCs w:val="17"/>
                <w:color w:val="auto"/>
              </w:rPr>
              <w:t>$30.7</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$217.6</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135" w:right="140" w:hanging="135"/>
        <w:spacing w:after="0" w:line="233" w:lineRule="auto"/>
        <w:tabs>
          <w:tab w:leader="none" w:pos="123" w:val="left"/>
        </w:tabs>
        <w:numPr>
          <w:ilvl w:val="0"/>
          <w:numId w:val="13"/>
        </w:numPr>
        <w:rPr>
          <w:rFonts w:ascii="Arial" w:cs="Arial" w:eastAsia="Arial" w:hAnsi="Arial"/>
          <w:sz w:val="18"/>
          <w:szCs w:val="18"/>
          <w:color w:val="auto"/>
        </w:rPr>
      </w:pPr>
      <w:r>
        <w:rPr>
          <w:rFonts w:ascii="Arial" w:cs="Arial" w:eastAsia="Arial" w:hAnsi="Arial"/>
          <w:sz w:val="15"/>
          <w:szCs w:val="15"/>
          <w:color w:val="auto"/>
        </w:rPr>
        <w:t>Free Cash Flow is equal to cash provided by operating activities less capital expenditures, and is further explained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-1877060</wp:posOffset>
            </wp:positionH>
            <wp:positionV relativeFrom="paragraph">
              <wp:posOffset>413385</wp:posOffset>
            </wp:positionV>
            <wp:extent cx="727265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8"/>
          <w:szCs w:val="18"/>
          <w:color w:val="FFFFFF"/>
        </w:rPr>
        <w:t>340.6</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279.1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tabs>
          <w:tab w:leader="none" w:pos="880" w:val="left"/>
          <w:tab w:leader="none" w:pos="1720" w:val="left"/>
        </w:tabs>
        <w:rPr>
          <w:sz w:val="20"/>
          <w:szCs w:val="20"/>
          <w:color w:val="auto"/>
        </w:rPr>
      </w:pPr>
      <w:r>
        <w:rPr>
          <w:rFonts w:ascii="Arial" w:cs="Arial" w:eastAsia="Arial" w:hAnsi="Arial"/>
          <w:sz w:val="17"/>
          <w:szCs w:val="17"/>
          <w:b w:val="1"/>
          <w:bCs w:val="1"/>
          <w:color w:val="auto"/>
        </w:rPr>
        <w:t>2006</w:t>
      </w:r>
      <w:r>
        <w:rPr>
          <w:sz w:val="20"/>
          <w:szCs w:val="20"/>
          <w:color w:val="auto"/>
        </w:rPr>
        <w:tab/>
      </w:r>
      <w:r>
        <w:rPr>
          <w:rFonts w:ascii="Arial" w:cs="Arial" w:eastAsia="Arial" w:hAnsi="Arial"/>
          <w:sz w:val="17"/>
          <w:szCs w:val="17"/>
          <w:b w:val="1"/>
          <w:bCs w:val="1"/>
          <w:color w:val="auto"/>
        </w:rPr>
        <w:t>2007</w:t>
      </w:r>
      <w:r>
        <w:rPr>
          <w:sz w:val="20"/>
          <w:szCs w:val="20"/>
          <w:color w:val="auto"/>
        </w:rPr>
        <w:tab/>
      </w:r>
      <w:r>
        <w:rPr>
          <w:rFonts w:ascii="Arial" w:cs="Arial" w:eastAsia="Arial" w:hAnsi="Arial"/>
          <w:sz w:val="16"/>
          <w:szCs w:val="16"/>
          <w:b w:val="1"/>
          <w:bCs w:val="1"/>
          <w:color w:val="auto"/>
        </w:rPr>
        <w:t>2008</w:t>
      </w:r>
    </w:p>
    <w:p>
      <w:pPr>
        <w:spacing w:after="0" w:line="192" w:lineRule="exact"/>
        <w:rPr>
          <w:sz w:val="20"/>
          <w:szCs w:val="20"/>
          <w:color w:val="auto"/>
        </w:rPr>
      </w:pPr>
    </w:p>
    <w:p>
      <w:pPr>
        <w:spacing w:after="0"/>
        <w:tabs>
          <w:tab w:leader="none" w:pos="820" w:val="left"/>
          <w:tab w:leader="none" w:pos="1640" w:val="left"/>
        </w:tabs>
        <w:rPr>
          <w:sz w:val="20"/>
          <w:szCs w:val="20"/>
          <w:color w:val="auto"/>
        </w:rPr>
      </w:pPr>
      <w:r>
        <w:rPr>
          <w:rFonts w:ascii="Arial" w:cs="Arial" w:eastAsia="Arial" w:hAnsi="Arial"/>
          <w:sz w:val="17"/>
          <w:szCs w:val="17"/>
          <w:color w:val="auto"/>
        </w:rPr>
        <w:t>$235.9</w:t>
      </w:r>
      <w:r>
        <w:rPr>
          <w:sz w:val="20"/>
          <w:szCs w:val="20"/>
          <w:color w:val="auto"/>
        </w:rPr>
        <w:tab/>
      </w:r>
      <w:r>
        <w:rPr>
          <w:rFonts w:ascii="Arial" w:cs="Arial" w:eastAsia="Arial" w:hAnsi="Arial"/>
          <w:sz w:val="17"/>
          <w:szCs w:val="17"/>
          <w:color w:val="auto"/>
        </w:rPr>
        <w:t>$419.2</w:t>
      </w:r>
      <w:r>
        <w:rPr>
          <w:sz w:val="20"/>
          <w:szCs w:val="20"/>
          <w:color w:val="auto"/>
        </w:rPr>
        <w:tab/>
      </w:r>
      <w:r>
        <w:rPr>
          <w:rFonts w:ascii="Arial" w:cs="Arial" w:eastAsia="Arial" w:hAnsi="Arial"/>
          <w:sz w:val="17"/>
          <w:szCs w:val="17"/>
          <w:color w:val="auto"/>
        </w:rPr>
        <w:t>$125.4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2009</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w:t>
      </w:r>
    </w:p>
    <w:p>
      <w:pPr>
        <w:sectPr>
          <w:pgSz w:w="11900" w:h="16838" w:orient="portrait"/>
          <w:cols w:equalWidth="0" w:num="4">
            <w:col w:w="2220" w:space="285"/>
            <w:col w:w="4695" w:space="320"/>
            <w:col w:w="2180" w:space="380"/>
            <w:col w:w="440"/>
          </w:cols>
          <w:pgMar w:left="680" w:top="446" w:right="699" w:bottom="1440" w:gutter="0" w:footer="0" w:header="0"/>
          <w:type w:val="continuous"/>
        </w:sectPr>
      </w:pPr>
    </w:p>
    <w:bookmarkStart w:id="21" w:name="page22"/>
    <w:bookmarkEnd w:id="21"/>
    <w:p>
      <w:pPr>
        <w:ind w:left="124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t>Manpower Inc. (NYSE: MAN)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6"/>
          <w:szCs w:val="46"/>
          <w:color w:val="5F81AA"/>
        </w:rPr>
        <w:t>Return on Invested Capital* (ROIC)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spacing w:after="0"/>
        <w:tabs>
          <w:tab w:leader="none" w:pos="2680" w:val="left"/>
        </w:tabs>
        <w:rPr>
          <w:sz w:val="20"/>
          <w:szCs w:val="20"/>
          <w:color w:val="auto"/>
        </w:rPr>
      </w:pPr>
      <w:r>
        <w:rPr>
          <w:rFonts w:ascii="Arial" w:cs="Arial" w:eastAsia="Arial" w:hAnsi="Arial"/>
          <w:sz w:val="31"/>
          <w:szCs w:val="31"/>
          <w:color w:val="auto"/>
        </w:rPr>
        <w:t>2009</w:t>
      </w:r>
      <w:r>
        <w:rPr>
          <w:sz w:val="20"/>
          <w:szCs w:val="20"/>
          <w:color w:val="auto"/>
        </w:rPr>
        <w:tab/>
      </w:r>
      <w:r>
        <w:rPr>
          <w:rFonts w:ascii="Arial" w:cs="Arial" w:eastAsia="Arial" w:hAnsi="Arial"/>
          <w:sz w:val="23"/>
          <w:szCs w:val="23"/>
          <w:color w:val="FFFFFF"/>
        </w:rPr>
        <w:t>5.7%</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369"/>
        </w:trPr>
        <w:tc>
          <w:tcPr>
            <w:tcW w:w="2220" w:type="dxa"/>
            <w:vAlign w:val="bottom"/>
          </w:tcPr>
          <w:p>
            <w:pPr>
              <w:jc w:val="right"/>
              <w:ind w:right="1367"/>
              <w:spacing w:after="0"/>
              <w:rPr>
                <w:sz w:val="20"/>
                <w:szCs w:val="20"/>
                <w:color w:val="auto"/>
              </w:rPr>
            </w:pPr>
            <w:r>
              <w:rPr>
                <w:rFonts w:ascii="Arial" w:cs="Arial" w:eastAsia="Arial" w:hAnsi="Arial"/>
                <w:sz w:val="31"/>
                <w:szCs w:val="31"/>
                <w:color w:val="808080"/>
                <w:w w:val="98"/>
              </w:rPr>
              <w:t>2008</w:t>
            </w:r>
          </w:p>
        </w:tc>
        <w:tc>
          <w:tcPr>
            <w:tcW w:w="3720" w:type="dxa"/>
            <w:vAlign w:val="bottom"/>
            <w:vMerge w:val="restart"/>
          </w:tcPr>
          <w:p>
            <w:pPr>
              <w:jc w:val="right"/>
              <w:ind w:right="785"/>
              <w:spacing w:after="0"/>
              <w:rPr>
                <w:sz w:val="20"/>
                <w:szCs w:val="20"/>
                <w:color w:val="auto"/>
              </w:rPr>
            </w:pPr>
            <w:r>
              <w:rPr>
                <w:rFonts w:ascii="Arial" w:cs="Arial" w:eastAsia="Arial" w:hAnsi="Arial"/>
                <w:sz w:val="23"/>
                <w:szCs w:val="23"/>
                <w:color w:val="auto"/>
              </w:rPr>
              <w:t>13.0%</w:t>
            </w:r>
          </w:p>
        </w:tc>
        <w:tc>
          <w:tcPr>
            <w:tcW w:w="0" w:type="dxa"/>
            <w:vAlign w:val="bottom"/>
          </w:tcPr>
          <w:p>
            <w:pPr>
              <w:spacing w:after="0"/>
              <w:rPr>
                <w:sz w:val="1"/>
                <w:szCs w:val="1"/>
                <w:color w:val="auto"/>
              </w:rPr>
            </w:pPr>
          </w:p>
        </w:tc>
      </w:tr>
      <w:tr>
        <w:trPr>
          <w:trHeight w:val="125"/>
        </w:trPr>
        <w:tc>
          <w:tcPr>
            <w:tcW w:w="2220" w:type="dxa"/>
            <w:vAlign w:val="bottom"/>
          </w:tcPr>
          <w:p>
            <w:pPr>
              <w:spacing w:after="0"/>
              <w:rPr>
                <w:sz w:val="10"/>
                <w:szCs w:val="10"/>
                <w:color w:val="auto"/>
              </w:rPr>
            </w:pPr>
          </w:p>
        </w:tc>
        <w:tc>
          <w:tcPr>
            <w:tcW w:w="3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220" w:type="dxa"/>
            <w:vAlign w:val="bottom"/>
          </w:tcPr>
          <w:p>
            <w:pPr>
              <w:jc w:val="right"/>
              <w:ind w:right="1307"/>
              <w:spacing w:after="0"/>
              <w:rPr>
                <w:sz w:val="20"/>
                <w:szCs w:val="20"/>
                <w:color w:val="auto"/>
              </w:rPr>
            </w:pPr>
            <w:r>
              <w:rPr>
                <w:rFonts w:ascii="Arial" w:cs="Arial" w:eastAsia="Arial" w:hAnsi="Arial"/>
                <w:sz w:val="31"/>
                <w:szCs w:val="31"/>
                <w:color w:val="6698C2"/>
              </w:rPr>
              <w:t>2007</w:t>
            </w:r>
          </w:p>
        </w:tc>
        <w:tc>
          <w:tcPr>
            <w:tcW w:w="3720" w:type="dxa"/>
            <w:vAlign w:val="bottom"/>
            <w:vMerge w:val="restart"/>
          </w:tcPr>
          <w:p>
            <w:pPr>
              <w:jc w:val="right"/>
              <w:spacing w:after="0"/>
              <w:rPr>
                <w:sz w:val="20"/>
                <w:szCs w:val="20"/>
                <w:color w:val="auto"/>
              </w:rPr>
            </w:pPr>
            <w:r>
              <w:rPr>
                <w:rFonts w:ascii="Arial" w:cs="Arial" w:eastAsia="Arial" w:hAnsi="Arial"/>
                <w:sz w:val="23"/>
                <w:szCs w:val="23"/>
                <w:color w:val="auto"/>
              </w:rPr>
              <w:t>15.6%</w:t>
            </w:r>
          </w:p>
        </w:tc>
        <w:tc>
          <w:tcPr>
            <w:tcW w:w="0" w:type="dxa"/>
            <w:vAlign w:val="bottom"/>
          </w:tcPr>
          <w:p>
            <w:pPr>
              <w:spacing w:after="0"/>
              <w:rPr>
                <w:sz w:val="1"/>
                <w:szCs w:val="1"/>
                <w:color w:val="auto"/>
              </w:rPr>
            </w:pPr>
          </w:p>
        </w:tc>
      </w:tr>
      <w:tr>
        <w:trPr>
          <w:trHeight w:val="171"/>
        </w:trPr>
        <w:tc>
          <w:tcPr>
            <w:tcW w:w="2220" w:type="dxa"/>
            <w:vAlign w:val="bottom"/>
            <w:vMerge w:val="restart"/>
          </w:tcPr>
          <w:p>
            <w:pPr>
              <w:jc w:val="right"/>
              <w:ind w:right="1247"/>
              <w:spacing w:after="0"/>
              <w:rPr>
                <w:sz w:val="20"/>
                <w:szCs w:val="20"/>
                <w:color w:val="auto"/>
              </w:rPr>
            </w:pPr>
            <w:r>
              <w:rPr>
                <w:rFonts w:ascii="Arial" w:cs="Arial" w:eastAsia="Arial" w:hAnsi="Arial"/>
                <w:sz w:val="31"/>
                <w:szCs w:val="31"/>
                <w:color w:val="6698C2"/>
              </w:rPr>
              <w:t>2006</w:t>
            </w:r>
          </w:p>
        </w:tc>
        <w:tc>
          <w:tcPr>
            <w:tcW w:w="3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2220" w:type="dxa"/>
            <w:vAlign w:val="bottom"/>
            <w:vMerge w:val="continue"/>
          </w:tcPr>
          <w:p>
            <w:pPr>
              <w:spacing w:after="0"/>
              <w:rPr>
                <w:sz w:val="24"/>
                <w:szCs w:val="24"/>
                <w:color w:val="auto"/>
              </w:rPr>
            </w:pPr>
          </w:p>
        </w:tc>
        <w:tc>
          <w:tcPr>
            <w:tcW w:w="3720" w:type="dxa"/>
            <w:vAlign w:val="bottom"/>
            <w:vMerge w:val="restart"/>
          </w:tcPr>
          <w:p>
            <w:pPr>
              <w:jc w:val="right"/>
              <w:ind w:right="745"/>
              <w:spacing w:after="0"/>
              <w:rPr>
                <w:sz w:val="20"/>
                <w:szCs w:val="20"/>
                <w:color w:val="auto"/>
              </w:rPr>
            </w:pPr>
            <w:r>
              <w:rPr>
                <w:rFonts w:ascii="Arial" w:cs="Arial" w:eastAsia="Arial" w:hAnsi="Arial"/>
                <w:sz w:val="23"/>
                <w:szCs w:val="23"/>
                <w:color w:val="auto"/>
              </w:rPr>
              <w:t>13.3%</w:t>
            </w:r>
          </w:p>
        </w:tc>
        <w:tc>
          <w:tcPr>
            <w:tcW w:w="0" w:type="dxa"/>
            <w:vAlign w:val="bottom"/>
          </w:tcPr>
          <w:p>
            <w:pPr>
              <w:spacing w:after="0"/>
              <w:rPr>
                <w:sz w:val="1"/>
                <w:szCs w:val="1"/>
                <w:color w:val="auto"/>
              </w:rPr>
            </w:pPr>
          </w:p>
        </w:tc>
      </w:tr>
      <w:tr>
        <w:trPr>
          <w:trHeight w:val="160"/>
        </w:trPr>
        <w:tc>
          <w:tcPr>
            <w:tcW w:w="2220" w:type="dxa"/>
            <w:vAlign w:val="bottom"/>
            <w:vMerge w:val="restart"/>
          </w:tcPr>
          <w:p>
            <w:pPr>
              <w:jc w:val="right"/>
              <w:ind w:right="1167"/>
              <w:spacing w:after="0"/>
              <w:rPr>
                <w:sz w:val="20"/>
                <w:szCs w:val="20"/>
                <w:color w:val="auto"/>
              </w:rPr>
            </w:pPr>
            <w:r>
              <w:rPr>
                <w:rFonts w:ascii="Arial" w:cs="Arial" w:eastAsia="Arial" w:hAnsi="Arial"/>
                <w:sz w:val="31"/>
                <w:szCs w:val="31"/>
                <w:color w:val="7EA190"/>
              </w:rPr>
              <w:t>2005</w:t>
            </w:r>
          </w:p>
        </w:tc>
        <w:tc>
          <w:tcPr>
            <w:tcW w:w="3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7"/>
        </w:trPr>
        <w:tc>
          <w:tcPr>
            <w:tcW w:w="2220" w:type="dxa"/>
            <w:vAlign w:val="bottom"/>
            <w:vMerge w:val="continue"/>
          </w:tcPr>
          <w:p>
            <w:pPr>
              <w:spacing w:after="0"/>
              <w:rPr>
                <w:sz w:val="24"/>
                <w:szCs w:val="24"/>
                <w:color w:val="auto"/>
              </w:rPr>
            </w:pPr>
          </w:p>
        </w:tc>
        <w:tc>
          <w:tcPr>
            <w:tcW w:w="3720" w:type="dxa"/>
            <w:vAlign w:val="bottom"/>
            <w:vMerge w:val="restart"/>
          </w:tcPr>
          <w:p>
            <w:pPr>
              <w:jc w:val="right"/>
              <w:ind w:right="1325"/>
              <w:spacing w:after="0"/>
              <w:rPr>
                <w:sz w:val="20"/>
                <w:szCs w:val="20"/>
                <w:color w:val="auto"/>
              </w:rPr>
            </w:pPr>
            <w:r>
              <w:rPr>
                <w:rFonts w:ascii="Arial" w:cs="Arial" w:eastAsia="Arial" w:hAnsi="Arial"/>
                <w:sz w:val="23"/>
                <w:szCs w:val="23"/>
                <w:color w:val="auto"/>
              </w:rPr>
              <w:t>11.4%</w:t>
            </w:r>
          </w:p>
        </w:tc>
        <w:tc>
          <w:tcPr>
            <w:tcW w:w="0" w:type="dxa"/>
            <w:vAlign w:val="bottom"/>
          </w:tcPr>
          <w:p>
            <w:pPr>
              <w:spacing w:after="0"/>
              <w:rPr>
                <w:sz w:val="1"/>
                <w:szCs w:val="1"/>
                <w:color w:val="auto"/>
              </w:rPr>
            </w:pPr>
          </w:p>
        </w:tc>
      </w:tr>
      <w:tr>
        <w:trPr>
          <w:trHeight w:val="125"/>
        </w:trPr>
        <w:tc>
          <w:tcPr>
            <w:tcW w:w="2220" w:type="dxa"/>
            <w:vAlign w:val="bottom"/>
            <w:vMerge w:val="restart"/>
          </w:tcPr>
          <w:p>
            <w:pPr>
              <w:jc w:val="right"/>
              <w:ind w:right="1127"/>
              <w:spacing w:after="0"/>
              <w:rPr>
                <w:sz w:val="20"/>
                <w:szCs w:val="20"/>
                <w:color w:val="auto"/>
              </w:rPr>
            </w:pPr>
            <w:r>
              <w:rPr>
                <w:rFonts w:ascii="Arial" w:cs="Arial" w:eastAsia="Arial" w:hAnsi="Arial"/>
                <w:sz w:val="31"/>
                <w:szCs w:val="31"/>
                <w:color w:val="C8504F"/>
              </w:rPr>
              <w:t>2004</w:t>
            </w:r>
          </w:p>
        </w:tc>
        <w:tc>
          <w:tcPr>
            <w:tcW w:w="3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4"/>
        </w:trPr>
        <w:tc>
          <w:tcPr>
            <w:tcW w:w="2220" w:type="dxa"/>
            <w:vAlign w:val="bottom"/>
            <w:vMerge w:val="continue"/>
          </w:tcPr>
          <w:p>
            <w:pPr>
              <w:spacing w:after="0"/>
              <w:rPr>
                <w:sz w:val="24"/>
                <w:szCs w:val="24"/>
                <w:color w:val="auto"/>
              </w:rPr>
            </w:pPr>
          </w:p>
        </w:tc>
        <w:tc>
          <w:tcPr>
            <w:tcW w:w="3720" w:type="dxa"/>
            <w:vAlign w:val="bottom"/>
            <w:vMerge w:val="restart"/>
          </w:tcPr>
          <w:p>
            <w:pPr>
              <w:jc w:val="right"/>
              <w:ind w:right="1485"/>
              <w:spacing w:after="0"/>
              <w:rPr>
                <w:sz w:val="20"/>
                <w:szCs w:val="20"/>
                <w:color w:val="auto"/>
              </w:rPr>
            </w:pPr>
            <w:r>
              <w:rPr>
                <w:rFonts w:ascii="Arial" w:cs="Arial" w:eastAsia="Arial" w:hAnsi="Arial"/>
                <w:sz w:val="23"/>
                <w:szCs w:val="23"/>
                <w:color w:val="auto"/>
              </w:rPr>
              <w:t>10.9%</w:t>
            </w:r>
          </w:p>
        </w:tc>
        <w:tc>
          <w:tcPr>
            <w:tcW w:w="0" w:type="dxa"/>
            <w:vAlign w:val="bottom"/>
          </w:tcPr>
          <w:p>
            <w:pPr>
              <w:spacing w:after="0"/>
              <w:rPr>
                <w:sz w:val="1"/>
                <w:szCs w:val="1"/>
                <w:color w:val="auto"/>
              </w:rPr>
            </w:pPr>
          </w:p>
        </w:tc>
      </w:tr>
      <w:tr>
        <w:trPr>
          <w:trHeight w:val="160"/>
        </w:trPr>
        <w:tc>
          <w:tcPr>
            <w:tcW w:w="2220" w:type="dxa"/>
            <w:vAlign w:val="bottom"/>
            <w:vMerge w:val="restart"/>
          </w:tcPr>
          <w:p>
            <w:pPr>
              <w:jc w:val="right"/>
              <w:ind w:right="1067"/>
              <w:spacing w:after="0"/>
              <w:rPr>
                <w:sz w:val="20"/>
                <w:szCs w:val="20"/>
                <w:color w:val="auto"/>
              </w:rPr>
            </w:pPr>
            <w:r>
              <w:rPr>
                <w:rFonts w:ascii="Arial" w:cs="Arial" w:eastAsia="Arial" w:hAnsi="Arial"/>
                <w:sz w:val="31"/>
                <w:szCs w:val="31"/>
                <w:color w:val="D47C18"/>
              </w:rPr>
              <w:t>2003</w:t>
            </w:r>
          </w:p>
        </w:tc>
        <w:tc>
          <w:tcPr>
            <w:tcW w:w="3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220" w:type="dxa"/>
            <w:vAlign w:val="bottom"/>
            <w:vMerge w:val="continue"/>
          </w:tcPr>
          <w:p>
            <w:pPr>
              <w:spacing w:after="0"/>
              <w:rPr>
                <w:sz w:val="24"/>
                <w:szCs w:val="24"/>
                <w:color w:val="auto"/>
              </w:rPr>
            </w:pPr>
          </w:p>
        </w:tc>
        <w:tc>
          <w:tcPr>
            <w:tcW w:w="3720" w:type="dxa"/>
            <w:vAlign w:val="bottom"/>
            <w:vMerge w:val="restart"/>
          </w:tcPr>
          <w:p>
            <w:pPr>
              <w:jc w:val="right"/>
              <w:ind w:right="1865"/>
              <w:spacing w:after="0"/>
              <w:rPr>
                <w:sz w:val="20"/>
                <w:szCs w:val="20"/>
                <w:color w:val="auto"/>
              </w:rPr>
            </w:pPr>
            <w:r>
              <w:rPr>
                <w:rFonts w:ascii="Arial" w:cs="Arial" w:eastAsia="Arial" w:hAnsi="Arial"/>
                <w:sz w:val="23"/>
                <w:szCs w:val="23"/>
                <w:color w:val="auto"/>
              </w:rPr>
              <w:t>9.8%</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3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Arial" w:cs="Arial" w:eastAsia="Arial" w:hAnsi="Arial"/>
          <w:sz w:val="17"/>
          <w:szCs w:val="17"/>
          <w:color w:val="FFFFFF"/>
        </w:rPr>
        <w:t>February 22 2010</w:t>
      </w:r>
    </w:p>
    <w:p>
      <w:pPr>
        <w:spacing w:after="0" w:line="5909" w:lineRule="exact"/>
        <w:rPr>
          <w:sz w:val="20"/>
          <w:szCs w:val="20"/>
          <w:color w:val="auto"/>
        </w:rPr>
      </w:pPr>
    </w:p>
    <w:p>
      <w:pPr>
        <w:sectPr>
          <w:pgSz w:w="11900" w:h="16838" w:orient="portrait"/>
          <w:cols w:equalWidth="0" w:num="2">
            <w:col w:w="7640" w:space="720"/>
            <w:col w:w="1460"/>
          </w:cols>
          <w:pgMar w:left="1120" w:top="474" w:right="959" w:bottom="1440" w:gutter="0" w:footer="0" w:header="0"/>
        </w:sectPr>
      </w:pPr>
    </w:p>
    <w:p>
      <w:pPr>
        <w:spacing w:after="0" w:line="343" w:lineRule="exact"/>
        <w:rPr>
          <w:sz w:val="20"/>
          <w:szCs w:val="20"/>
          <w:color w:val="auto"/>
        </w:rPr>
      </w:pPr>
    </w:p>
    <w:p>
      <w:pPr>
        <w:ind w:left="1240" w:right="1780" w:hanging="140"/>
        <w:spacing w:after="0" w:line="242" w:lineRule="auto"/>
        <w:tabs>
          <w:tab w:leader="none" w:pos="1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Return on Invested Capital is defined as operating profit after tax divided by the average monthly total of net debt (total debt less cash and cash equivalents) and equity for the year, and is further explained on our website. 2009, 2008 and 2007 exclude non-recurring items as detailed in our earnings 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920115</wp:posOffset>
            </wp:positionV>
            <wp:extent cx="727265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9820"/>
          </w:cols>
          <w:pgMar w:left="1120" w:top="474" w:right="959" w:bottom="1440" w:gutter="0" w:footer="0" w:header="0"/>
          <w:type w:val="continuous"/>
        </w:sectPr>
      </w:pPr>
    </w:p>
    <w:bookmarkStart w:id="22" w:name="page23"/>
    <w:bookmarkEnd w:id="22"/>
    <w:tbl>
      <w:tblPr>
        <w:tblLayout w:type="fixed"/>
        <w:tblInd w:w="110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4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480" w:type="dxa"/>
            <w:vAlign w:val="bottom"/>
          </w:tcPr>
          <w:p>
            <w:pPr>
              <w:jc w:val="right"/>
              <w:spacing w:after="0"/>
              <w:rPr>
                <w:sz w:val="20"/>
                <w:szCs w:val="20"/>
                <w:color w:val="auto"/>
              </w:rPr>
            </w:pPr>
            <w:r>
              <w:rPr>
                <w:rFonts w:ascii="Arial" w:cs="Arial" w:eastAsia="Arial" w:hAnsi="Arial"/>
                <w:sz w:val="17"/>
                <w:szCs w:val="17"/>
                <w:color w:val="FFFFFF"/>
              </w:rPr>
              <w:t>23</w:t>
            </w:r>
          </w:p>
        </w:tc>
      </w:tr>
      <w:tr>
        <w:trPr>
          <w:trHeight w:val="202"/>
        </w:trPr>
        <w:tc>
          <w:tcPr>
            <w:tcW w:w="4960" w:type="dxa"/>
            <w:vAlign w:val="bottom"/>
          </w:tcPr>
          <w:p>
            <w:pPr>
              <w:spacing w:after="0"/>
              <w:rPr>
                <w:sz w:val="17"/>
                <w:szCs w:val="17"/>
                <w:color w:val="auto"/>
              </w:rPr>
            </w:pPr>
          </w:p>
        </w:tc>
        <w:tc>
          <w:tcPr>
            <w:tcW w:w="3140" w:type="dxa"/>
            <w:vAlign w:val="bottom"/>
          </w:tcPr>
          <w:p>
            <w:pPr>
              <w:ind w:left="216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spacing w:after="0"/>
        <w:rPr>
          <w:sz w:val="20"/>
          <w:szCs w:val="20"/>
          <w:color w:val="auto"/>
        </w:rPr>
      </w:pPr>
      <w:r>
        <w:rPr>
          <w:rFonts w:ascii="Arial" w:cs="Arial" w:eastAsia="Arial" w:hAnsi="Arial"/>
          <w:sz w:val="46"/>
          <w:szCs w:val="46"/>
          <w:color w:val="5F81AA"/>
        </w:rPr>
        <w:t>Financial Targets</w:t>
      </w:r>
    </w:p>
    <w:p>
      <w:pPr>
        <w:sectPr>
          <w:pgSz w:w="11900" w:h="16838" w:orient="portrait"/>
          <w:cols w:equalWidth="0" w:num="1">
            <w:col w:w="9680"/>
          </w:cols>
          <w:pgMar w:left="1260" w:top="446" w:right="959" w:bottom="1440" w:gutter="0" w:footer="0" w:header="0"/>
        </w:sectPr>
      </w:pPr>
    </w:p>
    <w:tbl>
      <w:tblPr>
        <w:tblLayout w:type="fixed"/>
        <w:tblInd w:w="1100" w:type="dxa"/>
        <w:tblCellMar>
          <w:top w:w="0" w:type="dxa"/>
          <w:left w:w="0" w:type="dxa"/>
          <w:bottom w:w="0" w:type="dxa"/>
          <w:right w:w="0" w:type="dxa"/>
        </w:tblCellMar>
      </w:tblPr>
      <w:tr>
        <w:trPr>
          <w:trHeight w:val="1145"/>
        </w:trPr>
        <w:tc>
          <w:tcPr>
            <w:tcW w:w="1200" w:type="dxa"/>
            <w:vAlign w:val="bottom"/>
          </w:tcPr>
          <w:p>
            <w:pPr>
              <w:jc w:val="center"/>
              <w:spacing w:after="0"/>
              <w:rPr>
                <w:sz w:val="20"/>
                <w:szCs w:val="20"/>
                <w:color w:val="auto"/>
              </w:rPr>
            </w:pPr>
            <w:r>
              <w:rPr>
                <w:rFonts w:ascii="Arial" w:cs="Arial" w:eastAsia="Arial" w:hAnsi="Arial"/>
                <w:sz w:val="28"/>
                <w:szCs w:val="28"/>
                <w:b w:val="1"/>
                <w:bCs w:val="1"/>
                <w:color w:val="FFFFFF"/>
                <w:w w:val="97"/>
              </w:rPr>
              <w:t>Revenue</w:t>
            </w:r>
          </w:p>
        </w:tc>
        <w:tc>
          <w:tcPr>
            <w:tcW w:w="800" w:type="dxa"/>
            <w:vAlign w:val="bottom"/>
          </w:tcPr>
          <w:p>
            <w:pPr>
              <w:jc w:val="right"/>
              <w:spacing w:after="0" w:line="1139" w:lineRule="exact"/>
              <w:rPr>
                <w:sz w:val="20"/>
                <w:szCs w:val="20"/>
                <w:color w:val="auto"/>
              </w:rPr>
            </w:pPr>
            <w:r>
              <w:rPr>
                <w:rFonts w:ascii="Arial" w:cs="Arial" w:eastAsia="Arial" w:hAnsi="Arial"/>
                <w:sz w:val="110"/>
                <w:szCs w:val="110"/>
                <w:b w:val="1"/>
                <w:bCs w:val="1"/>
                <w:color w:val="FFFFFF"/>
              </w:rPr>
              <w:t>&gt;</w:t>
            </w:r>
          </w:p>
        </w:tc>
        <w:tc>
          <w:tcPr>
            <w:tcW w:w="1340" w:type="dxa"/>
            <w:vAlign w:val="bottom"/>
            <w:vMerge w:val="restart"/>
          </w:tcPr>
          <w:p>
            <w:pPr>
              <w:ind w:left="80"/>
              <w:spacing w:after="0"/>
              <w:rPr>
                <w:sz w:val="20"/>
                <w:szCs w:val="20"/>
                <w:color w:val="auto"/>
              </w:rPr>
            </w:pPr>
            <w:r>
              <w:rPr>
                <w:rFonts w:ascii="Arial" w:cs="Arial" w:eastAsia="Arial" w:hAnsi="Arial"/>
                <w:sz w:val="28"/>
                <w:szCs w:val="28"/>
                <w:color w:val="FFFFFF"/>
              </w:rPr>
              <w:t>Market</w:t>
            </w:r>
          </w:p>
        </w:tc>
        <w:tc>
          <w:tcPr>
            <w:tcW w:w="1500" w:type="dxa"/>
            <w:vAlign w:val="bottom"/>
          </w:tcPr>
          <w:p>
            <w:pPr>
              <w:jc w:val="center"/>
              <w:ind w:left="282"/>
              <w:spacing w:after="0"/>
              <w:rPr>
                <w:sz w:val="20"/>
                <w:szCs w:val="20"/>
                <w:color w:val="auto"/>
              </w:rPr>
            </w:pPr>
            <w:r>
              <w:rPr>
                <w:rFonts w:ascii="Arial" w:cs="Arial" w:eastAsia="Arial" w:hAnsi="Arial"/>
                <w:sz w:val="28"/>
                <w:szCs w:val="28"/>
                <w:color w:val="FFFFFF"/>
                <w:w w:val="97"/>
              </w:rPr>
              <w:t>SG&amp;A</w:t>
            </w:r>
          </w:p>
        </w:tc>
        <w:tc>
          <w:tcPr>
            <w:tcW w:w="0" w:type="dxa"/>
            <w:vAlign w:val="bottom"/>
          </w:tcPr>
          <w:p>
            <w:pPr>
              <w:spacing w:after="0"/>
              <w:rPr>
                <w:sz w:val="1"/>
                <w:szCs w:val="1"/>
                <w:color w:val="auto"/>
              </w:rPr>
            </w:pPr>
          </w:p>
        </w:tc>
      </w:tr>
      <w:tr>
        <w:trPr>
          <w:trHeight w:val="216"/>
        </w:trPr>
        <w:tc>
          <w:tcPr>
            <w:tcW w:w="1200" w:type="dxa"/>
            <w:vAlign w:val="bottom"/>
            <w:vMerge w:val="restart"/>
          </w:tcPr>
          <w:p>
            <w:pPr>
              <w:jc w:val="center"/>
              <w:spacing w:after="0"/>
              <w:rPr>
                <w:sz w:val="20"/>
                <w:szCs w:val="20"/>
                <w:color w:val="auto"/>
              </w:rPr>
            </w:pPr>
            <w:r>
              <w:rPr>
                <w:rFonts w:ascii="Arial" w:cs="Arial" w:eastAsia="Arial" w:hAnsi="Arial"/>
                <w:sz w:val="28"/>
                <w:szCs w:val="28"/>
                <w:b w:val="1"/>
                <w:bCs w:val="1"/>
                <w:color w:val="FFFFFF"/>
                <w:w w:val="99"/>
              </w:rPr>
              <w:t>Growth</w:t>
            </w:r>
          </w:p>
        </w:tc>
        <w:tc>
          <w:tcPr>
            <w:tcW w:w="8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500" w:type="dxa"/>
            <w:vAlign w:val="bottom"/>
            <w:vMerge w:val="restart"/>
          </w:tcPr>
          <w:p>
            <w:pPr>
              <w:jc w:val="center"/>
              <w:ind w:left="282"/>
              <w:spacing w:after="0"/>
              <w:rPr>
                <w:sz w:val="20"/>
                <w:szCs w:val="20"/>
                <w:color w:val="auto"/>
              </w:rPr>
            </w:pPr>
            <w:r>
              <w:rPr>
                <w:rFonts w:ascii="Arial" w:cs="Arial" w:eastAsia="Arial" w:hAnsi="Arial"/>
                <w:sz w:val="28"/>
                <w:szCs w:val="28"/>
                <w:color w:val="FFFFFF"/>
                <w:w w:val="99"/>
              </w:rPr>
              <w:t>Expense</w:t>
            </w:r>
          </w:p>
        </w:tc>
        <w:tc>
          <w:tcPr>
            <w:tcW w:w="0" w:type="dxa"/>
            <w:vAlign w:val="bottom"/>
          </w:tcPr>
          <w:p>
            <w:pPr>
              <w:spacing w:after="0"/>
              <w:rPr>
                <w:sz w:val="1"/>
                <w:szCs w:val="1"/>
                <w:color w:val="auto"/>
              </w:rPr>
            </w:pPr>
          </w:p>
        </w:tc>
      </w:tr>
      <w:tr>
        <w:trPr>
          <w:trHeight w:val="195"/>
        </w:trPr>
        <w:tc>
          <w:tcPr>
            <w:tcW w:w="120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020" w:type="dxa"/>
        <w:tblCellMar>
          <w:top w:w="0" w:type="dxa"/>
          <w:left w:w="0" w:type="dxa"/>
          <w:bottom w:w="0" w:type="dxa"/>
          <w:right w:w="0" w:type="dxa"/>
        </w:tblCellMar>
      </w:tblPr>
      <w:tr>
        <w:trPr>
          <w:trHeight w:val="556"/>
        </w:trPr>
        <w:tc>
          <w:tcPr>
            <w:tcW w:w="1340" w:type="dxa"/>
            <w:vAlign w:val="bottom"/>
          </w:tcPr>
          <w:p>
            <w:pPr>
              <w:jc w:val="center"/>
              <w:spacing w:after="0"/>
              <w:rPr>
                <w:sz w:val="20"/>
                <w:szCs w:val="20"/>
                <w:color w:val="auto"/>
              </w:rPr>
            </w:pPr>
            <w:r>
              <w:rPr>
                <w:rFonts w:ascii="Arial" w:cs="Arial" w:eastAsia="Arial" w:hAnsi="Arial"/>
                <w:sz w:val="28"/>
                <w:szCs w:val="28"/>
                <w:b w:val="1"/>
                <w:bCs w:val="1"/>
                <w:color w:val="FFFFFF"/>
                <w:w w:val="99"/>
              </w:rPr>
              <w:t>Operating</w:t>
            </w:r>
          </w:p>
        </w:tc>
        <w:tc>
          <w:tcPr>
            <w:tcW w:w="840" w:type="dxa"/>
            <w:vAlign w:val="bottom"/>
            <w:vMerge w:val="restart"/>
          </w:tcPr>
          <w:p>
            <w:pPr>
              <w:jc w:val="right"/>
              <w:spacing w:after="0"/>
              <w:rPr>
                <w:sz w:val="20"/>
                <w:szCs w:val="20"/>
                <w:color w:val="auto"/>
              </w:rPr>
            </w:pPr>
            <w:r>
              <w:rPr>
                <w:rFonts w:ascii="Arial" w:cs="Arial" w:eastAsia="Arial" w:hAnsi="Arial"/>
                <w:sz w:val="110"/>
                <w:szCs w:val="110"/>
                <w:b w:val="1"/>
                <w:bCs w:val="1"/>
                <w:color w:val="FFFFFF"/>
              </w:rPr>
              <w:t>&gt;</w:t>
            </w:r>
          </w:p>
        </w:tc>
        <w:tc>
          <w:tcPr>
            <w:tcW w:w="1220" w:type="dxa"/>
            <w:vAlign w:val="bottom"/>
          </w:tcPr>
          <w:p>
            <w:pPr>
              <w:spacing w:after="0"/>
              <w:rPr>
                <w:sz w:val="24"/>
                <w:szCs w:val="24"/>
                <w:color w:val="auto"/>
              </w:rPr>
            </w:pPr>
          </w:p>
        </w:tc>
        <w:tc>
          <w:tcPr>
            <w:tcW w:w="1600" w:type="dxa"/>
            <w:vAlign w:val="bottom"/>
            <w:vMerge w:val="restart"/>
          </w:tcPr>
          <w:p>
            <w:pPr>
              <w:jc w:val="center"/>
              <w:ind w:left="482"/>
              <w:spacing w:after="0"/>
              <w:rPr>
                <w:sz w:val="20"/>
                <w:szCs w:val="20"/>
                <w:color w:val="auto"/>
              </w:rPr>
            </w:pPr>
            <w:r>
              <w:rPr>
                <w:rFonts w:ascii="Arial" w:cs="Arial" w:eastAsia="Arial" w:hAnsi="Arial"/>
                <w:sz w:val="28"/>
                <w:szCs w:val="28"/>
                <w:b w:val="1"/>
                <w:bCs w:val="1"/>
                <w:color w:val="FFFFFF"/>
                <w:w w:val="96"/>
              </w:rPr>
              <w:t>EPS</w:t>
            </w:r>
          </w:p>
        </w:tc>
        <w:tc>
          <w:tcPr>
            <w:tcW w:w="0" w:type="dxa"/>
            <w:vAlign w:val="bottom"/>
          </w:tcPr>
          <w:p>
            <w:pPr>
              <w:spacing w:after="0"/>
              <w:rPr>
                <w:sz w:val="1"/>
                <w:szCs w:val="1"/>
                <w:color w:val="auto"/>
              </w:rPr>
            </w:pPr>
          </w:p>
        </w:tc>
      </w:tr>
      <w:tr>
        <w:trPr>
          <w:trHeight w:val="138"/>
        </w:trPr>
        <w:tc>
          <w:tcPr>
            <w:tcW w:w="1340" w:type="dxa"/>
            <w:vAlign w:val="bottom"/>
            <w:vMerge w:val="restart"/>
          </w:tcPr>
          <w:p>
            <w:pPr>
              <w:jc w:val="center"/>
              <w:spacing w:after="0"/>
              <w:rPr>
                <w:sz w:val="20"/>
                <w:szCs w:val="20"/>
                <w:color w:val="auto"/>
              </w:rPr>
            </w:pPr>
            <w:r>
              <w:rPr>
                <w:rFonts w:ascii="Arial" w:cs="Arial" w:eastAsia="Arial" w:hAnsi="Arial"/>
                <w:sz w:val="28"/>
                <w:szCs w:val="28"/>
                <w:b w:val="1"/>
                <w:bCs w:val="1"/>
                <w:color w:val="FFFFFF"/>
                <w:w w:val="98"/>
              </w:rPr>
              <w:t>Profit</w:t>
            </w:r>
          </w:p>
        </w:tc>
        <w:tc>
          <w:tcPr>
            <w:tcW w:w="840" w:type="dxa"/>
            <w:vAlign w:val="bottom"/>
            <w:vMerge w:val="continue"/>
          </w:tcPr>
          <w:p>
            <w:pPr>
              <w:spacing w:after="0"/>
              <w:rPr>
                <w:sz w:val="11"/>
                <w:szCs w:val="11"/>
                <w:color w:val="auto"/>
              </w:rPr>
            </w:pPr>
          </w:p>
        </w:tc>
        <w:tc>
          <w:tcPr>
            <w:tcW w:w="1220" w:type="dxa"/>
            <w:vAlign w:val="bottom"/>
            <w:vMerge w:val="restart"/>
          </w:tcPr>
          <w:p>
            <w:pPr>
              <w:jc w:val="right"/>
              <w:ind w:right="502"/>
              <w:spacing w:after="0"/>
              <w:rPr>
                <w:sz w:val="20"/>
                <w:szCs w:val="20"/>
                <w:color w:val="auto"/>
              </w:rPr>
            </w:pPr>
            <w:r>
              <w:rPr>
                <w:rFonts w:ascii="Arial" w:cs="Arial" w:eastAsia="Arial" w:hAnsi="Arial"/>
                <w:sz w:val="28"/>
                <w:szCs w:val="28"/>
                <w:color w:val="FFFFFF"/>
              </w:rPr>
              <w:t>4%</w:t>
            </w: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3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600" w:type="dxa"/>
            <w:vAlign w:val="bottom"/>
            <w:vMerge w:val="restart"/>
          </w:tcPr>
          <w:p>
            <w:pPr>
              <w:jc w:val="center"/>
              <w:ind w:left="502"/>
              <w:spacing w:after="0"/>
              <w:rPr>
                <w:sz w:val="20"/>
                <w:szCs w:val="20"/>
                <w:color w:val="auto"/>
              </w:rPr>
            </w:pPr>
            <w:r>
              <w:rPr>
                <w:rFonts w:ascii="Arial" w:cs="Arial" w:eastAsia="Arial" w:hAnsi="Arial"/>
                <w:sz w:val="28"/>
                <w:szCs w:val="28"/>
                <w:b w:val="1"/>
                <w:bCs w:val="1"/>
                <w:color w:val="FFFFFF"/>
                <w:w w:val="97"/>
              </w:rPr>
              <w:t>Growth</w:t>
            </w:r>
          </w:p>
        </w:tc>
        <w:tc>
          <w:tcPr>
            <w:tcW w:w="0" w:type="dxa"/>
            <w:vAlign w:val="bottom"/>
          </w:tcPr>
          <w:p>
            <w:pPr>
              <w:spacing w:after="0"/>
              <w:rPr>
                <w:sz w:val="1"/>
                <w:szCs w:val="1"/>
                <w:color w:val="auto"/>
              </w:rPr>
            </w:pPr>
          </w:p>
        </w:tc>
      </w:tr>
      <w:tr>
        <w:trPr>
          <w:trHeight w:val="170"/>
        </w:trPr>
        <w:tc>
          <w:tcPr>
            <w:tcW w:w="1340" w:type="dxa"/>
            <w:vAlign w:val="bottom"/>
            <w:vMerge w:val="restart"/>
          </w:tcPr>
          <w:p>
            <w:pPr>
              <w:jc w:val="center"/>
              <w:spacing w:after="0"/>
              <w:rPr>
                <w:sz w:val="20"/>
                <w:szCs w:val="20"/>
                <w:color w:val="auto"/>
              </w:rPr>
            </w:pPr>
            <w:r>
              <w:rPr>
                <w:rFonts w:ascii="Arial" w:cs="Arial" w:eastAsia="Arial" w:hAnsi="Arial"/>
                <w:sz w:val="28"/>
                <w:szCs w:val="28"/>
                <w:b w:val="1"/>
                <w:bCs w:val="1"/>
                <w:color w:val="FFFFFF"/>
              </w:rPr>
              <w:t>Margin</w:t>
            </w:r>
          </w:p>
        </w:tc>
        <w:tc>
          <w:tcPr>
            <w:tcW w:w="8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34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10"/>
          <w:szCs w:val="110"/>
          <w:b w:val="1"/>
          <w:bCs w:val="1"/>
          <w:color w:val="FFFFFF"/>
        </w:rPr>
        <w:t>&lt;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10"/>
          <w:szCs w:val="110"/>
          <w:b w:val="1"/>
          <w:bCs w:val="1"/>
          <w:color w:val="FFFFFF"/>
        </w:rPr>
        <w:t>&gt;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FFFFFF"/>
        </w:rPr>
        <w:t>80%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FFFFFF"/>
        </w:rPr>
        <w:t>Grossof</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28"/>
          <w:szCs w:val="28"/>
          <w:b w:val="1"/>
          <w:bCs w:val="1"/>
          <w:color w:val="FFFFFF"/>
        </w:rPr>
        <w:t>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80"/>
        <w:spacing w:after="0"/>
        <w:rPr>
          <w:sz w:val="20"/>
          <w:szCs w:val="20"/>
          <w:color w:val="auto"/>
        </w:rPr>
      </w:pPr>
      <w:r>
        <w:rPr>
          <w:rFonts w:ascii="Arial" w:cs="Arial" w:eastAsia="Arial" w:hAnsi="Arial"/>
          <w:sz w:val="28"/>
          <w:szCs w:val="28"/>
          <w:color w:val="FFFFFF"/>
        </w:rPr>
        <w:t>15%</w:t>
      </w:r>
    </w:p>
    <w:p>
      <w:pPr>
        <w:spacing w:after="0" w:line="11" w:lineRule="exact"/>
        <w:rPr>
          <w:sz w:val="20"/>
          <w:szCs w:val="20"/>
          <w:color w:val="auto"/>
        </w:rPr>
      </w:pPr>
    </w:p>
    <w:p>
      <w:pPr>
        <w:spacing w:after="0"/>
        <w:rPr>
          <w:sz w:val="20"/>
          <w:szCs w:val="20"/>
          <w:color w:val="auto"/>
        </w:rPr>
      </w:pPr>
      <w:r>
        <w:rPr>
          <w:rFonts w:ascii="Arial" w:cs="Arial" w:eastAsia="Arial" w:hAnsi="Arial"/>
          <w:sz w:val="27"/>
          <w:szCs w:val="27"/>
          <w:color w:val="FFFFFF"/>
        </w:rPr>
        <w:t>Constant</w:t>
      </w:r>
    </w:p>
    <w:p>
      <w:pPr>
        <w:spacing w:after="0" w:line="23" w:lineRule="exact"/>
        <w:rPr>
          <w:sz w:val="20"/>
          <w:szCs w:val="20"/>
          <w:color w:val="auto"/>
        </w:rPr>
      </w:pPr>
    </w:p>
    <w:p>
      <w:pPr>
        <w:spacing w:after="0"/>
        <w:rPr>
          <w:sz w:val="20"/>
          <w:szCs w:val="20"/>
          <w:color w:val="auto"/>
        </w:rPr>
      </w:pPr>
      <w:r>
        <w:rPr>
          <w:rFonts w:ascii="Arial" w:cs="Arial" w:eastAsia="Arial" w:hAnsi="Arial"/>
          <w:sz w:val="27"/>
          <w:szCs w:val="27"/>
          <w:color w:val="FFFFFF"/>
        </w:rPr>
        <w:t>Currency</w:t>
      </w:r>
    </w:p>
    <w:p>
      <w:pPr>
        <w:spacing w:after="0" w:line="436" w:lineRule="exact"/>
        <w:rPr>
          <w:sz w:val="20"/>
          <w:szCs w:val="20"/>
          <w:color w:val="auto"/>
        </w:rPr>
      </w:pPr>
    </w:p>
    <w:p>
      <w:pPr>
        <w:sectPr>
          <w:pgSz w:w="11900" w:h="16838" w:orient="portrait"/>
          <w:cols w:equalWidth="0" w:num="3">
            <w:col w:w="6020" w:space="60"/>
            <w:col w:w="780" w:space="120"/>
            <w:col w:w="2700"/>
          </w:cols>
          <w:pgMar w:left="1260" w:top="446" w:right="959" w:bottom="1440" w:gutter="0" w:footer="0" w:header="0"/>
          <w:type w:val="continuous"/>
        </w:sectPr>
      </w:pPr>
    </w:p>
    <w:p>
      <w:pPr>
        <w:spacing w:after="0" w:line="260" w:lineRule="exact"/>
        <w:rPr>
          <w:sz w:val="20"/>
          <w:szCs w:val="20"/>
          <w:color w:val="auto"/>
        </w:rPr>
      </w:pPr>
    </w:p>
    <w:p>
      <w:pPr>
        <w:ind w:left="3380"/>
        <w:spacing w:after="0"/>
        <w:tabs>
          <w:tab w:leader="none" w:pos="4400" w:val="left"/>
        </w:tabs>
        <w:rPr>
          <w:sz w:val="20"/>
          <w:szCs w:val="20"/>
          <w:color w:val="auto"/>
        </w:rPr>
      </w:pPr>
      <w:r>
        <w:rPr>
          <w:rFonts w:ascii="Arial" w:cs="Arial" w:eastAsia="Arial" w:hAnsi="Arial"/>
          <w:sz w:val="27"/>
          <w:szCs w:val="27"/>
          <w:b w:val="1"/>
          <w:bCs w:val="1"/>
          <w:color w:val="FFFFFF"/>
        </w:rPr>
        <w:t>ROIC</w:t>
      </w:r>
      <w:r>
        <w:rPr>
          <w:sz w:val="20"/>
          <w:szCs w:val="20"/>
          <w:color w:val="auto"/>
        </w:rPr>
        <w:tab/>
      </w:r>
      <w:r>
        <w:rPr>
          <w:rFonts w:ascii="Arial" w:cs="Arial" w:eastAsia="Arial" w:hAnsi="Arial"/>
          <w:sz w:val="108"/>
          <w:szCs w:val="108"/>
          <w:b w:val="1"/>
          <w:bCs w:val="1"/>
          <w:color w:val="FFFFFF"/>
        </w:rPr>
        <w:t xml:space="preserve">&gt; </w:t>
      </w:r>
      <w:r>
        <w:rPr>
          <w:rFonts w:ascii="Arial" w:cs="Arial" w:eastAsia="Arial" w:hAnsi="Arial"/>
          <w:sz w:val="27"/>
          <w:szCs w:val="27"/>
          <w:color w:val="FFFFF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1011555</wp:posOffset>
            </wp:positionV>
            <wp:extent cx="727265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9680"/>
          </w:cols>
          <w:pgMar w:left="1260" w:top="446" w:right="959" w:bottom="1440" w:gutter="0" w:footer="0" w:header="0"/>
          <w:type w:val="continuous"/>
        </w:sectPr>
      </w:pPr>
    </w:p>
    <w:bookmarkStart w:id="23" w:name="page24"/>
    <w:bookmarkEnd w:id="23"/>
    <w:tbl>
      <w:tblPr>
        <w:tblLayout w:type="fixed"/>
        <w:tblInd w:w="106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21"/>
                <w:szCs w:val="21"/>
                <w:color w:val="FFFFFF"/>
              </w:rPr>
              <w:t>Manpower Inc. (NYSE: MAN)</w:t>
            </w:r>
          </w:p>
        </w:tc>
        <w:tc>
          <w:tcPr>
            <w:tcW w:w="3140" w:type="dxa"/>
            <w:vAlign w:val="bottom"/>
          </w:tcPr>
          <w:p>
            <w:pPr>
              <w:ind w:left="2160"/>
              <w:spacing w:after="0"/>
              <w:rPr>
                <w:sz w:val="20"/>
                <w:szCs w:val="20"/>
                <w:color w:val="auto"/>
              </w:rPr>
            </w:pPr>
            <w:r>
              <w:rPr>
                <w:rFonts w:ascii="Arial" w:cs="Arial" w:eastAsia="Arial" w:hAnsi="Arial"/>
                <w:sz w:val="17"/>
                <w:szCs w:val="17"/>
                <w:color w:val="FFFFFF"/>
              </w:rPr>
              <w:t>February</w:t>
            </w:r>
          </w:p>
        </w:tc>
        <w:tc>
          <w:tcPr>
            <w:tcW w:w="480" w:type="dxa"/>
            <w:vAlign w:val="bottom"/>
          </w:tcPr>
          <w:p>
            <w:pPr>
              <w:jc w:val="right"/>
              <w:spacing w:after="0"/>
              <w:rPr>
                <w:sz w:val="20"/>
                <w:szCs w:val="20"/>
                <w:color w:val="auto"/>
              </w:rPr>
            </w:pPr>
            <w:r>
              <w:rPr>
                <w:rFonts w:ascii="Arial" w:cs="Arial" w:eastAsia="Arial" w:hAnsi="Arial"/>
                <w:sz w:val="17"/>
                <w:szCs w:val="17"/>
                <w:color w:val="FFFFFF"/>
              </w:rPr>
              <w:t>24</w:t>
            </w:r>
          </w:p>
        </w:tc>
      </w:tr>
      <w:tr>
        <w:trPr>
          <w:trHeight w:val="202"/>
        </w:trPr>
        <w:tc>
          <w:tcPr>
            <w:tcW w:w="4960" w:type="dxa"/>
            <w:vAlign w:val="bottom"/>
          </w:tcPr>
          <w:p>
            <w:pPr>
              <w:spacing w:after="0"/>
              <w:rPr>
                <w:sz w:val="17"/>
                <w:szCs w:val="17"/>
                <w:color w:val="auto"/>
              </w:rPr>
            </w:pPr>
          </w:p>
        </w:tc>
        <w:tc>
          <w:tcPr>
            <w:tcW w:w="3140" w:type="dxa"/>
            <w:vAlign w:val="bottom"/>
          </w:tcPr>
          <w:p>
            <w:pPr>
              <w:ind w:left="2160"/>
              <w:spacing w:after="0"/>
              <w:rPr>
                <w:sz w:val="20"/>
                <w:szCs w:val="20"/>
                <w:color w:val="auto"/>
              </w:rPr>
            </w:pPr>
            <w:r>
              <w:rPr>
                <w:rFonts w:ascii="Arial" w:cs="Arial" w:eastAsia="Arial" w:hAnsi="Arial"/>
                <w:sz w:val="17"/>
                <w:szCs w:val="17"/>
                <w:color w:val="FFFFFF"/>
              </w:rPr>
              <w:t>2010</w:t>
            </w:r>
          </w:p>
        </w:tc>
        <w:tc>
          <w:tcPr>
            <w:tcW w:w="480" w:type="dxa"/>
            <w:vAlign w:val="bottom"/>
          </w:tcPr>
          <w:p>
            <w:pPr>
              <w:spacing w:after="0"/>
              <w:rPr>
                <w:sz w:val="17"/>
                <w:szCs w:val="17"/>
                <w:color w:val="auto"/>
              </w:rPr>
            </w:pPr>
          </w:p>
        </w:tc>
      </w:tr>
    </w:tbl>
    <w:p>
      <w:pPr>
        <w:spacing w:after="0" w:line="3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168910</wp:posOffset>
            </wp:positionV>
            <wp:extent cx="7004685" cy="5253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004685" cy="5253355"/>
                    </a:xfrm>
                    <a:prstGeom prst="rect">
                      <a:avLst/>
                    </a:prstGeom>
                    <a:noFill/>
                  </pic:spPr>
                </pic:pic>
              </a:graphicData>
            </a:graphic>
          </wp:anchor>
        </w:drawing>
      </w:r>
    </w:p>
    <w:p>
      <w:pPr>
        <w:spacing w:after="0"/>
        <w:rPr>
          <w:sz w:val="20"/>
          <w:szCs w:val="20"/>
          <w:color w:val="auto"/>
        </w:rPr>
      </w:pPr>
      <w:r>
        <w:rPr>
          <w:rFonts w:ascii="Arial" w:cs="Arial" w:eastAsia="Arial" w:hAnsi="Arial"/>
          <w:sz w:val="46"/>
          <w:szCs w:val="46"/>
          <w:color w:val="5F81AA"/>
        </w:rPr>
        <w:t>Strong Record of Long-Term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0" w:hanging="209"/>
        <w:spacing w:after="0"/>
        <w:tabs>
          <w:tab w:leader="none" w:pos="520" w:val="left"/>
        </w:tabs>
        <w:numPr>
          <w:ilvl w:val="0"/>
          <w:numId w:val="15"/>
        </w:numPr>
        <w:rPr>
          <w:rFonts w:ascii="Arial" w:cs="Arial" w:eastAsia="Arial" w:hAnsi="Arial"/>
          <w:sz w:val="25"/>
          <w:szCs w:val="25"/>
          <w:color w:val="auto"/>
        </w:rPr>
      </w:pPr>
      <w:r>
        <w:rPr>
          <w:rFonts w:ascii="Arial" w:cs="Arial" w:eastAsia="Arial" w:hAnsi="Arial"/>
          <w:sz w:val="25"/>
          <w:szCs w:val="25"/>
          <w:color w:val="auto"/>
        </w:rPr>
        <w:t>Balanced service portfolio</w:t>
      </w:r>
    </w:p>
    <w:p>
      <w:pPr>
        <w:spacing w:after="0" w:line="57" w:lineRule="exact"/>
        <w:rPr>
          <w:rFonts w:ascii="Arial" w:cs="Arial" w:eastAsia="Arial" w:hAnsi="Arial"/>
          <w:sz w:val="25"/>
          <w:szCs w:val="25"/>
          <w:color w:val="auto"/>
        </w:rPr>
      </w:pPr>
    </w:p>
    <w:p>
      <w:pPr>
        <w:ind w:left="520" w:hanging="209"/>
        <w:spacing w:after="0"/>
        <w:tabs>
          <w:tab w:leader="none" w:pos="520" w:val="left"/>
        </w:tabs>
        <w:numPr>
          <w:ilvl w:val="0"/>
          <w:numId w:val="15"/>
        </w:numPr>
        <w:rPr>
          <w:rFonts w:ascii="Arial" w:cs="Arial" w:eastAsia="Arial" w:hAnsi="Arial"/>
          <w:sz w:val="25"/>
          <w:szCs w:val="25"/>
          <w:color w:val="auto"/>
        </w:rPr>
      </w:pPr>
      <w:r>
        <w:rPr>
          <w:rFonts w:ascii="Arial" w:cs="Arial" w:eastAsia="Arial" w:hAnsi="Arial"/>
          <w:sz w:val="25"/>
          <w:szCs w:val="25"/>
          <w:color w:val="auto"/>
        </w:rPr>
        <w:t>Geographic diversification</w:t>
      </w:r>
    </w:p>
    <w:p>
      <w:pPr>
        <w:spacing w:after="0" w:line="68" w:lineRule="exact"/>
        <w:rPr>
          <w:rFonts w:ascii="Arial" w:cs="Arial" w:eastAsia="Arial" w:hAnsi="Arial"/>
          <w:sz w:val="25"/>
          <w:szCs w:val="25"/>
          <w:color w:val="auto"/>
        </w:rPr>
      </w:pPr>
    </w:p>
    <w:p>
      <w:pPr>
        <w:ind w:left="520" w:hanging="209"/>
        <w:spacing w:after="0"/>
        <w:tabs>
          <w:tab w:leader="none" w:pos="520" w:val="left"/>
        </w:tabs>
        <w:numPr>
          <w:ilvl w:val="0"/>
          <w:numId w:val="15"/>
        </w:numPr>
        <w:rPr>
          <w:rFonts w:ascii="Arial" w:cs="Arial" w:eastAsia="Arial" w:hAnsi="Arial"/>
          <w:sz w:val="25"/>
          <w:szCs w:val="25"/>
          <w:color w:val="auto"/>
        </w:rPr>
      </w:pPr>
      <w:r>
        <w:rPr>
          <w:rFonts w:ascii="Arial" w:cs="Arial" w:eastAsia="Arial" w:hAnsi="Arial"/>
          <w:sz w:val="25"/>
          <w:szCs w:val="25"/>
          <w:color w:val="auto"/>
        </w:rPr>
        <w:t>Well positioned for emerging market growth</w:t>
      </w:r>
    </w:p>
    <w:p>
      <w:pPr>
        <w:spacing w:after="0" w:line="68" w:lineRule="exact"/>
        <w:rPr>
          <w:rFonts w:ascii="Arial" w:cs="Arial" w:eastAsia="Arial" w:hAnsi="Arial"/>
          <w:sz w:val="25"/>
          <w:szCs w:val="25"/>
          <w:color w:val="auto"/>
        </w:rPr>
      </w:pPr>
    </w:p>
    <w:p>
      <w:pPr>
        <w:ind w:left="520" w:hanging="209"/>
        <w:spacing w:after="0"/>
        <w:tabs>
          <w:tab w:leader="none" w:pos="520" w:val="left"/>
        </w:tabs>
        <w:numPr>
          <w:ilvl w:val="0"/>
          <w:numId w:val="15"/>
        </w:numPr>
        <w:rPr>
          <w:rFonts w:ascii="Arial" w:cs="Arial" w:eastAsia="Arial" w:hAnsi="Arial"/>
          <w:sz w:val="25"/>
          <w:szCs w:val="25"/>
          <w:color w:val="auto"/>
        </w:rPr>
      </w:pPr>
      <w:r>
        <w:rPr>
          <w:rFonts w:ascii="Arial" w:cs="Arial" w:eastAsia="Arial" w:hAnsi="Arial"/>
          <w:sz w:val="25"/>
          <w:szCs w:val="25"/>
          <w:color w:val="auto"/>
        </w:rPr>
        <w:t>Clear, effective strategy</w:t>
      </w:r>
    </w:p>
    <w:p>
      <w:pPr>
        <w:spacing w:after="0" w:line="57" w:lineRule="exact"/>
        <w:rPr>
          <w:rFonts w:ascii="Arial" w:cs="Arial" w:eastAsia="Arial" w:hAnsi="Arial"/>
          <w:sz w:val="25"/>
          <w:szCs w:val="25"/>
          <w:color w:val="auto"/>
        </w:rPr>
      </w:pPr>
    </w:p>
    <w:p>
      <w:pPr>
        <w:ind w:left="520" w:hanging="209"/>
        <w:spacing w:after="0"/>
        <w:tabs>
          <w:tab w:leader="none" w:pos="520" w:val="left"/>
        </w:tabs>
        <w:numPr>
          <w:ilvl w:val="0"/>
          <w:numId w:val="15"/>
        </w:numPr>
        <w:rPr>
          <w:rFonts w:ascii="Arial" w:cs="Arial" w:eastAsia="Arial" w:hAnsi="Arial"/>
          <w:sz w:val="25"/>
          <w:szCs w:val="25"/>
          <w:color w:val="auto"/>
        </w:rPr>
      </w:pPr>
      <w:r>
        <w:rPr>
          <w:rFonts w:ascii="Arial" w:cs="Arial" w:eastAsia="Arial" w:hAnsi="Arial"/>
          <w:sz w:val="25"/>
          <w:szCs w:val="25"/>
          <w:color w:val="auto"/>
        </w:rPr>
        <w:t>Seasoned management team</w:t>
      </w:r>
    </w:p>
    <w:p>
      <w:pPr>
        <w:spacing w:after="0" w:line="68" w:lineRule="exact"/>
        <w:rPr>
          <w:rFonts w:ascii="Arial" w:cs="Arial" w:eastAsia="Arial" w:hAnsi="Arial"/>
          <w:sz w:val="25"/>
          <w:szCs w:val="25"/>
          <w:color w:val="auto"/>
        </w:rPr>
      </w:pPr>
    </w:p>
    <w:p>
      <w:pPr>
        <w:ind w:left="520" w:hanging="209"/>
        <w:spacing w:after="0"/>
        <w:tabs>
          <w:tab w:leader="none" w:pos="520" w:val="left"/>
        </w:tabs>
        <w:numPr>
          <w:ilvl w:val="0"/>
          <w:numId w:val="15"/>
        </w:numPr>
        <w:rPr>
          <w:rFonts w:ascii="Arial" w:cs="Arial" w:eastAsia="Arial" w:hAnsi="Arial"/>
          <w:sz w:val="25"/>
          <w:szCs w:val="25"/>
          <w:color w:val="auto"/>
        </w:rPr>
      </w:pPr>
      <w:r>
        <w:rPr>
          <w:rFonts w:ascii="Arial" w:cs="Arial" w:eastAsia="Arial" w:hAnsi="Arial"/>
          <w:sz w:val="25"/>
          <w:szCs w:val="25"/>
          <w:color w:val="auto"/>
        </w:rPr>
        <w:t>Industry leader with superior brand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2604135</wp:posOffset>
            </wp:positionV>
            <wp:extent cx="727265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9640"/>
          </w:cols>
          <w:pgMar w:left="1300" w:top="446" w:right="9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Additional Information</w:t>
      </w:r>
    </w:p>
    <w:p>
      <w:pPr>
        <w:spacing w:after="0" w:line="20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This presentation is being filed by Manpower Inc. pursuant to Rule 425 under the Securities Act of 1933. This presentation does not constitute an offer of any securities for sale. The exchange offer described above has not commenced. Manpower intends to commence an exchange offer and file a Schedule TO and a registration statement on Form S-4, and COMSYS intends to file a Solicitation/Recommendation Statement on Schedule 14D-9, with the Securities and Exchange Commission in connection with the transaction. Manpower and COMSYS expect to mail a Preliminary Prospectus, the Schedule 14D-9 and related exchange offer materials to stockholders of COMSYS. These documents, however, are not currently available. INVESTORS AND SECURITY HOLDERS ARE URGED TO READ THESE DOCUMENTS CAREFULLY WHEN THEY ARE AVAILABLE BECAUSE THEY CONTAIN IMPORTANT INFORMATION ABOUT MANPOWER, COMSYS AND THE TRANSACTION. Documents filed by Manpower with the SEC may be obtained without charge at the SEC’s website at www.sec.gov and at Manpower’s website at www.manpower.com. Documents filed by COMSYS with the SEC may be obtained without charge at the SEC's website and at COMSYS’ website at www.comsys.com.</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This presentation contains statements, including statements regarding timing, completion and results of the proposed transaction, that are forward-looking in nature and, accordingly, are subject to risks and uncertainties. Actual results may differ materially from those described or contemplated in the forward-looking statements. Factors that may cause actual results to differ materially from those contained in the forward-looking statements include, among others, the risk that the exchange offer and the merger will not close; the risk that Manpower’s business and/or COMSYS’ business will be adversely impacted during the pendency of the exchange offer and the merger; the risk that the operations of the two companies will not be integrated successfully; the risk that Manpower’s expected cost savings and other synergies from the transaction may not be fully realized, realized at all or take longer to realize than anticipated; the risk that demand for and acceptance of Manpower’s or COMSYS’ products or services may be reduced; the impact of economic conditions; the impact of competition and pricing; and other factors found in the Manpower’s and COMSYS’ reports filed with the SEC, including the information under the heading ‘Risk Factors’ in Manpower’s Annual Report on Form 10-K for the year ended December 31, 2009 and COMSYS’ Annual Report on Form 10-K for the fiscal year ended December 28, 2008, which information is incorporated herein by reference.</w:t>
      </w:r>
    </w:p>
    <w:sectPr>
      <w:pgSz w:w="11900" w:h="16838" w:orient="portrait"/>
      <w:cols w:equalWidth="0" w:num="1">
        <w:col w:w="11340"/>
      </w:cols>
      <w:pgMar w:left="240" w:top="3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amp;"/>
      <w:numFmt w:val="bullet"/>
      <w:start w:val="1"/>
    </w:lvl>
  </w:abstractNum>
  <w:abstractNum w:abstractNumId="1">
    <w:nsid w:val="515F007C"/>
    <w:multiLevelType w:val="hybridMultilevel"/>
    <w:lvl w:ilvl="0">
      <w:lvlJc w:val="left"/>
      <w:lvlText w:val="•"/>
      <w:numFmt w:val="bullet"/>
      <w:start w:val="1"/>
    </w:lvl>
    <w:lvl w:ilvl="1">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lvl w:ilvl="1">
      <w:lvlJc w:val="left"/>
      <w:lvlText w:val="(%2)"/>
      <w:numFmt w:val="decimal"/>
      <w:start w:val="1"/>
    </w:lvl>
  </w:abstractNum>
  <w:abstractNum w:abstractNumId="10">
    <w:nsid w:val="3352255A"/>
    <w:multiLevelType w:val="hybridMultilevel"/>
    <w:lvl w:ilvl="0">
      <w:lvlJc w:val="left"/>
      <w:lvlText w:val="(%1)"/>
      <w:numFmt w:val="decimal"/>
      <w:start w:val="2"/>
    </w:lvl>
    <w:lvl w:ilvl="1">
      <w:lvlJc w:val="left"/>
      <w:lvlText w:val="%2"/>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2019-12-16T05:28:34Z</dcterms:created>
  <dcterms:modified xsi:type="dcterms:W3CDTF">2019-12-16T05:28:34Z</dcterms:modified>
</cp:coreProperties>
</file>