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12"/>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7"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Washington, D.C. 20549</w:t>
      </w:r>
    </w:p>
    <w:p>
      <w:pPr>
        <w:spacing w:after="0" w:line="177" w:lineRule="exact"/>
        <w:rPr>
          <w:sz w:val="24"/>
          <w:szCs w:val="24"/>
          <w:color w:val="auto"/>
        </w:rPr>
      </w:pPr>
    </w:p>
    <w:p>
      <w:pPr>
        <w:ind w:left="3248"/>
        <w:spacing w:after="0"/>
        <w:rPr>
          <w:sz w:val="20"/>
          <w:szCs w:val="20"/>
          <w:color w:val="auto"/>
        </w:rPr>
      </w:pPr>
      <w:r>
        <w:rPr>
          <w:rFonts w:ascii="Courier New" w:cs="Courier New" w:eastAsia="Courier New" w:hAnsi="Courier New"/>
          <w:sz w:val="15"/>
          <w:szCs w:val="15"/>
          <w:color w:val="auto"/>
        </w:rPr>
        <w:t>FORM 10-Q</w:t>
      </w:r>
    </w:p>
    <w:p>
      <w:pPr>
        <w:spacing w:after="0" w:line="178" w:lineRule="exact"/>
        <w:rPr>
          <w:sz w:val="24"/>
          <w:szCs w:val="24"/>
          <w:color w:val="auto"/>
        </w:rPr>
      </w:pPr>
    </w:p>
    <w:p>
      <w:pPr>
        <w:ind w:left="808" w:right="3459" w:hanging="808"/>
        <w:spacing w:after="0" w:line="243" w:lineRule="auto"/>
        <w:tabs>
          <w:tab w:leader="none" w:pos="80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 for the quarterly period ended:</w:t>
      </w:r>
    </w:p>
    <w:p>
      <w:pPr>
        <w:spacing w:after="0" w:line="175"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SEPTEMBER 30, 2002</w:t>
      </w:r>
    </w:p>
    <w:p>
      <w:pPr>
        <w:spacing w:after="0" w:line="177" w:lineRule="exact"/>
        <w:rPr>
          <w:sz w:val="24"/>
          <w:szCs w:val="24"/>
          <w:color w:val="auto"/>
        </w:rPr>
      </w:pPr>
    </w:p>
    <w:p>
      <w:pPr>
        <w:ind w:left="3508"/>
        <w:spacing w:after="0"/>
        <w:rPr>
          <w:sz w:val="20"/>
          <w:szCs w:val="20"/>
          <w:color w:val="auto"/>
        </w:rPr>
      </w:pPr>
      <w:r>
        <w:rPr>
          <w:rFonts w:ascii="Courier New" w:cs="Courier New" w:eastAsia="Courier New" w:hAnsi="Courier New"/>
          <w:sz w:val="15"/>
          <w:szCs w:val="15"/>
          <w:color w:val="auto"/>
        </w:rPr>
        <w:t>or</w:t>
      </w:r>
    </w:p>
    <w:p>
      <w:pPr>
        <w:spacing w:after="0" w:line="178" w:lineRule="exact"/>
        <w:rPr>
          <w:sz w:val="24"/>
          <w:szCs w:val="24"/>
          <w:color w:val="auto"/>
        </w:rPr>
      </w:pPr>
    </w:p>
    <w:p>
      <w:pPr>
        <w:jc w:val="right"/>
        <w:ind w:left="808" w:right="3379" w:hanging="808"/>
        <w:spacing w:after="0" w:line="243" w:lineRule="auto"/>
        <w:tabs>
          <w:tab w:leader="none" w:pos="17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 for the transition period from: ______to______</w:t>
      </w:r>
    </w:p>
    <w:p>
      <w:pPr>
        <w:spacing w:after="0" w:line="175" w:lineRule="exact"/>
        <w:rPr>
          <w:sz w:val="24"/>
          <w:szCs w:val="24"/>
          <w:color w:val="auto"/>
        </w:rPr>
      </w:pPr>
    </w:p>
    <w:p>
      <w:pPr>
        <w:jc w:val="center"/>
        <w:ind w:right="2932"/>
        <w:spacing w:after="0"/>
        <w:rPr>
          <w:sz w:val="20"/>
          <w:szCs w:val="20"/>
          <w:color w:val="auto"/>
        </w:rPr>
      </w:pPr>
      <w:r>
        <w:rPr>
          <w:rFonts w:ascii="Courier New" w:cs="Courier New" w:eastAsia="Courier New" w:hAnsi="Courier New"/>
          <w:sz w:val="15"/>
          <w:szCs w:val="15"/>
          <w:color w:val="auto"/>
        </w:rPr>
        <w:t>Commission file number: 1-10686</w:t>
      </w:r>
    </w:p>
    <w:p>
      <w:pPr>
        <w:spacing w:after="0" w:line="177" w:lineRule="exact"/>
        <w:rPr>
          <w:sz w:val="24"/>
          <w:szCs w:val="24"/>
          <w:color w:val="auto"/>
        </w:rPr>
      </w:pPr>
    </w:p>
    <w:p>
      <w:pPr>
        <w:jc w:val="center"/>
        <w:ind w:right="2932"/>
        <w:spacing w:after="0"/>
        <w:rPr>
          <w:sz w:val="20"/>
          <w:szCs w:val="20"/>
          <w:color w:val="auto"/>
        </w:rPr>
      </w:pPr>
      <w:r>
        <w:rPr>
          <w:rFonts w:ascii="Courier New" w:cs="Courier New" w:eastAsia="Courier New" w:hAnsi="Courier New"/>
          <w:sz w:val="15"/>
          <w:szCs w:val="15"/>
          <w:color w:val="auto"/>
        </w:rPr>
        <w:t>MANPOWER INC.</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7" w:lineRule="exact"/>
        <w:rPr>
          <w:sz w:val="24"/>
          <w:szCs w:val="24"/>
          <w:color w:val="auto"/>
        </w:rPr>
      </w:pPr>
    </w:p>
    <w:tbl>
      <w:tblPr>
        <w:tblLayout w:type="fixed"/>
        <w:tblInd w:w="808"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WISCONSIN</w:t>
            </w:r>
          </w:p>
        </w:tc>
        <w:tc>
          <w:tcPr>
            <w:tcW w:w="22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39-1672779</w:t>
            </w:r>
          </w:p>
        </w:tc>
      </w:tr>
      <w:tr>
        <w:trPr>
          <w:trHeight w:val="173"/>
        </w:trPr>
        <w:tc>
          <w:tcPr>
            <w:tcW w:w="4160" w:type="dxa"/>
            <w:vAlign w:val="bottom"/>
          </w:tcPr>
          <w:p>
            <w:pPr>
              <w:spacing w:after="0"/>
              <w:rPr>
                <w:sz w:val="20"/>
                <w:szCs w:val="20"/>
                <w:color w:val="auto"/>
              </w:rPr>
            </w:pPr>
            <w:r>
              <w:rPr>
                <w:rFonts w:ascii="Courier New" w:cs="Courier New" w:eastAsia="Courier New" w:hAnsi="Courier New"/>
                <w:sz w:val="15"/>
                <w:szCs w:val="15"/>
                <w:color w:val="auto"/>
              </w:rPr>
              <w:t>(State or other jurisdiction</w:t>
            </w:r>
          </w:p>
        </w:tc>
        <w:tc>
          <w:tcPr>
            <w:tcW w:w="2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(IRS Employer</w:t>
            </w:r>
          </w:p>
        </w:tc>
      </w:tr>
      <w:tr>
        <w:trPr>
          <w:trHeight w:val="173"/>
        </w:trPr>
        <w:tc>
          <w:tcPr>
            <w:tcW w:w="4160" w:type="dxa"/>
            <w:vAlign w:val="bottom"/>
          </w:tcPr>
          <w:p>
            <w:pPr>
              <w:spacing w:after="0"/>
              <w:rPr>
                <w:sz w:val="20"/>
                <w:szCs w:val="20"/>
                <w:color w:val="auto"/>
              </w:rPr>
            </w:pPr>
            <w:r>
              <w:rPr>
                <w:rFonts w:ascii="Courier New" w:cs="Courier New" w:eastAsia="Courier New" w:hAnsi="Courier New"/>
                <w:sz w:val="15"/>
                <w:szCs w:val="15"/>
                <w:color w:val="auto"/>
              </w:rPr>
              <w:t>of incorporation)</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Identification No.)</w:t>
            </w:r>
          </w:p>
        </w:tc>
      </w:tr>
      <w:tr>
        <w:trPr>
          <w:trHeight w:val="347"/>
        </w:trPr>
        <w:tc>
          <w:tcPr>
            <w:tcW w:w="4160" w:type="dxa"/>
            <w:vAlign w:val="bottom"/>
          </w:tcPr>
          <w:p>
            <w:pPr>
              <w:spacing w:after="0"/>
              <w:rPr>
                <w:sz w:val="20"/>
                <w:szCs w:val="20"/>
                <w:color w:val="auto"/>
              </w:rPr>
            </w:pPr>
            <w:r>
              <w:rPr>
                <w:rFonts w:ascii="Courier New" w:cs="Courier New" w:eastAsia="Courier New" w:hAnsi="Courier New"/>
                <w:sz w:val="15"/>
                <w:szCs w:val="15"/>
                <w:color w:val="auto"/>
              </w:rPr>
              <w:t>5301 N. IRONWOOD ROAD</w:t>
            </w:r>
          </w:p>
        </w:tc>
        <w:tc>
          <w:tcPr>
            <w:tcW w:w="2240" w:type="dxa"/>
            <w:vAlign w:val="bottom"/>
          </w:tcPr>
          <w:p>
            <w:pPr>
              <w:spacing w:after="0"/>
              <w:rPr>
                <w:sz w:val="24"/>
                <w:szCs w:val="24"/>
                <w:color w:val="auto"/>
              </w:rPr>
            </w:pPr>
          </w:p>
        </w:tc>
      </w:tr>
      <w:tr>
        <w:trPr>
          <w:trHeight w:val="173"/>
        </w:trPr>
        <w:tc>
          <w:tcPr>
            <w:tcW w:w="4160" w:type="dxa"/>
            <w:vAlign w:val="bottom"/>
          </w:tcPr>
          <w:p>
            <w:pPr>
              <w:spacing w:after="0"/>
              <w:rPr>
                <w:sz w:val="20"/>
                <w:szCs w:val="20"/>
                <w:color w:val="auto"/>
              </w:rPr>
            </w:pPr>
            <w:r>
              <w:rPr>
                <w:rFonts w:ascii="Courier New" w:cs="Courier New" w:eastAsia="Courier New" w:hAnsi="Courier New"/>
                <w:sz w:val="15"/>
                <w:szCs w:val="15"/>
                <w:color w:val="auto"/>
              </w:rPr>
              <w:t>MILWAUKEE, WISCONSIN</w:t>
            </w:r>
          </w:p>
        </w:tc>
        <w:tc>
          <w:tcPr>
            <w:tcW w:w="2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53217</w:t>
            </w:r>
          </w:p>
        </w:tc>
      </w:tr>
      <w:tr>
        <w:trPr>
          <w:trHeight w:val="173"/>
        </w:trPr>
        <w:tc>
          <w:tcPr>
            <w:tcW w:w="4160" w:type="dxa"/>
            <w:vAlign w:val="bottom"/>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2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(Zip Code)</w:t>
            </w:r>
          </w:p>
        </w:tc>
      </w:tr>
    </w:tbl>
    <w:p>
      <w:pPr>
        <w:spacing w:after="0" w:line="177" w:lineRule="exact"/>
        <w:rPr>
          <w:sz w:val="24"/>
          <w:szCs w:val="24"/>
          <w:color w:val="auto"/>
        </w:rPr>
      </w:pPr>
    </w:p>
    <w:p>
      <w:pPr>
        <w:ind w:left="628"/>
        <w:spacing w:after="0"/>
        <w:rPr>
          <w:sz w:val="20"/>
          <w:szCs w:val="20"/>
          <w:color w:val="auto"/>
        </w:rPr>
      </w:pPr>
      <w:r>
        <w:rPr>
          <w:rFonts w:ascii="Courier New" w:cs="Courier New" w:eastAsia="Courier New" w:hAnsi="Courier New"/>
          <w:sz w:val="15"/>
          <w:szCs w:val="15"/>
          <w:color w:val="auto"/>
        </w:rPr>
        <w:t>Registrant's telephone number, including area code: (414) 961-1000</w:t>
      </w:r>
    </w:p>
    <w:p>
      <w:pPr>
        <w:spacing w:after="0" w:line="178" w:lineRule="exact"/>
        <w:rPr>
          <w:sz w:val="24"/>
          <w:szCs w:val="24"/>
          <w:color w:val="auto"/>
        </w:rPr>
      </w:pPr>
    </w:p>
    <w:p>
      <w:pPr>
        <w:ind w:left="808" w:right="3019"/>
        <w:spacing w:after="0" w:line="244"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3248"/>
        <w:spacing w:after="0"/>
        <w:tabs>
          <w:tab w:leader="none" w:pos="4027" w:val="left"/>
          <w:tab w:leader="none" w:pos="4767"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w:t>
      </w:r>
    </w:p>
    <w:p>
      <w:pPr>
        <w:spacing w:after="0" w:line="3" w:lineRule="exact"/>
        <w:rPr>
          <w:sz w:val="24"/>
          <w:szCs w:val="24"/>
          <w:color w:val="auto"/>
        </w:rPr>
      </w:pPr>
    </w:p>
    <w:p>
      <w:pPr>
        <w:ind w:left="3868"/>
        <w:spacing w:after="0"/>
        <w:tabs>
          <w:tab w:leader="none" w:pos="512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8" w:lineRule="exact"/>
        <w:rPr>
          <w:sz w:val="24"/>
          <w:szCs w:val="24"/>
          <w:color w:val="auto"/>
        </w:rPr>
      </w:pPr>
    </w:p>
    <w:p>
      <w:pPr>
        <w:ind w:left="808" w:right="3199"/>
        <w:spacing w:after="0" w:line="243" w:lineRule="auto"/>
        <w:rPr>
          <w:sz w:val="20"/>
          <w:szCs w:val="20"/>
          <w:color w:val="auto"/>
        </w:rPr>
      </w:pPr>
      <w:r>
        <w:rPr>
          <w:rFonts w:ascii="Courier New" w:cs="Courier New" w:eastAsia="Courier New" w:hAnsi="Courier New"/>
          <w:sz w:val="15"/>
          <w:szCs w:val="15"/>
          <w:color w:val="auto"/>
        </w:rPr>
        <w:t>Indicate by check mark whether the Registrant is an accelerated filer (as defined in rule 12b-2 of the Exchange Act).</w:t>
      </w:r>
    </w:p>
    <w:p>
      <w:pPr>
        <w:spacing w:after="0" w:line="2" w:lineRule="exact"/>
        <w:rPr>
          <w:sz w:val="24"/>
          <w:szCs w:val="24"/>
          <w:color w:val="auto"/>
        </w:rPr>
      </w:pPr>
    </w:p>
    <w:p>
      <w:pPr>
        <w:ind w:left="3248"/>
        <w:spacing w:after="0"/>
        <w:tabs>
          <w:tab w:leader="none" w:pos="4027" w:val="left"/>
          <w:tab w:leader="none" w:pos="4767"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w:t>
      </w:r>
    </w:p>
    <w:p>
      <w:pPr>
        <w:spacing w:after="0" w:line="3" w:lineRule="exact"/>
        <w:rPr>
          <w:sz w:val="24"/>
          <w:szCs w:val="24"/>
          <w:color w:val="auto"/>
        </w:rPr>
      </w:pPr>
    </w:p>
    <w:p>
      <w:pPr>
        <w:ind w:left="3868"/>
        <w:spacing w:after="0"/>
        <w:tabs>
          <w:tab w:leader="none" w:pos="512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8" w:lineRule="exact"/>
        <w:rPr>
          <w:sz w:val="24"/>
          <w:szCs w:val="24"/>
          <w:color w:val="auto"/>
        </w:rPr>
      </w:pPr>
    </w:p>
    <w:p>
      <w:pPr>
        <w:ind w:left="808" w:right="3559"/>
        <w:spacing w:after="0" w:line="243"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pacing w:after="0" w:line="349" w:lineRule="exact"/>
        <w:rPr>
          <w:sz w:val="24"/>
          <w:szCs w:val="24"/>
          <w:color w:val="auto"/>
        </w:rPr>
      </w:pPr>
    </w:p>
    <w:tbl>
      <w:tblPr>
        <w:tblLayout w:type="fixed"/>
        <w:tblInd w:w="1348"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2840" w:type="dxa"/>
            <w:vAlign w:val="bottom"/>
          </w:tcPr>
          <w:p>
            <w:pPr>
              <w:jc w:val="center"/>
              <w:ind w:left="625"/>
              <w:spacing w:after="0"/>
              <w:rPr>
                <w:sz w:val="20"/>
                <w:szCs w:val="20"/>
                <w:color w:val="auto"/>
              </w:rPr>
            </w:pPr>
            <w:r>
              <w:rPr>
                <w:rFonts w:ascii="Courier New" w:cs="Courier New" w:eastAsia="Courier New" w:hAnsi="Courier New"/>
                <w:sz w:val="15"/>
                <w:szCs w:val="15"/>
                <w:color w:val="auto"/>
                <w:w w:val="99"/>
              </w:rPr>
              <w:t>SHARES OUTSTANDING</w:t>
            </w:r>
          </w:p>
        </w:tc>
      </w:tr>
      <w:tr>
        <w:trPr>
          <w:trHeight w:val="173"/>
        </w:trPr>
        <w:tc>
          <w:tcPr>
            <w:tcW w:w="3020" w:type="dxa"/>
            <w:vAlign w:val="bottom"/>
          </w:tcPr>
          <w:p>
            <w:pPr>
              <w:spacing w:after="0"/>
              <w:rPr>
                <w:sz w:val="20"/>
                <w:szCs w:val="20"/>
                <w:color w:val="auto"/>
              </w:rPr>
            </w:pPr>
            <w:r>
              <w:rPr>
                <w:rFonts w:ascii="Courier New" w:cs="Courier New" w:eastAsia="Courier New" w:hAnsi="Courier New"/>
                <w:sz w:val="15"/>
                <w:szCs w:val="15"/>
                <w:color w:val="auto"/>
              </w:rPr>
              <w:t>CLASS</w:t>
            </w:r>
          </w:p>
        </w:tc>
        <w:tc>
          <w:tcPr>
            <w:tcW w:w="2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AT SEPTEMBER 30, 2002</w:t>
            </w:r>
          </w:p>
        </w:tc>
      </w:tr>
      <w:tr>
        <w:trPr>
          <w:trHeight w:val="173"/>
        </w:trPr>
        <w:tc>
          <w:tcPr>
            <w:tcW w:w="30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020" w:type="dxa"/>
            <w:vAlign w:val="bottom"/>
          </w:tcPr>
          <w:p>
            <w:pPr>
              <w:spacing w:after="0"/>
              <w:rPr>
                <w:sz w:val="20"/>
                <w:szCs w:val="20"/>
                <w:color w:val="auto"/>
              </w:rPr>
            </w:pPr>
            <w:r>
              <w:rPr>
                <w:rFonts w:ascii="Courier New" w:cs="Courier New" w:eastAsia="Courier New" w:hAnsi="Courier New"/>
                <w:sz w:val="15"/>
                <w:szCs w:val="15"/>
                <w:color w:val="auto"/>
              </w:rPr>
              <w:t>Common Stock, $.01 par value</w:t>
            </w:r>
          </w:p>
        </w:tc>
        <w:tc>
          <w:tcPr>
            <w:tcW w:w="28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76,724,272</w:t>
            </w:r>
          </w:p>
        </w:tc>
      </w:tr>
    </w:tbl>
    <w:p>
      <w:pPr>
        <w:spacing w:after="0" w:line="200" w:lineRule="exact"/>
        <w:rPr>
          <w:sz w:val="24"/>
          <w:szCs w:val="24"/>
          <w:color w:val="auto"/>
        </w:rPr>
      </w:pPr>
    </w:p>
    <w:p>
      <w:pPr>
        <w:spacing w:after="0" w:line="32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407" w:right="1440" w:bottom="1440" w:gutter="0" w:footer="0" w:header="0"/>
        </w:sectPr>
      </w:pPr>
    </w:p>
    <w:bookmarkStart w:id="1" w:name="page2"/>
    <w:bookmarkEnd w:id="1"/>
    <w:p>
      <w:pPr>
        <w:ind w:left="2240"/>
        <w:spacing w:after="0"/>
        <w:rPr>
          <w:sz w:val="20"/>
          <w:szCs w:val="20"/>
          <w:color w:val="auto"/>
        </w:rPr>
      </w:pPr>
      <w:r>
        <w:rPr>
          <w:rFonts w:ascii="Courier New" w:cs="Courier New" w:eastAsia="Courier New" w:hAnsi="Courier New"/>
          <w:sz w:val="15"/>
          <w:szCs w:val="15"/>
          <w:color w:val="auto"/>
        </w:rPr>
        <w:t>MANPOWER INC. AND SUBSIDIARIES</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INDEX</w:t>
      </w:r>
    </w:p>
    <w:p>
      <w:pPr>
        <w:spacing w:after="0" w:line="350" w:lineRule="exact"/>
        <w:rPr>
          <w:sz w:val="20"/>
          <w:szCs w:val="20"/>
          <w:color w:val="auto"/>
        </w:rPr>
      </w:pPr>
    </w:p>
    <w:p>
      <w:pPr>
        <w:ind w:left="9900"/>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Number</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7"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 (unaudited)</w:t>
      </w:r>
    </w:p>
    <w:p>
      <w:pPr>
        <w:spacing w:after="0" w:line="177" w:lineRule="exact"/>
        <w:rPr>
          <w:sz w:val="20"/>
          <w:szCs w:val="20"/>
          <w:color w:val="auto"/>
        </w:rPr>
      </w:pPr>
    </w:p>
    <w:p>
      <w:pPr>
        <w:jc w:val="right"/>
        <w:spacing w:after="0"/>
        <w:tabs>
          <w:tab w:leader="dot" w:pos="440" w:val="left"/>
        </w:tabs>
        <w:rPr>
          <w:sz w:val="20"/>
          <w:szCs w:val="20"/>
          <w:color w:val="auto"/>
        </w:rPr>
      </w:pPr>
      <w:r>
        <w:rPr>
          <w:rFonts w:ascii="Courier New" w:cs="Courier New" w:eastAsia="Courier New" w:hAnsi="Courier New"/>
          <w:sz w:val="15"/>
          <w:szCs w:val="15"/>
          <w:color w:val="auto"/>
        </w:rPr>
        <w:t>Consolidated Balance Sheets</w:t>
      </w:r>
      <w:r>
        <w:rPr>
          <w:sz w:val="20"/>
          <w:szCs w:val="20"/>
          <w:color w:val="auto"/>
        </w:rPr>
        <w:tab/>
      </w:r>
      <w:r>
        <w:rPr>
          <w:rFonts w:ascii="Courier New" w:cs="Courier New" w:eastAsia="Courier New" w:hAnsi="Courier New"/>
          <w:sz w:val="15"/>
          <w:szCs w:val="15"/>
          <w:color w:val="auto"/>
        </w:rPr>
        <w:t>3 - 4</w:t>
      </w:r>
    </w:p>
    <w:p>
      <w:pPr>
        <w:spacing w:after="0" w:line="3" w:lineRule="exact"/>
        <w:rPr>
          <w:sz w:val="20"/>
          <w:szCs w:val="20"/>
          <w:color w:val="auto"/>
        </w:rPr>
      </w:pPr>
    </w:p>
    <w:p>
      <w:pPr>
        <w:jc w:val="right"/>
        <w:spacing w:after="0"/>
        <w:tabs>
          <w:tab w:leader="dot" w:pos="60" w:val="left"/>
        </w:tabs>
        <w:rPr>
          <w:sz w:val="20"/>
          <w:szCs w:val="20"/>
          <w:color w:val="auto"/>
        </w:rPr>
      </w:pPr>
      <w:r>
        <w:rPr>
          <w:rFonts w:ascii="Courier New" w:cs="Courier New" w:eastAsia="Courier New" w:hAnsi="Courier New"/>
          <w:sz w:val="15"/>
          <w:szCs w:val="15"/>
          <w:color w:val="auto"/>
        </w:rPr>
        <w:t>Consolidated Statements of Operations</w:t>
      </w:r>
      <w:r>
        <w:rPr>
          <w:sz w:val="20"/>
          <w:szCs w:val="20"/>
          <w:color w:val="auto"/>
        </w:rPr>
        <w:tab/>
      </w:r>
      <w:r>
        <w:rPr>
          <w:rFonts w:ascii="Courier New" w:cs="Courier New" w:eastAsia="Courier New" w:hAnsi="Courier New"/>
          <w:sz w:val="13"/>
          <w:szCs w:val="13"/>
          <w:color w:val="auto"/>
        </w:rPr>
        <w:t>5</w:t>
      </w:r>
    </w:p>
    <w:p>
      <w:pPr>
        <w:spacing w:after="0" w:line="3" w:lineRule="exact"/>
        <w:rPr>
          <w:sz w:val="20"/>
          <w:szCs w:val="20"/>
          <w:color w:val="auto"/>
        </w:rPr>
      </w:pPr>
    </w:p>
    <w:p>
      <w:pPr>
        <w:jc w:val="right"/>
        <w:spacing w:after="0"/>
        <w:tabs>
          <w:tab w:leader="dot" w:pos="60" w:val="left"/>
        </w:tabs>
        <w:rPr>
          <w:sz w:val="20"/>
          <w:szCs w:val="20"/>
          <w:color w:val="auto"/>
        </w:rPr>
      </w:pPr>
      <w:r>
        <w:rPr>
          <w:rFonts w:ascii="Courier New" w:cs="Courier New" w:eastAsia="Courier New" w:hAnsi="Courier New"/>
          <w:sz w:val="15"/>
          <w:szCs w:val="15"/>
          <w:color w:val="auto"/>
        </w:rPr>
        <w:t>Consolidated Statements of Cash Flows</w:t>
      </w:r>
      <w:r>
        <w:rPr>
          <w:sz w:val="20"/>
          <w:szCs w:val="20"/>
          <w:color w:val="auto"/>
        </w:rPr>
        <w:tab/>
      </w:r>
      <w:r>
        <w:rPr>
          <w:rFonts w:ascii="Courier New" w:cs="Courier New" w:eastAsia="Courier New" w:hAnsi="Courier New"/>
          <w:sz w:val="13"/>
          <w:szCs w:val="13"/>
          <w:color w:val="auto"/>
        </w:rPr>
        <w:t>6</w:t>
      </w:r>
    </w:p>
    <w:p>
      <w:pPr>
        <w:spacing w:after="0" w:line="3" w:lineRule="exact"/>
        <w:rPr>
          <w:sz w:val="20"/>
          <w:szCs w:val="20"/>
          <w:color w:val="auto"/>
        </w:rPr>
      </w:pPr>
    </w:p>
    <w:p>
      <w:pPr>
        <w:jc w:val="right"/>
        <w:spacing w:after="0"/>
        <w:tabs>
          <w:tab w:leader="dot" w:pos="52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4"/>
          <w:szCs w:val="14"/>
          <w:color w:val="auto"/>
        </w:rPr>
        <w:t>7 - 11</w:t>
      </w:r>
    </w:p>
    <w:p>
      <w:pPr>
        <w:spacing w:after="0" w:line="177" w:lineRule="exact"/>
        <w:rPr>
          <w:sz w:val="20"/>
          <w:szCs w:val="20"/>
          <w:color w:val="auto"/>
        </w:rPr>
      </w:pPr>
    </w:p>
    <w:p>
      <w:pPr>
        <w:spacing w:after="0"/>
        <w:tabs>
          <w:tab w:leader="none" w:pos="1600" w:val="left"/>
          <w:tab w:leader="dot" w:pos="970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Management's Discussion and Analysis of Financial Condition and Results of Operations</w:t>
      </w:r>
      <w:r>
        <w:rPr>
          <w:sz w:val="20"/>
          <w:szCs w:val="20"/>
          <w:color w:val="auto"/>
        </w:rPr>
        <w:tab/>
      </w:r>
      <w:r>
        <w:rPr>
          <w:rFonts w:ascii="Courier New" w:cs="Courier New" w:eastAsia="Courier New" w:hAnsi="Courier New"/>
          <w:sz w:val="15"/>
          <w:szCs w:val="15"/>
          <w:color w:val="auto"/>
        </w:rPr>
        <w:t>12 - 17</w:t>
      </w:r>
    </w:p>
    <w:p>
      <w:pPr>
        <w:spacing w:after="0" w:line="177" w:lineRule="exact"/>
        <w:rPr>
          <w:sz w:val="20"/>
          <w:szCs w:val="20"/>
          <w:color w:val="auto"/>
        </w:rPr>
      </w:pPr>
    </w:p>
    <w:p>
      <w:pPr>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5"/>
          <w:szCs w:val="15"/>
          <w:color w:val="auto"/>
        </w:rPr>
        <w:t>Quantitative and Qualitative Disclosures about Market Risk</w:t>
      </w:r>
      <w:r>
        <w:rPr>
          <w:sz w:val="20"/>
          <w:szCs w:val="20"/>
          <w:color w:val="auto"/>
        </w:rPr>
        <w:tab/>
      </w:r>
      <w:r>
        <w:rPr>
          <w:rFonts w:ascii="Courier New" w:cs="Courier New" w:eastAsia="Courier New" w:hAnsi="Courier New"/>
          <w:sz w:val="15"/>
          <w:szCs w:val="15"/>
          <w:color w:val="auto"/>
        </w:rPr>
        <w:t>18</w:t>
      </w:r>
    </w:p>
    <w:p>
      <w:pPr>
        <w:spacing w:after="0" w:line="177" w:lineRule="exact"/>
        <w:rPr>
          <w:sz w:val="20"/>
          <w:szCs w:val="20"/>
          <w:color w:val="auto"/>
        </w:rPr>
      </w:pPr>
    </w:p>
    <w:p>
      <w:pPr>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5"/>
          <w:szCs w:val="15"/>
          <w:color w:val="auto"/>
        </w:rPr>
        <w:t>Controls and Procedures</w:t>
      </w:r>
      <w:r>
        <w:rPr>
          <w:sz w:val="20"/>
          <w:szCs w:val="20"/>
          <w:color w:val="auto"/>
        </w:rPr>
        <w:tab/>
      </w:r>
      <w:r>
        <w:rPr>
          <w:rFonts w:ascii="Courier New" w:cs="Courier New" w:eastAsia="Courier New" w:hAnsi="Courier New"/>
          <w:sz w:val="15"/>
          <w:szCs w:val="15"/>
          <w:color w:val="auto"/>
        </w:rPr>
        <w:t>18</w:t>
      </w:r>
    </w:p>
    <w:p>
      <w:pPr>
        <w:spacing w:after="0" w:line="350"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 AND SIGNATURES</w:t>
      </w:r>
    </w:p>
    <w:p>
      <w:pPr>
        <w:spacing w:after="0" w:line="177" w:lineRule="exact"/>
        <w:rPr>
          <w:sz w:val="20"/>
          <w:szCs w:val="20"/>
          <w:color w:val="auto"/>
        </w:rPr>
      </w:pPr>
    </w:p>
    <w:p>
      <w:pPr>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Other Information</w:t>
      </w:r>
      <w:r>
        <w:rPr>
          <w:sz w:val="20"/>
          <w:szCs w:val="20"/>
          <w:color w:val="auto"/>
        </w:rPr>
        <w:tab/>
      </w:r>
      <w:r>
        <w:rPr>
          <w:rFonts w:ascii="Courier New" w:cs="Courier New" w:eastAsia="Courier New" w:hAnsi="Courier New"/>
          <w:sz w:val="15"/>
          <w:szCs w:val="15"/>
          <w:color w:val="auto"/>
        </w:rPr>
        <w:t>19</w:t>
      </w:r>
    </w:p>
    <w:p>
      <w:pPr>
        <w:spacing w:after="0" w:line="177" w:lineRule="exact"/>
        <w:rPr>
          <w:sz w:val="20"/>
          <w:szCs w:val="20"/>
          <w:color w:val="auto"/>
        </w:rPr>
      </w:pPr>
    </w:p>
    <w:p>
      <w:pPr>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Exhibits and Reports on Form 8-K</w:t>
      </w:r>
      <w:r>
        <w:rPr>
          <w:sz w:val="20"/>
          <w:szCs w:val="20"/>
          <w:color w:val="auto"/>
        </w:rPr>
        <w:tab/>
      </w:r>
      <w:r>
        <w:rPr>
          <w:rFonts w:ascii="Courier New" w:cs="Courier New" w:eastAsia="Courier New" w:hAnsi="Courier New"/>
          <w:sz w:val="15"/>
          <w:szCs w:val="15"/>
          <w:color w:val="auto"/>
        </w:rPr>
        <w:t>19</w:t>
      </w:r>
    </w:p>
    <w:p>
      <w:pPr>
        <w:spacing w:after="0" w:line="350" w:lineRule="exact"/>
        <w:rPr>
          <w:sz w:val="20"/>
          <w:szCs w:val="20"/>
          <w:color w:val="auto"/>
        </w:rPr>
      </w:pPr>
    </w:p>
    <w:p>
      <w:pPr>
        <w:spacing w:after="0"/>
        <w:tabs>
          <w:tab w:leader="dot" w:pos="1016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20</w:t>
      </w:r>
    </w:p>
    <w:p>
      <w:pPr>
        <w:spacing w:after="0" w:line="350" w:lineRule="exact"/>
        <w:rPr>
          <w:sz w:val="20"/>
          <w:szCs w:val="20"/>
          <w:color w:val="auto"/>
        </w:rPr>
      </w:pPr>
    </w:p>
    <w:p>
      <w:pPr>
        <w:spacing w:after="0"/>
        <w:tabs>
          <w:tab w:leader="dot" w:pos="9700" w:val="left"/>
        </w:tabs>
        <w:rPr>
          <w:sz w:val="20"/>
          <w:szCs w:val="20"/>
          <w:color w:val="auto"/>
        </w:rPr>
      </w:pPr>
      <w:r>
        <w:rPr>
          <w:rFonts w:ascii="Courier New" w:cs="Courier New" w:eastAsia="Courier New" w:hAnsi="Courier New"/>
          <w:sz w:val="15"/>
          <w:szCs w:val="15"/>
          <w:color w:val="auto"/>
        </w:rPr>
        <w:t>CERTIFICATIONS</w:t>
      </w:r>
      <w:r>
        <w:rPr>
          <w:sz w:val="20"/>
          <w:szCs w:val="20"/>
          <w:color w:val="auto"/>
        </w:rPr>
        <w:tab/>
      </w:r>
      <w:r>
        <w:rPr>
          <w:rFonts w:ascii="Courier New" w:cs="Courier New" w:eastAsia="Courier New" w:hAnsi="Courier New"/>
          <w:sz w:val="15"/>
          <w:szCs w:val="15"/>
          <w:color w:val="auto"/>
        </w:rPr>
        <w:t>21 - 22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360"/>
          </w:cols>
          <w:pgMar w:left="240" w:top="464" w:right="1299" w:bottom="1440" w:gutter="0" w:footer="0" w:header="0"/>
        </w:sectPr>
      </w:pPr>
    </w:p>
    <w:bookmarkStart w:id="2" w:name="page3"/>
    <w:bookmarkEnd w:id="2"/>
    <w:p>
      <w:pPr>
        <w:ind w:left="2240"/>
        <w:spacing w:after="0"/>
        <w:rPr>
          <w:sz w:val="20"/>
          <w:szCs w:val="20"/>
          <w:color w:val="auto"/>
        </w:rPr>
      </w:pPr>
      <w:r>
        <w:rPr>
          <w:rFonts w:ascii="Courier New" w:cs="Courier New" w:eastAsia="Courier New" w:hAnsi="Courier New"/>
          <w:sz w:val="15"/>
          <w:szCs w:val="15"/>
          <w:color w:val="auto"/>
        </w:rPr>
        <w:t>PART I - FINANCIAL INFORMATION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 Financial Statements</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MANPOWER INC. AND SUBSIDIARIES</w:t>
      </w:r>
    </w:p>
    <w:p>
      <w:pPr>
        <w:spacing w:after="0" w:line="17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CONSOLIDATED BALANCE SHEETS</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80" w:type="dxa"/>
            <w:vAlign w:val="bottom"/>
          </w:tcPr>
          <w:p>
            <w:pPr>
              <w:ind w:left="3320"/>
              <w:spacing w:after="0"/>
              <w:rPr>
                <w:sz w:val="20"/>
                <w:szCs w:val="20"/>
                <w:color w:val="auto"/>
              </w:rPr>
            </w:pPr>
            <w:r>
              <w:rPr>
                <w:rFonts w:ascii="Courier New" w:cs="Courier New" w:eastAsia="Courier New" w:hAnsi="Courier New"/>
                <w:sz w:val="15"/>
                <w:szCs w:val="15"/>
                <w:color w:val="auto"/>
              </w:rPr>
              <w:t>ASSETS</w:t>
            </w: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867"/>
        </w:trPr>
        <w:tc>
          <w:tcPr>
            <w:tcW w:w="5680" w:type="dxa"/>
            <w:vAlign w:val="bottom"/>
          </w:tcPr>
          <w:p>
            <w:pPr>
              <w:spacing w:after="0"/>
              <w:rPr>
                <w:sz w:val="24"/>
                <w:szCs w:val="24"/>
                <w:color w:val="auto"/>
              </w:rPr>
            </w:pPr>
          </w:p>
        </w:tc>
        <w:tc>
          <w:tcPr>
            <w:tcW w:w="25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SEPTEMBER 30,</w:t>
            </w:r>
          </w:p>
        </w:tc>
        <w:tc>
          <w:tcPr>
            <w:tcW w:w="18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DECEMBER 31,</w:t>
            </w:r>
          </w:p>
        </w:tc>
      </w:tr>
      <w:tr>
        <w:trPr>
          <w:trHeight w:val="173"/>
        </w:trPr>
        <w:tc>
          <w:tcPr>
            <w:tcW w:w="56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jc w:val="right"/>
              <w:ind w:right="745"/>
              <w:spacing w:after="0"/>
              <w:rPr>
                <w:sz w:val="20"/>
                <w:szCs w:val="20"/>
                <w:color w:val="auto"/>
              </w:rPr>
            </w:pPr>
            <w:r>
              <w:rPr>
                <w:rFonts w:ascii="Courier New" w:cs="Courier New" w:eastAsia="Courier New" w:hAnsi="Courier New"/>
                <w:sz w:val="15"/>
                <w:szCs w:val="15"/>
                <w:color w:val="auto"/>
                <w:w w:val="94"/>
              </w:rPr>
              <w:t>2002</w:t>
            </w:r>
          </w:p>
        </w:tc>
        <w:tc>
          <w:tcPr>
            <w:tcW w:w="620" w:type="dxa"/>
            <w:vAlign w:val="bottom"/>
          </w:tcPr>
          <w:p>
            <w:pPr>
              <w:spacing w:after="0"/>
              <w:rPr>
                <w:sz w:val="15"/>
                <w:szCs w:val="15"/>
                <w:color w:val="auto"/>
              </w:rPr>
            </w:pPr>
          </w:p>
        </w:tc>
        <w:tc>
          <w:tcPr>
            <w:tcW w:w="11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5680" w:type="dxa"/>
            <w:vAlign w:val="bottom"/>
          </w:tcPr>
          <w:p>
            <w:pPr>
              <w:spacing w:after="0"/>
              <w:rPr>
                <w:sz w:val="15"/>
                <w:szCs w:val="15"/>
                <w:color w:val="auto"/>
              </w:rPr>
            </w:pPr>
          </w:p>
        </w:tc>
        <w:tc>
          <w:tcPr>
            <w:tcW w:w="2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680" w:type="dxa"/>
            <w:vAlign w:val="bottom"/>
          </w:tcPr>
          <w:p>
            <w:pPr>
              <w:spacing w:after="0"/>
              <w:rPr>
                <w:sz w:val="15"/>
                <w:szCs w:val="15"/>
                <w:color w:val="auto"/>
              </w:rPr>
            </w:pPr>
          </w:p>
        </w:tc>
        <w:tc>
          <w:tcPr>
            <w:tcW w:w="2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(Unaudited)</w:t>
            </w: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47"/>
        </w:trPr>
        <w:tc>
          <w:tcPr>
            <w:tcW w:w="56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7"/>
        </w:trPr>
        <w:tc>
          <w:tcPr>
            <w:tcW w:w="56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236.6</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245.8</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Accounts receivable, less allowance for</w:t>
            </w: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doubtful accounts of $71.8 and $61.8, respectively</w:t>
            </w:r>
          </w:p>
        </w:tc>
        <w:tc>
          <w:tcPr>
            <w:tcW w:w="13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2,249.0</w:t>
            </w:r>
          </w:p>
        </w:tc>
        <w:tc>
          <w:tcPr>
            <w:tcW w:w="620" w:type="dxa"/>
            <w:vAlign w:val="bottom"/>
          </w:tcPr>
          <w:p>
            <w:pPr>
              <w:spacing w:after="0"/>
              <w:rPr>
                <w:sz w:val="15"/>
                <w:szCs w:val="15"/>
                <w:color w:val="auto"/>
              </w:rPr>
            </w:pP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1,917.8</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Prepaid expenses and other assets</w:t>
            </w:r>
          </w:p>
        </w:tc>
        <w:tc>
          <w:tcPr>
            <w:tcW w:w="13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80.9</w:t>
            </w:r>
          </w:p>
        </w:tc>
        <w:tc>
          <w:tcPr>
            <w:tcW w:w="620" w:type="dxa"/>
            <w:vAlign w:val="bottom"/>
          </w:tcPr>
          <w:p>
            <w:pPr>
              <w:spacing w:after="0"/>
              <w:rPr>
                <w:sz w:val="15"/>
                <w:szCs w:val="15"/>
                <w:color w:val="auto"/>
              </w:rPr>
            </w:pP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77.0</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Future income tax benefits</w:t>
            </w:r>
          </w:p>
        </w:tc>
        <w:tc>
          <w:tcPr>
            <w:tcW w:w="13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73.9</w:t>
            </w:r>
          </w:p>
        </w:tc>
        <w:tc>
          <w:tcPr>
            <w:tcW w:w="620" w:type="dxa"/>
            <w:vAlign w:val="bottom"/>
          </w:tcPr>
          <w:p>
            <w:pPr>
              <w:spacing w:after="0"/>
              <w:rPr>
                <w:sz w:val="15"/>
                <w:szCs w:val="15"/>
                <w:color w:val="auto"/>
              </w:rPr>
            </w:pP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73.8</w:t>
            </w:r>
          </w:p>
        </w:tc>
      </w:tr>
      <w:tr>
        <w:trPr>
          <w:trHeight w:val="173"/>
        </w:trPr>
        <w:tc>
          <w:tcPr>
            <w:tcW w:w="5680" w:type="dxa"/>
            <w:vAlign w:val="bottom"/>
          </w:tcPr>
          <w:p>
            <w:pPr>
              <w:spacing w:after="0"/>
              <w:rPr>
                <w:sz w:val="15"/>
                <w:szCs w:val="15"/>
                <w:color w:val="auto"/>
              </w:rPr>
            </w:pPr>
          </w:p>
        </w:tc>
        <w:tc>
          <w:tcPr>
            <w:tcW w:w="25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3"/>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Total current assets</w:t>
            </w:r>
          </w:p>
        </w:tc>
        <w:tc>
          <w:tcPr>
            <w:tcW w:w="13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2,640.4</w:t>
            </w:r>
          </w:p>
        </w:tc>
        <w:tc>
          <w:tcPr>
            <w:tcW w:w="620" w:type="dxa"/>
            <w:vAlign w:val="bottom"/>
          </w:tcPr>
          <w:p>
            <w:pPr>
              <w:spacing w:after="0"/>
              <w:rPr>
                <w:sz w:val="15"/>
                <w:szCs w:val="15"/>
                <w:color w:val="auto"/>
              </w:rPr>
            </w:pP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2,314.4</w:t>
            </w:r>
          </w:p>
        </w:tc>
      </w:tr>
      <w:tr>
        <w:trPr>
          <w:trHeight w:val="347"/>
        </w:trPr>
        <w:tc>
          <w:tcPr>
            <w:tcW w:w="56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7"/>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Intangible assets, less accumulated amortization of</w:t>
            </w: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$45.2 and $42.4, respectively</w:t>
            </w:r>
          </w:p>
        </w:tc>
        <w:tc>
          <w:tcPr>
            <w:tcW w:w="13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530.1</w:t>
            </w:r>
          </w:p>
        </w:tc>
        <w:tc>
          <w:tcPr>
            <w:tcW w:w="620" w:type="dxa"/>
            <w:vAlign w:val="bottom"/>
          </w:tcPr>
          <w:p>
            <w:pPr>
              <w:spacing w:after="0"/>
              <w:rPr>
                <w:sz w:val="15"/>
                <w:szCs w:val="15"/>
                <w:color w:val="auto"/>
              </w:rPr>
            </w:pP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480.8</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Investments in licensees</w:t>
            </w:r>
          </w:p>
        </w:tc>
        <w:tc>
          <w:tcPr>
            <w:tcW w:w="13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61.6</w:t>
            </w:r>
          </w:p>
        </w:tc>
        <w:tc>
          <w:tcPr>
            <w:tcW w:w="620" w:type="dxa"/>
            <w:vAlign w:val="bottom"/>
          </w:tcPr>
          <w:p>
            <w:pPr>
              <w:spacing w:after="0"/>
              <w:rPr>
                <w:sz w:val="15"/>
                <w:szCs w:val="15"/>
                <w:color w:val="auto"/>
              </w:rPr>
            </w:pP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44.7</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3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236.2</w:t>
            </w:r>
          </w:p>
        </w:tc>
        <w:tc>
          <w:tcPr>
            <w:tcW w:w="620" w:type="dxa"/>
            <w:vAlign w:val="bottom"/>
          </w:tcPr>
          <w:p>
            <w:pPr>
              <w:spacing w:after="0"/>
              <w:rPr>
                <w:sz w:val="15"/>
                <w:szCs w:val="15"/>
                <w:color w:val="auto"/>
              </w:rPr>
            </w:pP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204.7</w:t>
            </w:r>
          </w:p>
        </w:tc>
      </w:tr>
      <w:tr>
        <w:trPr>
          <w:trHeight w:val="173"/>
        </w:trPr>
        <w:tc>
          <w:tcPr>
            <w:tcW w:w="5680" w:type="dxa"/>
            <w:vAlign w:val="bottom"/>
          </w:tcPr>
          <w:p>
            <w:pPr>
              <w:spacing w:after="0"/>
              <w:rPr>
                <w:sz w:val="15"/>
                <w:szCs w:val="15"/>
                <w:color w:val="auto"/>
              </w:rPr>
            </w:pPr>
          </w:p>
        </w:tc>
        <w:tc>
          <w:tcPr>
            <w:tcW w:w="25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3"/>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Total other assets</w:t>
            </w:r>
          </w:p>
        </w:tc>
        <w:tc>
          <w:tcPr>
            <w:tcW w:w="13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827.9</w:t>
            </w:r>
          </w:p>
        </w:tc>
        <w:tc>
          <w:tcPr>
            <w:tcW w:w="620" w:type="dxa"/>
            <w:vAlign w:val="bottom"/>
          </w:tcPr>
          <w:p>
            <w:pPr>
              <w:spacing w:after="0"/>
              <w:rPr>
                <w:sz w:val="15"/>
                <w:szCs w:val="15"/>
                <w:color w:val="auto"/>
              </w:rPr>
            </w:pP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730.2</w:t>
            </w:r>
          </w:p>
        </w:tc>
      </w:tr>
      <w:tr>
        <w:trPr>
          <w:trHeight w:val="347"/>
        </w:trPr>
        <w:tc>
          <w:tcPr>
            <w:tcW w:w="568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7"/>
        </w:trPr>
        <w:tc>
          <w:tcPr>
            <w:tcW w:w="5680" w:type="dxa"/>
            <w:vAlign w:val="bottom"/>
          </w:tcPr>
          <w:p>
            <w:pPr>
              <w:spacing w:after="0"/>
              <w:rPr>
                <w:sz w:val="20"/>
                <w:szCs w:val="20"/>
                <w:color w:val="auto"/>
              </w:rPr>
            </w:pPr>
            <w:r>
              <w:rPr>
                <w:rFonts w:ascii="Courier New" w:cs="Courier New" w:eastAsia="Courier New" w:hAnsi="Courier New"/>
                <w:sz w:val="15"/>
                <w:szCs w:val="15"/>
                <w:color w:val="auto"/>
              </w:rPr>
              <w:t>Land, buildings, leasehold improvements and equipment</w:t>
            </w:r>
          </w:p>
        </w:tc>
        <w:tc>
          <w:tcPr>
            <w:tcW w:w="1340" w:type="dxa"/>
            <w:vAlign w:val="bottom"/>
          </w:tcPr>
          <w:p>
            <w:pPr>
              <w:spacing w:after="0"/>
              <w:rPr>
                <w:sz w:val="24"/>
                <w:szCs w:val="2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501.3</w:t>
            </w:r>
          </w:p>
        </w:tc>
        <w:tc>
          <w:tcPr>
            <w:tcW w:w="620" w:type="dxa"/>
            <w:vAlign w:val="bottom"/>
          </w:tcPr>
          <w:p>
            <w:pPr>
              <w:spacing w:after="0"/>
              <w:rPr>
                <w:sz w:val="24"/>
                <w:szCs w:val="24"/>
                <w:color w:val="auto"/>
              </w:rPr>
            </w:pP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465.4</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3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316.3</w:t>
            </w:r>
          </w:p>
        </w:tc>
        <w:tc>
          <w:tcPr>
            <w:tcW w:w="620" w:type="dxa"/>
            <w:vAlign w:val="bottom"/>
          </w:tcPr>
          <w:p>
            <w:pPr>
              <w:spacing w:after="0"/>
              <w:rPr>
                <w:sz w:val="15"/>
                <w:szCs w:val="15"/>
                <w:color w:val="auto"/>
              </w:rPr>
            </w:pP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271.4</w:t>
            </w:r>
          </w:p>
        </w:tc>
      </w:tr>
      <w:tr>
        <w:trPr>
          <w:trHeight w:val="173"/>
        </w:trPr>
        <w:tc>
          <w:tcPr>
            <w:tcW w:w="5680" w:type="dxa"/>
            <w:vAlign w:val="bottom"/>
          </w:tcPr>
          <w:p>
            <w:pPr>
              <w:spacing w:after="0"/>
              <w:rPr>
                <w:sz w:val="15"/>
                <w:szCs w:val="15"/>
                <w:color w:val="auto"/>
              </w:rPr>
            </w:pPr>
          </w:p>
        </w:tc>
        <w:tc>
          <w:tcPr>
            <w:tcW w:w="25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3"/>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rPr>
              <w:t>Net property and equipment</w:t>
            </w:r>
          </w:p>
        </w:tc>
        <w:tc>
          <w:tcPr>
            <w:tcW w:w="13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185.0</w:t>
            </w:r>
          </w:p>
        </w:tc>
        <w:tc>
          <w:tcPr>
            <w:tcW w:w="620" w:type="dxa"/>
            <w:vAlign w:val="bottom"/>
          </w:tcPr>
          <w:p>
            <w:pPr>
              <w:spacing w:after="0"/>
              <w:rPr>
                <w:sz w:val="15"/>
                <w:szCs w:val="15"/>
                <w:color w:val="auto"/>
              </w:rPr>
            </w:pP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194.0</w:t>
            </w:r>
          </w:p>
        </w:tc>
      </w:tr>
      <w:tr>
        <w:trPr>
          <w:trHeight w:val="173"/>
        </w:trPr>
        <w:tc>
          <w:tcPr>
            <w:tcW w:w="5680" w:type="dxa"/>
            <w:vAlign w:val="bottom"/>
          </w:tcPr>
          <w:p>
            <w:pPr>
              <w:spacing w:after="0"/>
              <w:rPr>
                <w:sz w:val="15"/>
                <w:szCs w:val="15"/>
                <w:color w:val="auto"/>
              </w:rPr>
            </w:pPr>
          </w:p>
        </w:tc>
        <w:tc>
          <w:tcPr>
            <w:tcW w:w="25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3"/>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rPr>
              <w:t>Total assets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3,653.3</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3,238.6</w:t>
            </w:r>
          </w:p>
        </w:tc>
      </w:tr>
      <w:tr>
        <w:trPr>
          <w:trHeight w:val="173"/>
        </w:trPr>
        <w:tc>
          <w:tcPr>
            <w:tcW w:w="5680" w:type="dxa"/>
            <w:vAlign w:val="bottom"/>
          </w:tcPr>
          <w:p>
            <w:pPr>
              <w:spacing w:after="0"/>
              <w:rPr>
                <w:sz w:val="15"/>
                <w:szCs w:val="15"/>
                <w:color w:val="auto"/>
              </w:rPr>
            </w:pPr>
          </w:p>
        </w:tc>
        <w:tc>
          <w:tcPr>
            <w:tcW w:w="25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The accompanying notes to consolidated financial statements</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are an integral part of these balance sheets.</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64"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6580" w:type="dxa"/>
            <w:vAlign w:val="bottom"/>
          </w:tcPr>
          <w:p>
            <w:pPr>
              <w:ind w:left="2160"/>
              <w:spacing w:after="0"/>
              <w:rPr>
                <w:sz w:val="20"/>
                <w:szCs w:val="20"/>
                <w:color w:val="auto"/>
              </w:rPr>
            </w:pPr>
            <w:r>
              <w:rPr>
                <w:rFonts w:ascii="Courier New" w:cs="Courier New" w:eastAsia="Courier New" w:hAnsi="Courier New"/>
                <w:sz w:val="15"/>
                <w:szCs w:val="15"/>
                <w:color w:val="auto"/>
              </w:rPr>
              <w:t>MANPOWER INC. AND SUBSIDIARIES</w:t>
            </w: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47"/>
        </w:trPr>
        <w:tc>
          <w:tcPr>
            <w:tcW w:w="6580" w:type="dxa"/>
            <w:vAlign w:val="bottom"/>
          </w:tcPr>
          <w:p>
            <w:pPr>
              <w:ind w:left="2420"/>
              <w:spacing w:after="0"/>
              <w:rPr>
                <w:sz w:val="20"/>
                <w:szCs w:val="20"/>
                <w:color w:val="auto"/>
              </w:rPr>
            </w:pPr>
            <w:r>
              <w:rPr>
                <w:rFonts w:ascii="Courier New" w:cs="Courier New" w:eastAsia="Courier New" w:hAnsi="Courier New"/>
                <w:sz w:val="15"/>
                <w:szCs w:val="15"/>
                <w:color w:val="auto"/>
              </w:rPr>
              <w:t>CONSOLIDATED BALANCE SHEETS</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3"/>
        </w:trPr>
        <w:tc>
          <w:tcPr>
            <w:tcW w:w="6580" w:type="dxa"/>
            <w:vAlign w:val="bottom"/>
          </w:tcPr>
          <w:p>
            <w:pPr>
              <w:ind w:left="2160"/>
              <w:spacing w:after="0"/>
              <w:rPr>
                <w:sz w:val="20"/>
                <w:szCs w:val="20"/>
                <w:color w:val="auto"/>
              </w:rPr>
            </w:pPr>
            <w:r>
              <w:rPr>
                <w:rFonts w:ascii="Courier New" w:cs="Courier New" w:eastAsia="Courier New" w:hAnsi="Courier New"/>
                <w:sz w:val="15"/>
                <w:szCs w:val="15"/>
                <w:color w:val="auto"/>
              </w:rPr>
              <w:t>(IN MILLIONS, EXCEPT SHARE DATA)</w:t>
            </w: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47"/>
        </w:trPr>
        <w:tc>
          <w:tcPr>
            <w:tcW w:w="6580" w:type="dxa"/>
            <w:vAlign w:val="bottom"/>
          </w:tcPr>
          <w:p>
            <w:pPr>
              <w:ind w:left="1980"/>
              <w:spacing w:after="0"/>
              <w:rPr>
                <w:sz w:val="20"/>
                <w:szCs w:val="20"/>
                <w:color w:val="auto"/>
              </w:rPr>
            </w:pPr>
            <w:r>
              <w:rPr>
                <w:rFonts w:ascii="Courier New" w:cs="Courier New" w:eastAsia="Courier New" w:hAnsi="Courier New"/>
                <w:sz w:val="15"/>
                <w:szCs w:val="15"/>
                <w:color w:val="auto"/>
              </w:rPr>
              <w:t>LIABILITIES AND SHAREHOLDERS' EQUITY</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867"/>
        </w:trPr>
        <w:tc>
          <w:tcPr>
            <w:tcW w:w="6580" w:type="dxa"/>
            <w:vAlign w:val="bottom"/>
          </w:tcPr>
          <w:p>
            <w:pPr>
              <w:spacing w:after="0"/>
              <w:rPr>
                <w:sz w:val="24"/>
                <w:szCs w:val="24"/>
                <w:color w:val="auto"/>
              </w:rPr>
            </w:pPr>
          </w:p>
        </w:tc>
        <w:tc>
          <w:tcPr>
            <w:tcW w:w="21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SEPTEMBER 30,</w:t>
            </w:r>
          </w:p>
        </w:tc>
        <w:tc>
          <w:tcPr>
            <w:tcW w:w="17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DECEMBER 31,</w:t>
            </w:r>
          </w:p>
        </w:tc>
      </w:tr>
      <w:tr>
        <w:trPr>
          <w:trHeight w:val="173"/>
        </w:trPr>
        <w:tc>
          <w:tcPr>
            <w:tcW w:w="6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jc w:val="right"/>
              <w:ind w:right="745"/>
              <w:spacing w:after="0"/>
              <w:rPr>
                <w:sz w:val="20"/>
                <w:szCs w:val="20"/>
                <w:color w:val="auto"/>
              </w:rPr>
            </w:pPr>
            <w:r>
              <w:rPr>
                <w:rFonts w:ascii="Courier New" w:cs="Courier New" w:eastAsia="Courier New" w:hAnsi="Courier New"/>
                <w:sz w:val="15"/>
                <w:szCs w:val="15"/>
                <w:color w:val="auto"/>
                <w:w w:val="94"/>
              </w:rPr>
              <w:t>2002</w:t>
            </w:r>
          </w:p>
        </w:tc>
        <w:tc>
          <w:tcPr>
            <w:tcW w:w="620" w:type="dxa"/>
            <w:vAlign w:val="bottom"/>
          </w:tcPr>
          <w:p>
            <w:pPr>
              <w:spacing w:after="0"/>
              <w:rPr>
                <w:sz w:val="15"/>
                <w:szCs w:val="15"/>
                <w:color w:val="auto"/>
              </w:rPr>
            </w:pPr>
          </w:p>
        </w:tc>
        <w:tc>
          <w:tcPr>
            <w:tcW w:w="1100" w:type="dxa"/>
            <w:vAlign w:val="bottom"/>
          </w:tcPr>
          <w:p>
            <w:pPr>
              <w:jc w:val="right"/>
              <w:ind w:right="665"/>
              <w:spacing w:after="0"/>
              <w:rPr>
                <w:sz w:val="20"/>
                <w:szCs w:val="20"/>
                <w:color w:val="auto"/>
              </w:rPr>
            </w:pPr>
            <w:r>
              <w:rPr>
                <w:rFonts w:ascii="Courier New" w:cs="Courier New" w:eastAsia="Courier New" w:hAnsi="Courier New"/>
                <w:sz w:val="15"/>
                <w:szCs w:val="15"/>
                <w:color w:val="auto"/>
                <w:w w:val="94"/>
              </w:rPr>
              <w:t>2001</w:t>
            </w:r>
          </w:p>
        </w:tc>
      </w:tr>
      <w:tr>
        <w:trPr>
          <w:trHeight w:val="173"/>
        </w:trPr>
        <w:tc>
          <w:tcPr>
            <w:tcW w:w="6580" w:type="dxa"/>
            <w:vAlign w:val="bottom"/>
          </w:tcPr>
          <w:p>
            <w:pPr>
              <w:spacing w:after="0"/>
              <w:rPr>
                <w:sz w:val="15"/>
                <w:szCs w:val="15"/>
                <w:color w:val="auto"/>
              </w:rPr>
            </w:pPr>
          </w:p>
        </w:tc>
        <w:tc>
          <w:tcPr>
            <w:tcW w:w="2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580" w:type="dxa"/>
            <w:vAlign w:val="bottom"/>
          </w:tcPr>
          <w:p>
            <w:pPr>
              <w:spacing w:after="0"/>
              <w:rPr>
                <w:sz w:val="15"/>
                <w:szCs w:val="15"/>
                <w:color w:val="auto"/>
              </w:rPr>
            </w:pPr>
          </w:p>
        </w:tc>
        <w:tc>
          <w:tcPr>
            <w:tcW w:w="21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(Unaudited)</w:t>
            </w: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520"/>
        </w:trPr>
        <w:tc>
          <w:tcPr>
            <w:tcW w:w="65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7"/>
        </w:trPr>
        <w:tc>
          <w:tcPr>
            <w:tcW w:w="658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507.5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382.1</w:t>
            </w: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Employee compensation payable</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105.7</w:t>
            </w:r>
          </w:p>
        </w:tc>
        <w:tc>
          <w:tcPr>
            <w:tcW w:w="620" w:type="dxa"/>
            <w:vAlign w:val="bottom"/>
          </w:tcPr>
          <w:p>
            <w:pPr>
              <w:spacing w:after="0"/>
              <w:rPr>
                <w:sz w:val="15"/>
                <w:szCs w:val="15"/>
                <w:color w:val="auto"/>
              </w:rPr>
            </w:pP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93.2</w:t>
            </w: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Accrued liabilities</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283.3</w:t>
            </w:r>
          </w:p>
        </w:tc>
        <w:tc>
          <w:tcPr>
            <w:tcW w:w="620" w:type="dxa"/>
            <w:vAlign w:val="bottom"/>
          </w:tcPr>
          <w:p>
            <w:pPr>
              <w:spacing w:after="0"/>
              <w:rPr>
                <w:sz w:val="15"/>
                <w:szCs w:val="15"/>
                <w:color w:val="auto"/>
              </w:rPr>
            </w:pP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234.9</w:t>
            </w: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Accrued payroll taxes and insurance</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301.9</w:t>
            </w:r>
          </w:p>
        </w:tc>
        <w:tc>
          <w:tcPr>
            <w:tcW w:w="620" w:type="dxa"/>
            <w:vAlign w:val="bottom"/>
          </w:tcPr>
          <w:p>
            <w:pPr>
              <w:spacing w:after="0"/>
              <w:rPr>
                <w:sz w:val="15"/>
                <w:szCs w:val="15"/>
                <w:color w:val="auto"/>
              </w:rPr>
            </w:pP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300.8</w:t>
            </w: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Value added taxes payable</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326.4</w:t>
            </w:r>
          </w:p>
        </w:tc>
        <w:tc>
          <w:tcPr>
            <w:tcW w:w="620" w:type="dxa"/>
            <w:vAlign w:val="bottom"/>
          </w:tcPr>
          <w:p>
            <w:pPr>
              <w:spacing w:after="0"/>
              <w:rPr>
                <w:sz w:val="15"/>
                <w:szCs w:val="15"/>
                <w:color w:val="auto"/>
              </w:rPr>
            </w:pP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255.9</w:t>
            </w: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Short-term borrowings and current maturities of long-term debt</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29.9</w:t>
            </w:r>
          </w:p>
        </w:tc>
        <w:tc>
          <w:tcPr>
            <w:tcW w:w="620" w:type="dxa"/>
            <w:vAlign w:val="bottom"/>
          </w:tcPr>
          <w:p>
            <w:pPr>
              <w:spacing w:after="0"/>
              <w:rPr>
                <w:sz w:val="15"/>
                <w:szCs w:val="15"/>
                <w:color w:val="auto"/>
              </w:rPr>
            </w:pP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23.7</w:t>
            </w:r>
          </w:p>
        </w:tc>
      </w:tr>
      <w:tr>
        <w:trPr>
          <w:trHeight w:val="173"/>
        </w:trPr>
        <w:tc>
          <w:tcPr>
            <w:tcW w:w="6580" w:type="dxa"/>
            <w:vAlign w:val="bottom"/>
          </w:tcPr>
          <w:p>
            <w:pPr>
              <w:spacing w:after="0"/>
              <w:rPr>
                <w:sz w:val="15"/>
                <w:szCs w:val="15"/>
                <w:color w:val="auto"/>
              </w:rPr>
            </w:pPr>
          </w:p>
        </w:tc>
        <w:tc>
          <w:tcPr>
            <w:tcW w:w="21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6580" w:type="dxa"/>
            <w:vAlign w:val="bottom"/>
          </w:tcPr>
          <w:p>
            <w:pPr>
              <w:ind w:left="360"/>
              <w:spacing w:after="0"/>
              <w:rPr>
                <w:sz w:val="20"/>
                <w:szCs w:val="20"/>
                <w:color w:val="auto"/>
              </w:rPr>
            </w:pPr>
            <w:r>
              <w:rPr>
                <w:rFonts w:ascii="Courier New" w:cs="Courier New" w:eastAsia="Courier New" w:hAnsi="Courier New"/>
                <w:sz w:val="15"/>
                <w:szCs w:val="15"/>
                <w:color w:val="auto"/>
              </w:rPr>
              <w:t>Total current liabilities</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1,554.7</w:t>
            </w:r>
          </w:p>
        </w:tc>
        <w:tc>
          <w:tcPr>
            <w:tcW w:w="620" w:type="dxa"/>
            <w:vAlign w:val="bottom"/>
          </w:tcPr>
          <w:p>
            <w:pPr>
              <w:spacing w:after="0"/>
              <w:rPr>
                <w:sz w:val="15"/>
                <w:szCs w:val="15"/>
                <w:color w:val="auto"/>
              </w:rPr>
            </w:pP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1,290.6</w:t>
            </w:r>
          </w:p>
        </w:tc>
      </w:tr>
      <w:tr>
        <w:trPr>
          <w:trHeight w:val="347"/>
        </w:trPr>
        <w:tc>
          <w:tcPr>
            <w:tcW w:w="658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7"/>
        </w:trPr>
        <w:tc>
          <w:tcPr>
            <w:tcW w:w="65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980" w:type="dxa"/>
            <w:vAlign w:val="bottom"/>
          </w:tcPr>
          <w:p>
            <w:pPr>
              <w:spacing w:after="0"/>
              <w:rPr>
                <w:sz w:val="24"/>
                <w:szCs w:val="2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847.7</w:t>
            </w:r>
          </w:p>
        </w:tc>
        <w:tc>
          <w:tcPr>
            <w:tcW w:w="620" w:type="dxa"/>
            <w:vAlign w:val="bottom"/>
          </w:tcPr>
          <w:p>
            <w:pPr>
              <w:spacing w:after="0"/>
              <w:rPr>
                <w:sz w:val="24"/>
                <w:szCs w:val="24"/>
                <w:color w:val="auto"/>
              </w:rPr>
            </w:pP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811.1</w:t>
            </w: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Other long-term liabilities</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325.0</w:t>
            </w:r>
          </w:p>
        </w:tc>
        <w:tc>
          <w:tcPr>
            <w:tcW w:w="620" w:type="dxa"/>
            <w:vAlign w:val="bottom"/>
          </w:tcPr>
          <w:p>
            <w:pPr>
              <w:spacing w:after="0"/>
              <w:rPr>
                <w:sz w:val="15"/>
                <w:szCs w:val="15"/>
                <w:color w:val="auto"/>
              </w:rPr>
            </w:pP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322.6</w:t>
            </w:r>
          </w:p>
        </w:tc>
      </w:tr>
      <w:tr>
        <w:trPr>
          <w:trHeight w:val="173"/>
        </w:trPr>
        <w:tc>
          <w:tcPr>
            <w:tcW w:w="6580" w:type="dxa"/>
            <w:vAlign w:val="bottom"/>
          </w:tcPr>
          <w:p>
            <w:pPr>
              <w:spacing w:after="0"/>
              <w:rPr>
                <w:sz w:val="15"/>
                <w:szCs w:val="15"/>
                <w:color w:val="auto"/>
              </w:rPr>
            </w:pPr>
          </w:p>
        </w:tc>
        <w:tc>
          <w:tcPr>
            <w:tcW w:w="21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Total other liabilities</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1,172.7</w:t>
            </w:r>
          </w:p>
        </w:tc>
        <w:tc>
          <w:tcPr>
            <w:tcW w:w="620" w:type="dxa"/>
            <w:vAlign w:val="bottom"/>
          </w:tcPr>
          <w:p>
            <w:pPr>
              <w:spacing w:after="0"/>
              <w:rPr>
                <w:sz w:val="15"/>
                <w:szCs w:val="15"/>
                <w:color w:val="auto"/>
              </w:rPr>
            </w:pP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1,133.7</w:t>
            </w:r>
          </w:p>
        </w:tc>
      </w:tr>
      <w:tr>
        <w:trPr>
          <w:trHeight w:val="347"/>
        </w:trPr>
        <w:tc>
          <w:tcPr>
            <w:tcW w:w="65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7"/>
        </w:trPr>
        <w:tc>
          <w:tcPr>
            <w:tcW w:w="6580" w:type="dxa"/>
            <w:vAlign w:val="bottom"/>
          </w:tcPr>
          <w:p>
            <w:pPr>
              <w:spacing w:after="0"/>
              <w:rPr>
                <w:sz w:val="20"/>
                <w:szCs w:val="20"/>
                <w:color w:val="auto"/>
              </w:rPr>
            </w:pPr>
            <w:r>
              <w:rPr>
                <w:rFonts w:ascii="Courier New" w:cs="Courier New" w:eastAsia="Courier New" w:hAnsi="Courier New"/>
                <w:sz w:val="15"/>
                <w:szCs w:val="15"/>
                <w:color w:val="auto"/>
              </w:rPr>
              <w:t>Preferred stock, $.01 par value, authorized 25,000,000 shares,</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3"/>
        </w:trPr>
        <w:tc>
          <w:tcPr>
            <w:tcW w:w="6580" w:type="dxa"/>
            <w:vAlign w:val="bottom"/>
          </w:tcPr>
          <w:p>
            <w:pPr>
              <w:ind w:left="180"/>
              <w:spacing w:after="0"/>
              <w:rPr>
                <w:sz w:val="20"/>
                <w:szCs w:val="20"/>
                <w:color w:val="auto"/>
              </w:rPr>
            </w:pPr>
            <w:r>
              <w:rPr>
                <w:rFonts w:ascii="Courier New" w:cs="Courier New" w:eastAsia="Courier New" w:hAnsi="Courier New"/>
                <w:sz w:val="15"/>
                <w:szCs w:val="15"/>
                <w:color w:val="auto"/>
              </w:rPr>
              <w:t>none issued</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5"/>
                <w:szCs w:val="15"/>
                <w:color w:val="auto"/>
              </w:rPr>
            </w:pP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Common stock, $.01 par value, authorized 125,000,000 shares,</w:t>
            </w: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6580" w:type="dxa"/>
            <w:vAlign w:val="bottom"/>
          </w:tcPr>
          <w:p>
            <w:pPr>
              <w:ind w:left="180"/>
              <w:spacing w:after="0"/>
              <w:rPr>
                <w:sz w:val="20"/>
                <w:szCs w:val="20"/>
                <w:color w:val="auto"/>
              </w:rPr>
            </w:pPr>
            <w:r>
              <w:rPr>
                <w:rFonts w:ascii="Courier New" w:cs="Courier New" w:eastAsia="Courier New" w:hAnsi="Courier New"/>
                <w:sz w:val="15"/>
                <w:szCs w:val="15"/>
                <w:color w:val="auto"/>
              </w:rPr>
              <w:t>issued 86,669,472 and 85,173,961 shares, respectively</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w:t>
            </w:r>
          </w:p>
        </w:tc>
        <w:tc>
          <w:tcPr>
            <w:tcW w:w="620" w:type="dxa"/>
            <w:vAlign w:val="bottom"/>
          </w:tcPr>
          <w:p>
            <w:pPr>
              <w:spacing w:after="0"/>
              <w:rPr>
                <w:sz w:val="15"/>
                <w:szCs w:val="15"/>
                <w:color w:val="auto"/>
              </w:rPr>
            </w:pP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w:t>
            </w: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Capital in excess of par value</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1,690.3</w:t>
            </w:r>
          </w:p>
        </w:tc>
        <w:tc>
          <w:tcPr>
            <w:tcW w:w="620" w:type="dxa"/>
            <w:vAlign w:val="bottom"/>
          </w:tcPr>
          <w:p>
            <w:pPr>
              <w:spacing w:after="0"/>
              <w:rPr>
                <w:sz w:val="15"/>
                <w:szCs w:val="15"/>
                <w:color w:val="auto"/>
              </w:rPr>
            </w:pP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1,644.9</w:t>
            </w: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Accumulated deficit</w:t>
            </w:r>
          </w:p>
        </w:tc>
        <w:tc>
          <w:tcPr>
            <w:tcW w:w="9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(322.1)</w:t>
            </w:r>
          </w:p>
        </w:tc>
        <w:tc>
          <w:tcPr>
            <w:tcW w:w="6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(387.6)</w:t>
            </w: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9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(159.4)</w:t>
            </w:r>
          </w:p>
        </w:tc>
        <w:tc>
          <w:tcPr>
            <w:tcW w:w="6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(190.8)</w:t>
            </w: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Treasury stock at cost, 9,945,200 and 9,045,200 shares, respectively</w:t>
            </w:r>
          </w:p>
        </w:tc>
        <w:tc>
          <w:tcPr>
            <w:tcW w:w="9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(283.8)</w:t>
            </w:r>
          </w:p>
        </w:tc>
        <w:tc>
          <w:tcPr>
            <w:tcW w:w="6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(253.1)</w:t>
            </w:r>
          </w:p>
        </w:tc>
      </w:tr>
      <w:tr>
        <w:trPr>
          <w:trHeight w:val="173"/>
        </w:trPr>
        <w:tc>
          <w:tcPr>
            <w:tcW w:w="6580" w:type="dxa"/>
            <w:vAlign w:val="bottom"/>
          </w:tcPr>
          <w:p>
            <w:pPr>
              <w:spacing w:after="0"/>
              <w:rPr>
                <w:sz w:val="15"/>
                <w:szCs w:val="15"/>
                <w:color w:val="auto"/>
              </w:rPr>
            </w:pPr>
          </w:p>
        </w:tc>
        <w:tc>
          <w:tcPr>
            <w:tcW w:w="21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Total shareholders' equity</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925.9</w:t>
            </w:r>
          </w:p>
        </w:tc>
        <w:tc>
          <w:tcPr>
            <w:tcW w:w="620" w:type="dxa"/>
            <w:vAlign w:val="bottom"/>
          </w:tcPr>
          <w:p>
            <w:pPr>
              <w:spacing w:after="0"/>
              <w:rPr>
                <w:sz w:val="15"/>
                <w:szCs w:val="15"/>
                <w:color w:val="auto"/>
              </w:rPr>
            </w:pP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814.3</w:t>
            </w:r>
          </w:p>
        </w:tc>
      </w:tr>
      <w:tr>
        <w:trPr>
          <w:trHeight w:val="173"/>
        </w:trPr>
        <w:tc>
          <w:tcPr>
            <w:tcW w:w="6580" w:type="dxa"/>
            <w:vAlign w:val="bottom"/>
          </w:tcPr>
          <w:p>
            <w:pPr>
              <w:spacing w:after="0"/>
              <w:rPr>
                <w:sz w:val="15"/>
                <w:szCs w:val="15"/>
                <w:color w:val="auto"/>
              </w:rPr>
            </w:pPr>
          </w:p>
        </w:tc>
        <w:tc>
          <w:tcPr>
            <w:tcW w:w="21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3,653.3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3,238.6</w:t>
            </w:r>
          </w:p>
        </w:tc>
      </w:tr>
      <w:tr>
        <w:trPr>
          <w:trHeight w:val="173"/>
        </w:trPr>
        <w:tc>
          <w:tcPr>
            <w:tcW w:w="6580" w:type="dxa"/>
            <w:vAlign w:val="bottom"/>
          </w:tcPr>
          <w:p>
            <w:pPr>
              <w:spacing w:after="0"/>
              <w:rPr>
                <w:sz w:val="15"/>
                <w:szCs w:val="15"/>
                <w:color w:val="auto"/>
              </w:rPr>
            </w:pPr>
          </w:p>
        </w:tc>
        <w:tc>
          <w:tcPr>
            <w:tcW w:w="21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5"/>
          <w:szCs w:val="15"/>
          <w:color w:val="auto"/>
        </w:rPr>
        <w:t>The accompanying notes to consolidated financial statements</w:t>
      </w:r>
    </w:p>
    <w:p>
      <w:pPr>
        <w:spacing w:after="0" w:line="3"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5"/>
          <w:szCs w:val="15"/>
          <w:color w:val="auto"/>
        </w:rPr>
        <w:t>are an integral part of these balance sheets.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460"/>
          </w:cols>
          <w:pgMar w:left="240" w:top="464" w:right="1199" w:bottom="1440" w:gutter="0" w:footer="0" w:header="0"/>
        </w:sectPr>
      </w:pPr>
    </w:p>
    <w:bookmarkStart w:id="4" w:name="page5"/>
    <w:bookmarkEnd w:id="4"/>
    <w:p>
      <w:pPr>
        <w:ind w:left="2240"/>
        <w:spacing w:after="0"/>
        <w:rPr>
          <w:sz w:val="20"/>
          <w:szCs w:val="20"/>
          <w:color w:val="auto"/>
        </w:rPr>
      </w:pPr>
      <w:r>
        <w:rPr>
          <w:rFonts w:ascii="Courier New" w:cs="Courier New" w:eastAsia="Courier New" w:hAnsi="Courier New"/>
          <w:sz w:val="15"/>
          <w:szCs w:val="15"/>
          <w:color w:val="auto"/>
        </w:rPr>
        <w:t>MANPOWER INC. AND SUBSIDIARIES</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CONSOLIDATED STATEMENTS OF OPERATIONS (UNAUDITED)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tcPr>
          <w:p>
            <w:pPr>
              <w:ind w:left="1980"/>
              <w:spacing w:after="0"/>
              <w:rPr>
                <w:sz w:val="20"/>
                <w:szCs w:val="20"/>
                <w:color w:val="auto"/>
              </w:rPr>
            </w:pPr>
            <w:r>
              <w:rPr>
                <w:rFonts w:ascii="Courier New" w:cs="Courier New" w:eastAsia="Courier New" w:hAnsi="Courier New"/>
                <w:sz w:val="15"/>
                <w:szCs w:val="15"/>
                <w:color w:val="auto"/>
              </w:rPr>
              <w:t>(IN MILLIONS, EXCEPT PER SHARE DATA)</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94"/>
        </w:trPr>
        <w:tc>
          <w:tcPr>
            <w:tcW w:w="5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3"/>
          </w:tcPr>
          <w:p>
            <w:pPr>
              <w:jc w:val="right"/>
              <w:ind w:right="705"/>
              <w:spacing w:after="0"/>
              <w:rPr>
                <w:sz w:val="20"/>
                <w:szCs w:val="20"/>
                <w:color w:val="auto"/>
              </w:rPr>
            </w:pPr>
            <w:r>
              <w:rPr>
                <w:rFonts w:ascii="Courier New" w:cs="Courier New" w:eastAsia="Courier New" w:hAnsi="Courier New"/>
                <w:sz w:val="15"/>
                <w:szCs w:val="15"/>
                <w:color w:val="auto"/>
              </w:rPr>
              <w:t>3 MONTHS ENDED</w:t>
            </w:r>
          </w:p>
        </w:tc>
        <w:tc>
          <w:tcPr>
            <w:tcW w:w="400" w:type="dxa"/>
            <w:vAlign w:val="bottom"/>
          </w:tcPr>
          <w:p>
            <w:pPr>
              <w:spacing w:after="0"/>
              <w:rPr>
                <w:sz w:val="24"/>
                <w:szCs w:val="24"/>
                <w:color w:val="auto"/>
              </w:rPr>
            </w:pPr>
          </w:p>
        </w:tc>
        <w:tc>
          <w:tcPr>
            <w:tcW w:w="2080" w:type="dxa"/>
            <w:vAlign w:val="bottom"/>
            <w:gridSpan w:val="3"/>
          </w:tcPr>
          <w:p>
            <w:pPr>
              <w:jc w:val="right"/>
              <w:ind w:right="665"/>
              <w:spacing w:after="0"/>
              <w:rPr>
                <w:sz w:val="20"/>
                <w:szCs w:val="20"/>
                <w:color w:val="auto"/>
              </w:rPr>
            </w:pPr>
            <w:r>
              <w:rPr>
                <w:rFonts w:ascii="Courier New" w:cs="Courier New" w:eastAsia="Courier New" w:hAnsi="Courier New"/>
                <w:sz w:val="15"/>
                <w:szCs w:val="15"/>
                <w:color w:val="auto"/>
              </w:rPr>
              <w:t>9 MONTHS ENDED</w:t>
            </w:r>
          </w:p>
        </w:tc>
      </w:tr>
      <w:tr>
        <w:trPr>
          <w:trHeight w:val="173"/>
        </w:trPr>
        <w:tc>
          <w:tcPr>
            <w:tcW w:w="5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SEPTEMBER 30,</w:t>
            </w:r>
          </w:p>
        </w:tc>
        <w:tc>
          <w:tcPr>
            <w:tcW w:w="400" w:type="dxa"/>
            <w:vAlign w:val="bottom"/>
          </w:tcPr>
          <w:p>
            <w:pPr>
              <w:spacing w:after="0"/>
              <w:rPr>
                <w:sz w:val="15"/>
                <w:szCs w:val="15"/>
                <w:color w:val="auto"/>
              </w:rPr>
            </w:pPr>
          </w:p>
        </w:tc>
        <w:tc>
          <w:tcPr>
            <w:tcW w:w="2080" w:type="dxa"/>
            <w:vAlign w:val="bottom"/>
            <w:gridSpan w:val="3"/>
          </w:tcPr>
          <w:p>
            <w:pPr>
              <w:jc w:val="right"/>
              <w:ind w:right="665"/>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6040" w:type="dxa"/>
            <w:vAlign w:val="bottom"/>
            <w:gridSpan w:val="2"/>
          </w:tcPr>
          <w:p>
            <w:pPr>
              <w:ind w:left="5680"/>
              <w:spacing w:after="0"/>
              <w:rPr>
                <w:sz w:val="20"/>
                <w:szCs w:val="20"/>
                <w:color w:val="auto"/>
              </w:rPr>
            </w:pPr>
            <w:r>
              <w:rPr>
                <w:rFonts w:ascii="Courier New" w:cs="Courier New" w:eastAsia="Courier New" w:hAnsi="Courier New"/>
                <w:sz w:val="3"/>
                <w:szCs w:val="3"/>
                <w:color w:val="auto"/>
                <w:w w:val="72"/>
              </w:rPr>
              <w:t>--------------------------</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2002</w:t>
            </w:r>
          </w:p>
        </w:tc>
        <w:tc>
          <w:tcPr>
            <w:tcW w:w="260" w:type="dxa"/>
            <w:vAlign w:val="bottom"/>
          </w:tcPr>
          <w:p>
            <w:pPr>
              <w:spacing w:after="0"/>
              <w:rPr>
                <w:sz w:val="15"/>
                <w:szCs w:val="15"/>
                <w:color w:val="auto"/>
              </w:rPr>
            </w:pPr>
          </w:p>
        </w:tc>
        <w:tc>
          <w:tcPr>
            <w:tcW w:w="960" w:type="dxa"/>
            <w:vAlign w:val="bottom"/>
          </w:tcPr>
          <w:p>
            <w:pPr>
              <w:jc w:val="right"/>
              <w:ind w:right="525"/>
              <w:spacing w:after="0"/>
              <w:rPr>
                <w:sz w:val="20"/>
                <w:szCs w:val="20"/>
                <w:color w:val="auto"/>
              </w:rPr>
            </w:pPr>
            <w:r>
              <w:rPr>
                <w:rFonts w:ascii="Courier New" w:cs="Courier New" w:eastAsia="Courier New" w:hAnsi="Courier New"/>
                <w:sz w:val="15"/>
                <w:szCs w:val="15"/>
                <w:color w:val="auto"/>
                <w:w w:val="94"/>
              </w:rPr>
              <w:t>2001</w:t>
            </w:r>
          </w:p>
        </w:tc>
        <w:tc>
          <w:tcPr>
            <w:tcW w:w="40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2002</w:t>
            </w:r>
          </w:p>
        </w:tc>
        <w:tc>
          <w:tcPr>
            <w:tcW w:w="220" w:type="dxa"/>
            <w:vAlign w:val="bottom"/>
          </w:tcPr>
          <w:p>
            <w:pPr>
              <w:spacing w:after="0"/>
              <w:rPr>
                <w:sz w:val="15"/>
                <w:szCs w:val="15"/>
                <w:color w:val="auto"/>
              </w:rPr>
            </w:pPr>
          </w:p>
        </w:tc>
        <w:tc>
          <w:tcPr>
            <w:tcW w:w="92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9"/>
              </w:rPr>
              <w:t>2001</w:t>
            </w:r>
          </w:p>
        </w:tc>
      </w:tr>
      <w:tr>
        <w:trPr>
          <w:trHeight w:val="173"/>
        </w:trPr>
        <w:tc>
          <w:tcPr>
            <w:tcW w:w="6040" w:type="dxa"/>
            <w:vAlign w:val="bottom"/>
            <w:gridSpan w:val="2"/>
          </w:tcPr>
          <w:p>
            <w:pPr>
              <w:ind w:left="5680"/>
              <w:spacing w:after="0"/>
              <w:rPr>
                <w:sz w:val="20"/>
                <w:szCs w:val="20"/>
                <w:color w:val="auto"/>
              </w:rPr>
            </w:pPr>
            <w:r>
              <w:rPr>
                <w:rFonts w:ascii="Courier New" w:cs="Courier New" w:eastAsia="Courier New" w:hAnsi="Courier New"/>
                <w:sz w:val="6"/>
                <w:szCs w:val="6"/>
                <w:color w:val="auto"/>
                <w:w w:val="72"/>
              </w:rPr>
              <w:t>-------------</w:t>
            </w:r>
          </w:p>
        </w:tc>
        <w:tc>
          <w:tcPr>
            <w:tcW w:w="900" w:type="dxa"/>
            <w:vAlign w:val="bottom"/>
          </w:tcPr>
          <w:p>
            <w:pPr>
              <w:spacing w:after="0"/>
              <w:rPr>
                <w:sz w:val="15"/>
                <w:szCs w:val="15"/>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8"/>
              </w:rPr>
              <w:t>------------</w:t>
            </w:r>
          </w:p>
        </w:tc>
        <w:tc>
          <w:tcPr>
            <w:tcW w:w="24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 ------------</w:t>
            </w:r>
          </w:p>
        </w:tc>
      </w:tr>
      <w:tr>
        <w:trPr>
          <w:trHeight w:val="347"/>
        </w:trPr>
        <w:tc>
          <w:tcPr>
            <w:tcW w:w="5760" w:type="dxa"/>
            <w:vAlign w:val="bottom"/>
          </w:tcPr>
          <w:p>
            <w:pPr>
              <w:spacing w:after="0"/>
              <w:rPr>
                <w:sz w:val="20"/>
                <w:szCs w:val="20"/>
                <w:color w:val="auto"/>
              </w:rPr>
            </w:pPr>
            <w:r>
              <w:rPr>
                <w:rFonts w:ascii="Courier New" w:cs="Courier New" w:eastAsia="Courier New" w:hAnsi="Courier New"/>
                <w:sz w:val="15"/>
                <w:szCs w:val="15"/>
                <w:color w:val="auto"/>
              </w:rPr>
              <w:t>Revenues from services</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2,885.9</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2,675.4</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7,772.8</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7,947.4</w:t>
            </w:r>
          </w:p>
        </w:tc>
      </w:tr>
      <w:tr>
        <w:trPr>
          <w:trHeight w:val="347"/>
        </w:trPr>
        <w:tc>
          <w:tcPr>
            <w:tcW w:w="5760" w:type="dxa"/>
            <w:vAlign w:val="bottom"/>
          </w:tcPr>
          <w:p>
            <w:pPr>
              <w:spacing w:after="0"/>
              <w:rPr>
                <w:sz w:val="20"/>
                <w:szCs w:val="20"/>
                <w:color w:val="auto"/>
              </w:rPr>
            </w:pPr>
            <w:r>
              <w:rPr>
                <w:rFonts w:ascii="Courier New" w:cs="Courier New" w:eastAsia="Courier New" w:hAnsi="Courier New"/>
                <w:sz w:val="15"/>
                <w:szCs w:val="15"/>
                <w:color w:val="auto"/>
              </w:rPr>
              <w:t>Cost of services</w:t>
            </w:r>
          </w:p>
        </w:tc>
        <w:tc>
          <w:tcPr>
            <w:tcW w:w="280" w:type="dxa"/>
            <w:vAlign w:val="bottom"/>
          </w:tcPr>
          <w:p>
            <w:pPr>
              <w:spacing w:after="0"/>
              <w:rPr>
                <w:sz w:val="24"/>
                <w:szCs w:val="2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2,373.6</w:t>
            </w:r>
          </w:p>
        </w:tc>
        <w:tc>
          <w:tcPr>
            <w:tcW w:w="260" w:type="dxa"/>
            <w:vAlign w:val="bottom"/>
          </w:tcPr>
          <w:p>
            <w:pPr>
              <w:spacing w:after="0"/>
              <w:rPr>
                <w:sz w:val="24"/>
                <w:szCs w:val="24"/>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2,170.8</w:t>
            </w:r>
          </w:p>
        </w:tc>
        <w:tc>
          <w:tcPr>
            <w:tcW w:w="400" w:type="dxa"/>
            <w:vAlign w:val="bottom"/>
          </w:tcPr>
          <w:p>
            <w:pPr>
              <w:spacing w:after="0"/>
              <w:rPr>
                <w:sz w:val="24"/>
                <w:szCs w:val="2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6,378.1</w:t>
            </w:r>
          </w:p>
        </w:tc>
        <w:tc>
          <w:tcPr>
            <w:tcW w:w="220" w:type="dxa"/>
            <w:vAlign w:val="bottom"/>
          </w:tcPr>
          <w:p>
            <w:pPr>
              <w:spacing w:after="0"/>
              <w:rPr>
                <w:sz w:val="24"/>
                <w:szCs w:val="24"/>
                <w:color w:val="auto"/>
              </w:rPr>
            </w:pP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6,469.8</w:t>
            </w:r>
          </w:p>
        </w:tc>
      </w:tr>
      <w:tr>
        <w:trPr>
          <w:trHeight w:val="173"/>
        </w:trPr>
        <w:tc>
          <w:tcPr>
            <w:tcW w:w="5760" w:type="dxa"/>
            <w:vAlign w:val="bottom"/>
          </w:tcPr>
          <w:p>
            <w:pPr>
              <w:spacing w:after="0"/>
              <w:rPr>
                <w:sz w:val="15"/>
                <w:szCs w:val="15"/>
                <w:color w:val="auto"/>
              </w:rPr>
            </w:pP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Gross profit</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512.3</w:t>
            </w:r>
          </w:p>
        </w:tc>
        <w:tc>
          <w:tcPr>
            <w:tcW w:w="26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504.6</w:t>
            </w:r>
          </w:p>
        </w:tc>
        <w:tc>
          <w:tcPr>
            <w:tcW w:w="4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1,394.7</w:t>
            </w:r>
          </w:p>
        </w:tc>
        <w:tc>
          <w:tcPr>
            <w:tcW w:w="220" w:type="dxa"/>
            <w:vAlign w:val="bottom"/>
          </w:tcPr>
          <w:p>
            <w:pPr>
              <w:spacing w:after="0"/>
              <w:rPr>
                <w:sz w:val="15"/>
                <w:szCs w:val="15"/>
                <w:color w:val="auto"/>
              </w:rPr>
            </w:pP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1,477.6</w:t>
            </w:r>
          </w:p>
        </w:tc>
      </w:tr>
      <w:tr>
        <w:trPr>
          <w:trHeight w:val="347"/>
        </w:trPr>
        <w:tc>
          <w:tcPr>
            <w:tcW w:w="5760" w:type="dxa"/>
            <w:vAlign w:val="bottom"/>
          </w:tcPr>
          <w:p>
            <w:pPr>
              <w:spacing w:after="0"/>
              <w:rPr>
                <w:sz w:val="20"/>
                <w:szCs w:val="20"/>
                <w:color w:val="auto"/>
              </w:rPr>
            </w:pPr>
            <w:r>
              <w:rPr>
                <w:rFonts w:ascii="Courier New" w:cs="Courier New" w:eastAsia="Courier New" w:hAnsi="Courier New"/>
                <w:sz w:val="15"/>
                <w:szCs w:val="15"/>
                <w:color w:val="auto"/>
              </w:rPr>
              <w:t>Selling and administrative expenses</w:t>
            </w:r>
          </w:p>
        </w:tc>
        <w:tc>
          <w:tcPr>
            <w:tcW w:w="280" w:type="dxa"/>
            <w:vAlign w:val="bottom"/>
          </w:tcPr>
          <w:p>
            <w:pPr>
              <w:spacing w:after="0"/>
              <w:rPr>
                <w:sz w:val="24"/>
                <w:szCs w:val="2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435.1</w:t>
            </w:r>
          </w:p>
        </w:tc>
        <w:tc>
          <w:tcPr>
            <w:tcW w:w="260" w:type="dxa"/>
            <w:vAlign w:val="bottom"/>
          </w:tcPr>
          <w:p>
            <w:pPr>
              <w:spacing w:after="0"/>
              <w:rPr>
                <w:sz w:val="24"/>
                <w:szCs w:val="24"/>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436.2</w:t>
            </w:r>
          </w:p>
        </w:tc>
        <w:tc>
          <w:tcPr>
            <w:tcW w:w="400" w:type="dxa"/>
            <w:vAlign w:val="bottom"/>
          </w:tcPr>
          <w:p>
            <w:pPr>
              <w:spacing w:after="0"/>
              <w:rPr>
                <w:sz w:val="24"/>
                <w:szCs w:val="2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1,247.0</w:t>
            </w:r>
          </w:p>
        </w:tc>
        <w:tc>
          <w:tcPr>
            <w:tcW w:w="220" w:type="dxa"/>
            <w:vAlign w:val="bottom"/>
          </w:tcPr>
          <w:p>
            <w:pPr>
              <w:spacing w:after="0"/>
              <w:rPr>
                <w:sz w:val="24"/>
                <w:szCs w:val="24"/>
                <w:color w:val="auto"/>
              </w:rPr>
            </w:pP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1,294.4</w:t>
            </w:r>
          </w:p>
        </w:tc>
      </w:tr>
      <w:tr>
        <w:trPr>
          <w:trHeight w:val="173"/>
        </w:trPr>
        <w:tc>
          <w:tcPr>
            <w:tcW w:w="5760" w:type="dxa"/>
            <w:vAlign w:val="bottom"/>
          </w:tcPr>
          <w:p>
            <w:pPr>
              <w:spacing w:after="0"/>
              <w:rPr>
                <w:sz w:val="15"/>
                <w:szCs w:val="15"/>
                <w:color w:val="auto"/>
              </w:rPr>
            </w:pP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Operating profit</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77.2</w:t>
            </w:r>
          </w:p>
        </w:tc>
        <w:tc>
          <w:tcPr>
            <w:tcW w:w="26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68.4</w:t>
            </w:r>
          </w:p>
        </w:tc>
        <w:tc>
          <w:tcPr>
            <w:tcW w:w="4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147.7</w:t>
            </w:r>
          </w:p>
        </w:tc>
        <w:tc>
          <w:tcPr>
            <w:tcW w:w="220" w:type="dxa"/>
            <w:vAlign w:val="bottom"/>
          </w:tcPr>
          <w:p>
            <w:pPr>
              <w:spacing w:after="0"/>
              <w:rPr>
                <w:sz w:val="15"/>
                <w:szCs w:val="15"/>
                <w:color w:val="auto"/>
              </w:rPr>
            </w:pP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183.2</w:t>
            </w:r>
          </w:p>
        </w:tc>
      </w:tr>
      <w:tr>
        <w:trPr>
          <w:trHeight w:val="347"/>
        </w:trPr>
        <w:tc>
          <w:tcPr>
            <w:tcW w:w="5760" w:type="dxa"/>
            <w:vAlign w:val="bottom"/>
          </w:tcPr>
          <w:p>
            <w:pPr>
              <w:spacing w:after="0"/>
              <w:rPr>
                <w:sz w:val="20"/>
                <w:szCs w:val="20"/>
                <w:color w:val="auto"/>
              </w:rPr>
            </w:pPr>
            <w:r>
              <w:rPr>
                <w:rFonts w:ascii="Courier New" w:cs="Courier New" w:eastAsia="Courier New" w:hAnsi="Courier New"/>
                <w:sz w:val="15"/>
                <w:szCs w:val="15"/>
                <w:color w:val="auto"/>
              </w:rPr>
              <w:t>Interest and other expense</w:t>
            </w:r>
          </w:p>
        </w:tc>
        <w:tc>
          <w:tcPr>
            <w:tcW w:w="280" w:type="dxa"/>
            <w:vAlign w:val="bottom"/>
          </w:tcPr>
          <w:p>
            <w:pPr>
              <w:spacing w:after="0"/>
              <w:rPr>
                <w:sz w:val="24"/>
                <w:szCs w:val="2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w:t>
            </w:r>
          </w:p>
        </w:tc>
        <w:tc>
          <w:tcPr>
            <w:tcW w:w="260" w:type="dxa"/>
            <w:vAlign w:val="bottom"/>
          </w:tcPr>
          <w:p>
            <w:pPr>
              <w:spacing w:after="0"/>
              <w:rPr>
                <w:sz w:val="24"/>
                <w:szCs w:val="24"/>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w:t>
            </w:r>
          </w:p>
        </w:tc>
        <w:tc>
          <w:tcPr>
            <w:tcW w:w="400" w:type="dxa"/>
            <w:vAlign w:val="bottom"/>
          </w:tcPr>
          <w:p>
            <w:pPr>
              <w:spacing w:after="0"/>
              <w:rPr>
                <w:sz w:val="24"/>
                <w:szCs w:val="2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28.9</w:t>
            </w:r>
          </w:p>
        </w:tc>
        <w:tc>
          <w:tcPr>
            <w:tcW w:w="220" w:type="dxa"/>
            <w:vAlign w:val="bottom"/>
          </w:tcPr>
          <w:p>
            <w:pPr>
              <w:spacing w:after="0"/>
              <w:rPr>
                <w:sz w:val="24"/>
                <w:szCs w:val="24"/>
                <w:color w:val="auto"/>
              </w:rPr>
            </w:pP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29.2</w:t>
            </w:r>
          </w:p>
        </w:tc>
      </w:tr>
      <w:tr>
        <w:trPr>
          <w:trHeight w:val="173"/>
        </w:trPr>
        <w:tc>
          <w:tcPr>
            <w:tcW w:w="5760" w:type="dxa"/>
            <w:vAlign w:val="bottom"/>
          </w:tcPr>
          <w:p>
            <w:pPr>
              <w:spacing w:after="0"/>
              <w:rPr>
                <w:sz w:val="15"/>
                <w:szCs w:val="15"/>
                <w:color w:val="auto"/>
              </w:rPr>
            </w:pP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Earnings before income taxes</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65.9</w:t>
            </w:r>
          </w:p>
        </w:tc>
        <w:tc>
          <w:tcPr>
            <w:tcW w:w="26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58.0</w:t>
            </w:r>
          </w:p>
        </w:tc>
        <w:tc>
          <w:tcPr>
            <w:tcW w:w="4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118.8</w:t>
            </w:r>
          </w:p>
        </w:tc>
        <w:tc>
          <w:tcPr>
            <w:tcW w:w="220" w:type="dxa"/>
            <w:vAlign w:val="bottom"/>
          </w:tcPr>
          <w:p>
            <w:pPr>
              <w:spacing w:after="0"/>
              <w:rPr>
                <w:sz w:val="15"/>
                <w:szCs w:val="15"/>
                <w:color w:val="auto"/>
              </w:rPr>
            </w:pP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154.0</w:t>
            </w:r>
          </w:p>
        </w:tc>
      </w:tr>
      <w:tr>
        <w:trPr>
          <w:trHeight w:val="347"/>
        </w:trPr>
        <w:tc>
          <w:tcPr>
            <w:tcW w:w="576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280" w:type="dxa"/>
            <w:vAlign w:val="bottom"/>
          </w:tcPr>
          <w:p>
            <w:pPr>
              <w:spacing w:after="0"/>
              <w:rPr>
                <w:sz w:val="24"/>
                <w:szCs w:val="2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25.4</w:t>
            </w:r>
          </w:p>
        </w:tc>
        <w:tc>
          <w:tcPr>
            <w:tcW w:w="260" w:type="dxa"/>
            <w:vAlign w:val="bottom"/>
          </w:tcPr>
          <w:p>
            <w:pPr>
              <w:spacing w:after="0"/>
              <w:rPr>
                <w:sz w:val="24"/>
                <w:szCs w:val="24"/>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20.9</w:t>
            </w:r>
          </w:p>
        </w:tc>
        <w:tc>
          <w:tcPr>
            <w:tcW w:w="400" w:type="dxa"/>
            <w:vAlign w:val="bottom"/>
          </w:tcPr>
          <w:p>
            <w:pPr>
              <w:spacing w:after="0"/>
              <w:rPr>
                <w:sz w:val="24"/>
                <w:szCs w:val="2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45.7</w:t>
            </w:r>
          </w:p>
        </w:tc>
        <w:tc>
          <w:tcPr>
            <w:tcW w:w="220" w:type="dxa"/>
            <w:vAlign w:val="bottom"/>
          </w:tcPr>
          <w:p>
            <w:pPr>
              <w:spacing w:after="0"/>
              <w:rPr>
                <w:sz w:val="24"/>
                <w:szCs w:val="24"/>
                <w:color w:val="auto"/>
              </w:rPr>
            </w:pP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55.4</w:t>
            </w:r>
          </w:p>
        </w:tc>
      </w:tr>
      <w:tr>
        <w:trPr>
          <w:trHeight w:val="173"/>
        </w:trPr>
        <w:tc>
          <w:tcPr>
            <w:tcW w:w="5760" w:type="dxa"/>
            <w:vAlign w:val="bottom"/>
          </w:tcPr>
          <w:p>
            <w:pPr>
              <w:spacing w:after="0"/>
              <w:rPr>
                <w:sz w:val="15"/>
                <w:szCs w:val="15"/>
                <w:color w:val="auto"/>
              </w:rPr>
            </w:pP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Net earnings</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40.5</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37.1</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73.1</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98.6</w:t>
            </w:r>
          </w:p>
        </w:tc>
      </w:tr>
      <w:tr>
        <w:trPr>
          <w:trHeight w:val="173"/>
        </w:trPr>
        <w:tc>
          <w:tcPr>
            <w:tcW w:w="5760" w:type="dxa"/>
            <w:vAlign w:val="bottom"/>
          </w:tcPr>
          <w:p>
            <w:pPr>
              <w:spacing w:after="0"/>
              <w:rPr>
                <w:sz w:val="15"/>
                <w:szCs w:val="15"/>
                <w:color w:val="auto"/>
              </w:rPr>
            </w:pP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5760" w:type="dxa"/>
            <w:vAlign w:val="bottom"/>
          </w:tcPr>
          <w:p>
            <w:pPr>
              <w:spacing w:after="0"/>
              <w:rPr>
                <w:sz w:val="20"/>
                <w:szCs w:val="20"/>
                <w:color w:val="auto"/>
              </w:rPr>
            </w:pPr>
            <w:r>
              <w:rPr>
                <w:rFonts w:ascii="Courier New" w:cs="Courier New" w:eastAsia="Courier New" w:hAnsi="Courier New"/>
                <w:sz w:val="15"/>
                <w:szCs w:val="15"/>
                <w:color w:val="auto"/>
              </w:rPr>
              <w:t>Net earnings per share</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.96</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w:t>
            </w:r>
          </w:p>
        </w:tc>
      </w:tr>
      <w:tr>
        <w:trPr>
          <w:trHeight w:val="173"/>
        </w:trPr>
        <w:tc>
          <w:tcPr>
            <w:tcW w:w="5760" w:type="dxa"/>
            <w:vAlign w:val="bottom"/>
          </w:tcPr>
          <w:p>
            <w:pPr>
              <w:spacing w:after="0"/>
              <w:rPr>
                <w:sz w:val="15"/>
                <w:szCs w:val="15"/>
                <w:color w:val="auto"/>
              </w:rPr>
            </w:pP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spacing w:after="0"/>
              <w:rPr>
                <w:sz w:val="20"/>
                <w:szCs w:val="20"/>
                <w:color w:val="auto"/>
              </w:rPr>
            </w:pPr>
            <w:r>
              <w:rPr>
                <w:rFonts w:ascii="Courier New" w:cs="Courier New" w:eastAsia="Courier New" w:hAnsi="Courier New"/>
                <w:sz w:val="15"/>
                <w:szCs w:val="15"/>
                <w:color w:val="auto"/>
              </w:rPr>
              <w:t>Net earnings per share - diluted</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.94</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w:t>
            </w:r>
          </w:p>
        </w:tc>
      </w:tr>
      <w:tr>
        <w:trPr>
          <w:trHeight w:val="173"/>
        </w:trPr>
        <w:tc>
          <w:tcPr>
            <w:tcW w:w="5760" w:type="dxa"/>
            <w:vAlign w:val="bottom"/>
          </w:tcPr>
          <w:p>
            <w:pPr>
              <w:spacing w:after="0"/>
              <w:rPr>
                <w:sz w:val="15"/>
                <w:szCs w:val="15"/>
                <w:color w:val="auto"/>
              </w:rPr>
            </w:pP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576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280" w:type="dxa"/>
            <w:vAlign w:val="bottom"/>
          </w:tcPr>
          <w:p>
            <w:pPr>
              <w:spacing w:after="0"/>
              <w:rPr>
                <w:sz w:val="24"/>
                <w:szCs w:val="2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76.6</w:t>
            </w:r>
          </w:p>
        </w:tc>
        <w:tc>
          <w:tcPr>
            <w:tcW w:w="260" w:type="dxa"/>
            <w:vAlign w:val="bottom"/>
          </w:tcPr>
          <w:p>
            <w:pPr>
              <w:spacing w:after="0"/>
              <w:rPr>
                <w:sz w:val="24"/>
                <w:szCs w:val="24"/>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76.0</w:t>
            </w:r>
          </w:p>
        </w:tc>
        <w:tc>
          <w:tcPr>
            <w:tcW w:w="400" w:type="dxa"/>
            <w:vAlign w:val="bottom"/>
          </w:tcPr>
          <w:p>
            <w:pPr>
              <w:spacing w:after="0"/>
              <w:rPr>
                <w:sz w:val="24"/>
                <w:szCs w:val="2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76.2</w:t>
            </w:r>
          </w:p>
        </w:tc>
        <w:tc>
          <w:tcPr>
            <w:tcW w:w="220" w:type="dxa"/>
            <w:vAlign w:val="bottom"/>
          </w:tcPr>
          <w:p>
            <w:pPr>
              <w:spacing w:after="0"/>
              <w:rPr>
                <w:sz w:val="24"/>
                <w:szCs w:val="24"/>
                <w:color w:val="auto"/>
              </w:rPr>
            </w:pP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75.9</w:t>
            </w:r>
          </w:p>
        </w:tc>
      </w:tr>
      <w:tr>
        <w:trPr>
          <w:trHeight w:val="173"/>
        </w:trPr>
        <w:tc>
          <w:tcPr>
            <w:tcW w:w="5760" w:type="dxa"/>
            <w:vAlign w:val="bottom"/>
          </w:tcPr>
          <w:p>
            <w:pPr>
              <w:spacing w:after="0"/>
              <w:rPr>
                <w:sz w:val="15"/>
                <w:szCs w:val="15"/>
                <w:color w:val="auto"/>
              </w:rPr>
            </w:pP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 diluted</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77.4</w:t>
            </w:r>
          </w:p>
        </w:tc>
        <w:tc>
          <w:tcPr>
            <w:tcW w:w="26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76.9</w:t>
            </w:r>
          </w:p>
        </w:tc>
        <w:tc>
          <w:tcPr>
            <w:tcW w:w="4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77.6</w:t>
            </w:r>
          </w:p>
        </w:tc>
        <w:tc>
          <w:tcPr>
            <w:tcW w:w="220" w:type="dxa"/>
            <w:vAlign w:val="bottom"/>
          </w:tcPr>
          <w:p>
            <w:pPr>
              <w:spacing w:after="0"/>
              <w:rPr>
                <w:sz w:val="15"/>
                <w:szCs w:val="15"/>
                <w:color w:val="auto"/>
              </w:rPr>
            </w:pP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77.0</w:t>
            </w:r>
          </w:p>
        </w:tc>
      </w:tr>
      <w:tr>
        <w:trPr>
          <w:trHeight w:val="173"/>
        </w:trPr>
        <w:tc>
          <w:tcPr>
            <w:tcW w:w="5760" w:type="dxa"/>
            <w:vAlign w:val="bottom"/>
          </w:tcPr>
          <w:p>
            <w:pPr>
              <w:spacing w:after="0"/>
              <w:rPr>
                <w:sz w:val="15"/>
                <w:szCs w:val="15"/>
                <w:color w:val="auto"/>
              </w:rPr>
            </w:pP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20"/>
        </w:trPr>
        <w:tc>
          <w:tcPr>
            <w:tcW w:w="694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The accompanying notes to consolidated financial statements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3"/>
        </w:trPr>
        <w:tc>
          <w:tcPr>
            <w:tcW w:w="5760" w:type="dxa"/>
            <w:vAlign w:val="bottom"/>
          </w:tcPr>
          <w:p>
            <w:pPr>
              <w:ind w:left="1700"/>
              <w:spacing w:after="0"/>
              <w:rPr>
                <w:sz w:val="20"/>
                <w:szCs w:val="20"/>
                <w:color w:val="auto"/>
              </w:rPr>
            </w:pPr>
            <w:r>
              <w:rPr>
                <w:rFonts w:ascii="Courier New" w:cs="Courier New" w:eastAsia="Courier New" w:hAnsi="Courier New"/>
                <w:sz w:val="15"/>
                <w:szCs w:val="15"/>
                <w:color w:val="auto"/>
              </w:rPr>
              <w:t>are an integral part of these statements.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47"/>
        </w:trPr>
        <w:tc>
          <w:tcPr>
            <w:tcW w:w="72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7"/>
        </w:trPr>
        <w:tc>
          <w:tcPr>
            <w:tcW w:w="5760" w:type="dxa"/>
            <w:vAlign w:val="bottom"/>
          </w:tcPr>
          <w:p>
            <w:pPr>
              <w:ind w:left="1520"/>
              <w:spacing w:after="0"/>
              <w:rPr>
                <w:sz w:val="20"/>
                <w:szCs w:val="20"/>
                <w:color w:val="auto"/>
              </w:rPr>
            </w:pPr>
            <w:r>
              <w:rPr>
                <w:rFonts w:ascii="Courier New" w:cs="Courier New" w:eastAsia="Courier New" w:hAnsi="Courier New"/>
                <w:sz w:val="15"/>
                <w:szCs w:val="15"/>
                <w:color w:val="auto"/>
                <w:w w:val="99"/>
              </w:rPr>
              <w:t>SUPPLEMENTAL SYSTEMWIDE INFORMATION (UNAUDITED)</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3"/>
        </w:trPr>
        <w:tc>
          <w:tcPr>
            <w:tcW w:w="5760" w:type="dxa"/>
            <w:vAlign w:val="bottom"/>
          </w:tcPr>
          <w:p>
            <w:pPr>
              <w:ind w:left="3060"/>
              <w:spacing w:after="0"/>
              <w:rPr>
                <w:sz w:val="20"/>
                <w:szCs w:val="20"/>
                <w:color w:val="auto"/>
              </w:rPr>
            </w:pPr>
            <w:r>
              <w:rPr>
                <w:rFonts w:ascii="Courier New" w:cs="Courier New" w:eastAsia="Courier New" w:hAnsi="Courier New"/>
                <w:sz w:val="15"/>
                <w:szCs w:val="15"/>
                <w:color w:val="auto"/>
              </w:rPr>
              <w:t>(IN MILLIONS)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694"/>
        </w:trPr>
        <w:tc>
          <w:tcPr>
            <w:tcW w:w="5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3 MONTHS</w:t>
            </w:r>
          </w:p>
        </w:tc>
        <w:tc>
          <w:tcPr>
            <w:tcW w:w="12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ENDED</w:t>
            </w:r>
          </w:p>
        </w:tc>
        <w:tc>
          <w:tcPr>
            <w:tcW w:w="400" w:type="dxa"/>
            <w:vAlign w:val="bottom"/>
          </w:tcPr>
          <w:p>
            <w:pPr>
              <w:spacing w:after="0"/>
              <w:rPr>
                <w:sz w:val="24"/>
                <w:szCs w:val="24"/>
                <w:color w:val="auto"/>
              </w:rPr>
            </w:pPr>
          </w:p>
        </w:tc>
        <w:tc>
          <w:tcPr>
            <w:tcW w:w="208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9 MONTHS ENDED</w:t>
            </w:r>
          </w:p>
        </w:tc>
      </w:tr>
      <w:tr>
        <w:trPr>
          <w:trHeight w:val="173"/>
        </w:trPr>
        <w:tc>
          <w:tcPr>
            <w:tcW w:w="5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20" w:type="dxa"/>
            <w:vAlign w:val="bottom"/>
            <w:gridSpan w:val="3"/>
          </w:tcPr>
          <w:p>
            <w:pPr>
              <w:jc w:val="right"/>
              <w:ind w:right="605"/>
              <w:spacing w:after="0"/>
              <w:rPr>
                <w:sz w:val="20"/>
                <w:szCs w:val="20"/>
                <w:color w:val="auto"/>
              </w:rPr>
            </w:pPr>
            <w:r>
              <w:rPr>
                <w:rFonts w:ascii="Courier New" w:cs="Courier New" w:eastAsia="Courier New" w:hAnsi="Courier New"/>
                <w:sz w:val="15"/>
                <w:szCs w:val="15"/>
                <w:color w:val="auto"/>
              </w:rPr>
              <w:t>SEPTEMBER 30,</w:t>
            </w:r>
          </w:p>
        </w:tc>
        <w:tc>
          <w:tcPr>
            <w:tcW w:w="400" w:type="dxa"/>
            <w:vAlign w:val="bottom"/>
          </w:tcPr>
          <w:p>
            <w:pPr>
              <w:spacing w:after="0"/>
              <w:rPr>
                <w:sz w:val="15"/>
                <w:szCs w:val="15"/>
                <w:color w:val="auto"/>
              </w:rPr>
            </w:pPr>
          </w:p>
        </w:tc>
        <w:tc>
          <w:tcPr>
            <w:tcW w:w="208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576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80" w:type="dxa"/>
            <w:vAlign w:val="bottom"/>
            <w:gridSpan w:val="4"/>
          </w:tcPr>
          <w:p>
            <w:pPr>
              <w:ind w:left="22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5"/>
                <w:szCs w:val="15"/>
                <w:color w:val="auto"/>
              </w:rPr>
            </w:pPr>
          </w:p>
        </w:tc>
        <w:tc>
          <w:tcPr>
            <w:tcW w:w="9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2001</w:t>
            </w:r>
          </w:p>
        </w:tc>
        <w:tc>
          <w:tcPr>
            <w:tcW w:w="400" w:type="dxa"/>
            <w:vAlign w:val="bottom"/>
          </w:tcPr>
          <w:p>
            <w:pPr>
              <w:spacing w:after="0"/>
              <w:rPr>
                <w:sz w:val="15"/>
                <w:szCs w:val="15"/>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5"/>
                <w:szCs w:val="15"/>
                <w:color w:val="auto"/>
              </w:rPr>
            </w:pPr>
          </w:p>
        </w:tc>
        <w:tc>
          <w:tcPr>
            <w:tcW w:w="9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576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5760" w:type="dxa"/>
            <w:vAlign w:val="bottom"/>
          </w:tcPr>
          <w:p>
            <w:pPr>
              <w:ind w:left="80"/>
              <w:spacing w:after="0"/>
              <w:rPr>
                <w:sz w:val="20"/>
                <w:szCs w:val="20"/>
                <w:color w:val="auto"/>
              </w:rPr>
            </w:pPr>
            <w:r>
              <w:rPr>
                <w:rFonts w:ascii="Courier New" w:cs="Courier New" w:eastAsia="Courier New" w:hAnsi="Courier New"/>
                <w:sz w:val="15"/>
                <w:szCs w:val="15"/>
                <w:color w:val="auto"/>
              </w:rPr>
              <w:t>Systemwide Sales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3,183.5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3,000.2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8,615.6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8,955.4</w:t>
            </w:r>
          </w:p>
        </w:tc>
      </w:tr>
      <w:tr>
        <w:trPr>
          <w:trHeight w:val="173"/>
        </w:trPr>
        <w:tc>
          <w:tcPr>
            <w:tcW w:w="576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bl>
    <w:p>
      <w:pPr>
        <w:spacing w:after="0" w:line="351" w:lineRule="exact"/>
        <w:rPr>
          <w:sz w:val="20"/>
          <w:szCs w:val="20"/>
          <w:color w:val="auto"/>
        </w:rPr>
      </w:pPr>
    </w:p>
    <w:p>
      <w:pPr>
        <w:ind w:right="4060"/>
        <w:spacing w:after="0" w:line="243" w:lineRule="auto"/>
        <w:rPr>
          <w:sz w:val="20"/>
          <w:szCs w:val="20"/>
          <w:color w:val="auto"/>
        </w:rPr>
      </w:pPr>
      <w:r>
        <w:rPr>
          <w:rFonts w:ascii="Courier New" w:cs="Courier New" w:eastAsia="Courier New" w:hAnsi="Courier New"/>
          <w:sz w:val="15"/>
          <w:szCs w:val="15"/>
          <w:color w:val="auto"/>
        </w:rPr>
        <w:t>Systemwide information represents the total of Company-owned branches and franchises.</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640"/>
          </w:cols>
          <w:pgMar w:left="240" w:top="464" w:right="1019" w:bottom="1440" w:gutter="0" w:footer="0" w:header="0"/>
        </w:sectPr>
      </w:pPr>
    </w:p>
    <w:bookmarkStart w:id="5" w:name="page6"/>
    <w:bookmarkEnd w:id="5"/>
    <w:p>
      <w:pPr>
        <w:ind w:left="2240"/>
        <w:spacing w:after="0"/>
        <w:rPr>
          <w:sz w:val="20"/>
          <w:szCs w:val="20"/>
          <w:color w:val="auto"/>
        </w:rPr>
      </w:pPr>
      <w:r>
        <w:rPr>
          <w:rFonts w:ascii="Courier New" w:cs="Courier New" w:eastAsia="Courier New" w:hAnsi="Courier New"/>
          <w:sz w:val="15"/>
          <w:szCs w:val="15"/>
          <w:color w:val="auto"/>
        </w:rPr>
        <w:t>MANPOWER INC. AND SUBSIDIARIES</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2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9 MONTHS ENDED</w:t>
            </w:r>
          </w:p>
        </w:tc>
      </w:tr>
      <w:tr>
        <w:trPr>
          <w:trHeight w:val="173"/>
        </w:trPr>
        <w:tc>
          <w:tcPr>
            <w:tcW w:w="6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12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6660" w:type="dxa"/>
            <w:vAlign w:val="bottom"/>
          </w:tcPr>
          <w:p>
            <w:pPr>
              <w:spacing w:after="0"/>
              <w:rPr>
                <w:sz w:val="15"/>
                <w:szCs w:val="15"/>
                <w:color w:val="auto"/>
              </w:rPr>
            </w:pPr>
          </w:p>
        </w:tc>
        <w:tc>
          <w:tcPr>
            <w:tcW w:w="3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2002</w:t>
            </w:r>
          </w:p>
        </w:tc>
        <w:tc>
          <w:tcPr>
            <w:tcW w:w="320" w:type="dxa"/>
            <w:vAlign w:val="bottom"/>
          </w:tcPr>
          <w:p>
            <w:pPr>
              <w:spacing w:after="0"/>
              <w:rPr>
                <w:sz w:val="15"/>
                <w:szCs w:val="15"/>
                <w:color w:val="auto"/>
              </w:rPr>
            </w:pPr>
          </w:p>
        </w:tc>
        <w:tc>
          <w:tcPr>
            <w:tcW w:w="8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6660" w:type="dxa"/>
            <w:vAlign w:val="bottom"/>
          </w:tcPr>
          <w:p>
            <w:pPr>
              <w:spacing w:after="0"/>
              <w:rPr>
                <w:sz w:val="15"/>
                <w:szCs w:val="15"/>
                <w:color w:val="auto"/>
              </w:rPr>
            </w:pPr>
          </w:p>
        </w:tc>
        <w:tc>
          <w:tcPr>
            <w:tcW w:w="3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7"/>
        </w:trPr>
        <w:tc>
          <w:tcPr>
            <w:tcW w:w="66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Net earnings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98.6</w:t>
            </w:r>
          </w:p>
        </w:tc>
      </w:tr>
      <w:tr>
        <w:trPr>
          <w:trHeight w:val="173"/>
        </w:trPr>
        <w:tc>
          <w:tcPr>
            <w:tcW w:w="6660" w:type="dxa"/>
            <w:vAlign w:val="bottom"/>
          </w:tcPr>
          <w:p>
            <w:pPr>
              <w:ind w:left="900"/>
              <w:spacing w:after="0"/>
              <w:rPr>
                <w:sz w:val="20"/>
                <w:szCs w:val="20"/>
                <w:color w:val="auto"/>
              </w:rPr>
            </w:pPr>
            <w:r>
              <w:rPr>
                <w:rFonts w:ascii="Courier New" w:cs="Courier New" w:eastAsia="Courier New" w:hAnsi="Courier New"/>
                <w:sz w:val="15"/>
                <w:szCs w:val="15"/>
                <w:color w:val="auto"/>
              </w:rPr>
              <w:t>Adjustments to reconcile net earnings to net cash</w:t>
            </w: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6660" w:type="dxa"/>
            <w:vAlign w:val="bottom"/>
          </w:tcPr>
          <w:p>
            <w:pPr>
              <w:ind w:left="900"/>
              <w:spacing w:after="0"/>
              <w:rPr>
                <w:sz w:val="20"/>
                <w:szCs w:val="20"/>
                <w:color w:val="auto"/>
              </w:rPr>
            </w:pPr>
            <w:r>
              <w:rPr>
                <w:rFonts w:ascii="Courier New" w:cs="Courier New" w:eastAsia="Courier New" w:hAnsi="Courier New"/>
                <w:sz w:val="15"/>
                <w:szCs w:val="15"/>
                <w:color w:val="auto"/>
              </w:rPr>
              <w:t>provided by operating activities:</w:t>
            </w: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6660" w:type="dxa"/>
            <w:vAlign w:val="bottom"/>
          </w:tcPr>
          <w:p>
            <w:pPr>
              <w:ind w:left="1160"/>
              <w:spacing w:after="0"/>
              <w:rPr>
                <w:sz w:val="20"/>
                <w:szCs w:val="20"/>
                <w:color w:val="auto"/>
              </w:rPr>
            </w:pPr>
            <w:r>
              <w:rPr>
                <w:rFonts w:ascii="Courier New" w:cs="Courier New" w:eastAsia="Courier New" w:hAnsi="Courier New"/>
                <w:sz w:val="15"/>
                <w:szCs w:val="15"/>
                <w:color w:val="auto"/>
              </w:rPr>
              <w:t>Depreciation and amortization</w:t>
            </w:r>
          </w:p>
        </w:tc>
        <w:tc>
          <w:tcPr>
            <w:tcW w:w="104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48.9</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62.3</w:t>
            </w:r>
          </w:p>
        </w:tc>
      </w:tr>
      <w:tr>
        <w:trPr>
          <w:trHeight w:val="173"/>
        </w:trPr>
        <w:tc>
          <w:tcPr>
            <w:tcW w:w="6660" w:type="dxa"/>
            <w:vAlign w:val="bottom"/>
          </w:tcPr>
          <w:p>
            <w:pPr>
              <w:ind w:left="1160"/>
              <w:spacing w:after="0"/>
              <w:rPr>
                <w:sz w:val="20"/>
                <w:szCs w:val="20"/>
                <w:color w:val="auto"/>
              </w:rPr>
            </w:pPr>
            <w:r>
              <w:rPr>
                <w:rFonts w:ascii="Courier New" w:cs="Courier New" w:eastAsia="Courier New" w:hAnsi="Courier New"/>
                <w:sz w:val="15"/>
                <w:szCs w:val="15"/>
                <w:color w:val="auto"/>
              </w:rPr>
              <w:t>Deferred income taxes</w:t>
            </w:r>
          </w:p>
        </w:tc>
        <w:tc>
          <w:tcPr>
            <w:tcW w:w="104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w:t>
            </w:r>
          </w:p>
        </w:tc>
      </w:tr>
      <w:tr>
        <w:trPr>
          <w:trHeight w:val="173"/>
        </w:trPr>
        <w:tc>
          <w:tcPr>
            <w:tcW w:w="6660" w:type="dxa"/>
            <w:vAlign w:val="bottom"/>
          </w:tcPr>
          <w:p>
            <w:pPr>
              <w:ind w:left="1160"/>
              <w:spacing w:after="0"/>
              <w:rPr>
                <w:sz w:val="20"/>
                <w:szCs w:val="20"/>
                <w:color w:val="auto"/>
              </w:rPr>
            </w:pPr>
            <w:r>
              <w:rPr>
                <w:rFonts w:ascii="Courier New" w:cs="Courier New" w:eastAsia="Courier New" w:hAnsi="Courier New"/>
                <w:sz w:val="15"/>
                <w:szCs w:val="15"/>
                <w:color w:val="auto"/>
              </w:rPr>
              <w:t>Provision for doubtful accounts</w:t>
            </w:r>
          </w:p>
        </w:tc>
        <w:tc>
          <w:tcPr>
            <w:tcW w:w="104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15.2</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15.4</w:t>
            </w:r>
          </w:p>
        </w:tc>
      </w:tr>
      <w:tr>
        <w:trPr>
          <w:trHeight w:val="173"/>
        </w:trPr>
        <w:tc>
          <w:tcPr>
            <w:tcW w:w="6660" w:type="dxa"/>
            <w:vAlign w:val="bottom"/>
          </w:tcPr>
          <w:p>
            <w:pPr>
              <w:ind w:left="116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6660" w:type="dxa"/>
            <w:vAlign w:val="bottom"/>
          </w:tcPr>
          <w:p>
            <w:pPr>
              <w:ind w:left="1700"/>
              <w:spacing w:after="0"/>
              <w:rPr>
                <w:sz w:val="20"/>
                <w:szCs w:val="20"/>
                <w:color w:val="auto"/>
              </w:rPr>
            </w:pPr>
            <w:r>
              <w:rPr>
                <w:rFonts w:ascii="Courier New" w:cs="Courier New" w:eastAsia="Courier New" w:hAnsi="Courier New"/>
                <w:sz w:val="15"/>
                <w:szCs w:val="15"/>
                <w:color w:val="auto"/>
              </w:rPr>
              <w:t>Amounts advanced under the Receivables Facility</w:t>
            </w:r>
          </w:p>
        </w:tc>
        <w:tc>
          <w:tcPr>
            <w:tcW w:w="1040" w:type="dxa"/>
            <w:vAlign w:val="bottom"/>
          </w:tcPr>
          <w:p>
            <w:pPr>
              <w:spacing w:after="0"/>
              <w:rPr>
                <w:sz w:val="15"/>
                <w:szCs w:val="15"/>
                <w:color w:val="auto"/>
              </w:rPr>
            </w:pP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(102.0)</w:t>
            </w:r>
          </w:p>
        </w:tc>
      </w:tr>
      <w:tr>
        <w:trPr>
          <w:trHeight w:val="173"/>
        </w:trPr>
        <w:tc>
          <w:tcPr>
            <w:tcW w:w="6660" w:type="dxa"/>
            <w:vAlign w:val="bottom"/>
          </w:tcPr>
          <w:p>
            <w:pPr>
              <w:ind w:left="1700"/>
              <w:spacing w:after="0"/>
              <w:rPr>
                <w:sz w:val="20"/>
                <w:szCs w:val="20"/>
                <w:color w:val="auto"/>
              </w:rPr>
            </w:pPr>
            <w:r>
              <w:rPr>
                <w:rFonts w:ascii="Courier New" w:cs="Courier New" w:eastAsia="Courier New" w:hAnsi="Courier New"/>
                <w:sz w:val="15"/>
                <w:szCs w:val="15"/>
                <w:color w:val="auto"/>
              </w:rPr>
              <w:t>Accounts receivable</w:t>
            </w:r>
          </w:p>
        </w:tc>
        <w:tc>
          <w:tcPr>
            <w:tcW w:w="104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(172.8)</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w:t>
            </w:r>
          </w:p>
        </w:tc>
      </w:tr>
      <w:tr>
        <w:trPr>
          <w:trHeight w:val="173"/>
        </w:trPr>
        <w:tc>
          <w:tcPr>
            <w:tcW w:w="6660" w:type="dxa"/>
            <w:vAlign w:val="bottom"/>
          </w:tcPr>
          <w:p>
            <w:pPr>
              <w:ind w:left="1700"/>
              <w:spacing w:after="0"/>
              <w:rPr>
                <w:sz w:val="20"/>
                <w:szCs w:val="20"/>
                <w:color w:val="auto"/>
              </w:rPr>
            </w:pPr>
            <w:r>
              <w:rPr>
                <w:rFonts w:ascii="Courier New" w:cs="Courier New" w:eastAsia="Courier New" w:hAnsi="Courier New"/>
                <w:sz w:val="15"/>
                <w:szCs w:val="15"/>
                <w:color w:val="auto"/>
              </w:rPr>
              <w:t>Other assets</w:t>
            </w:r>
          </w:p>
        </w:tc>
        <w:tc>
          <w:tcPr>
            <w:tcW w:w="104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26.2</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(21.1)</w:t>
            </w:r>
          </w:p>
        </w:tc>
      </w:tr>
      <w:tr>
        <w:trPr>
          <w:trHeight w:val="173"/>
        </w:trPr>
        <w:tc>
          <w:tcPr>
            <w:tcW w:w="6660" w:type="dxa"/>
            <w:vAlign w:val="bottom"/>
          </w:tcPr>
          <w:p>
            <w:pPr>
              <w:ind w:left="1700"/>
              <w:spacing w:after="0"/>
              <w:rPr>
                <w:sz w:val="20"/>
                <w:szCs w:val="20"/>
                <w:color w:val="auto"/>
              </w:rPr>
            </w:pPr>
            <w:r>
              <w:rPr>
                <w:rFonts w:ascii="Courier New" w:cs="Courier New" w:eastAsia="Courier New" w:hAnsi="Courier New"/>
                <w:sz w:val="15"/>
                <w:szCs w:val="15"/>
                <w:color w:val="auto"/>
              </w:rPr>
              <w:t>Other liabilities</w:t>
            </w:r>
          </w:p>
        </w:tc>
        <w:tc>
          <w:tcPr>
            <w:tcW w:w="104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76.5</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w:t>
            </w:r>
          </w:p>
        </w:tc>
      </w:tr>
      <w:tr>
        <w:trPr>
          <w:trHeight w:val="173"/>
        </w:trPr>
        <w:tc>
          <w:tcPr>
            <w:tcW w:w="6660" w:type="dxa"/>
            <w:vAlign w:val="bottom"/>
          </w:tcPr>
          <w:p>
            <w:pPr>
              <w:spacing w:after="0"/>
              <w:rPr>
                <w:sz w:val="15"/>
                <w:szCs w:val="15"/>
                <w:color w:val="auto"/>
              </w:rPr>
            </w:pPr>
          </w:p>
        </w:tc>
        <w:tc>
          <w:tcPr>
            <w:tcW w:w="1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6660" w:type="dxa"/>
            <w:vAlign w:val="bottom"/>
          </w:tcPr>
          <w:p>
            <w:pPr>
              <w:spacing w:after="0"/>
              <w:rPr>
                <w:sz w:val="20"/>
                <w:szCs w:val="20"/>
                <w:color w:val="auto"/>
              </w:rPr>
            </w:pPr>
            <w:r>
              <w:rPr>
                <w:rFonts w:ascii="Courier New" w:cs="Courier New" w:eastAsia="Courier New" w:hAnsi="Courier New"/>
                <w:sz w:val="15"/>
                <w:szCs w:val="15"/>
                <w:color w:val="auto"/>
              </w:rPr>
              <w:t>Cash provided by operating activities</w:t>
            </w:r>
          </w:p>
        </w:tc>
        <w:tc>
          <w:tcPr>
            <w:tcW w:w="1040" w:type="dxa"/>
            <w:vAlign w:val="bottom"/>
          </w:tcPr>
          <w:p>
            <w:pPr>
              <w:spacing w:after="0"/>
              <w:rPr>
                <w:sz w:val="24"/>
                <w:szCs w:val="2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70.1</w:t>
            </w:r>
          </w:p>
        </w:tc>
        <w:tc>
          <w:tcPr>
            <w:tcW w:w="320" w:type="dxa"/>
            <w:vAlign w:val="bottom"/>
          </w:tcPr>
          <w:p>
            <w:pPr>
              <w:spacing w:after="0"/>
              <w:rPr>
                <w:sz w:val="24"/>
                <w:szCs w:val="2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57.6</w:t>
            </w:r>
          </w:p>
        </w:tc>
      </w:tr>
      <w:tr>
        <w:trPr>
          <w:trHeight w:val="173"/>
        </w:trPr>
        <w:tc>
          <w:tcPr>
            <w:tcW w:w="6660" w:type="dxa"/>
            <w:vAlign w:val="bottom"/>
          </w:tcPr>
          <w:p>
            <w:pPr>
              <w:spacing w:after="0"/>
              <w:rPr>
                <w:sz w:val="15"/>
                <w:szCs w:val="15"/>
                <w:color w:val="auto"/>
              </w:rPr>
            </w:pPr>
          </w:p>
        </w:tc>
        <w:tc>
          <w:tcPr>
            <w:tcW w:w="1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66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Capital expenditures</w:t>
            </w:r>
          </w:p>
        </w:tc>
        <w:tc>
          <w:tcPr>
            <w:tcW w:w="104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(40.2)</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(66.6)</w:t>
            </w:r>
          </w:p>
        </w:tc>
      </w:tr>
      <w:tr>
        <w:trPr>
          <w:trHeight w:val="173"/>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Acquisitions of businesses, net of cash acquired</w:t>
            </w:r>
          </w:p>
        </w:tc>
        <w:tc>
          <w:tcPr>
            <w:tcW w:w="104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(31.2)</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(291.8)</w:t>
            </w:r>
          </w:p>
        </w:tc>
      </w:tr>
      <w:tr>
        <w:trPr>
          <w:trHeight w:val="173"/>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Proceeds from the sale of property and equipment</w:t>
            </w:r>
          </w:p>
        </w:tc>
        <w:tc>
          <w:tcPr>
            <w:tcW w:w="104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w:t>
            </w:r>
          </w:p>
        </w:tc>
      </w:tr>
      <w:tr>
        <w:trPr>
          <w:trHeight w:val="173"/>
        </w:trPr>
        <w:tc>
          <w:tcPr>
            <w:tcW w:w="6660" w:type="dxa"/>
            <w:vAlign w:val="bottom"/>
          </w:tcPr>
          <w:p>
            <w:pPr>
              <w:spacing w:after="0"/>
              <w:rPr>
                <w:sz w:val="15"/>
                <w:szCs w:val="15"/>
                <w:color w:val="auto"/>
              </w:rPr>
            </w:pPr>
          </w:p>
        </w:tc>
        <w:tc>
          <w:tcPr>
            <w:tcW w:w="1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6660" w:type="dxa"/>
            <w:vAlign w:val="bottom"/>
          </w:tcPr>
          <w:p>
            <w:pPr>
              <w:spacing w:after="0"/>
              <w:rPr>
                <w:sz w:val="20"/>
                <w:szCs w:val="20"/>
                <w:color w:val="auto"/>
              </w:rPr>
            </w:pPr>
            <w:r>
              <w:rPr>
                <w:rFonts w:ascii="Courier New" w:cs="Courier New" w:eastAsia="Courier New" w:hAnsi="Courier New"/>
                <w:sz w:val="15"/>
                <w:szCs w:val="15"/>
                <w:color w:val="auto"/>
              </w:rPr>
              <w:t>Cash used by investing activities</w:t>
            </w:r>
          </w:p>
        </w:tc>
        <w:tc>
          <w:tcPr>
            <w:tcW w:w="104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(69.2)</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(353.7)</w:t>
            </w:r>
          </w:p>
        </w:tc>
      </w:tr>
      <w:tr>
        <w:trPr>
          <w:trHeight w:val="173"/>
        </w:trPr>
        <w:tc>
          <w:tcPr>
            <w:tcW w:w="6660" w:type="dxa"/>
            <w:vAlign w:val="bottom"/>
          </w:tcPr>
          <w:p>
            <w:pPr>
              <w:spacing w:after="0"/>
              <w:rPr>
                <w:sz w:val="15"/>
                <w:szCs w:val="15"/>
                <w:color w:val="auto"/>
              </w:rPr>
            </w:pPr>
          </w:p>
        </w:tc>
        <w:tc>
          <w:tcPr>
            <w:tcW w:w="1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66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Net change in payables to banks</w:t>
            </w:r>
          </w:p>
        </w:tc>
        <w:tc>
          <w:tcPr>
            <w:tcW w:w="104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(49.2)</w:t>
            </w:r>
          </w:p>
        </w:tc>
      </w:tr>
      <w:tr>
        <w:trPr>
          <w:trHeight w:val="173"/>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Proceeds from long-term debt</w:t>
            </w:r>
          </w:p>
        </w:tc>
        <w:tc>
          <w:tcPr>
            <w:tcW w:w="104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567.4</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879.4</w:t>
            </w:r>
          </w:p>
        </w:tc>
      </w:tr>
      <w:tr>
        <w:trPr>
          <w:trHeight w:val="173"/>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Repayment of long-term debt</w:t>
            </w:r>
          </w:p>
        </w:tc>
        <w:tc>
          <w:tcPr>
            <w:tcW w:w="104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(587.6)</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(473.8)</w:t>
            </w:r>
          </w:p>
        </w:tc>
      </w:tr>
      <w:tr>
        <w:trPr>
          <w:trHeight w:val="173"/>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Proceeds from stock option and purchase plans</w:t>
            </w:r>
          </w:p>
        </w:tc>
        <w:tc>
          <w:tcPr>
            <w:tcW w:w="104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30.4</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w:t>
            </w:r>
          </w:p>
        </w:tc>
      </w:tr>
      <w:tr>
        <w:trPr>
          <w:trHeight w:val="173"/>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Repurchase of common stock</w:t>
            </w:r>
          </w:p>
        </w:tc>
        <w:tc>
          <w:tcPr>
            <w:tcW w:w="104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(30.7)</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w:t>
            </w:r>
          </w:p>
        </w:tc>
      </w:tr>
      <w:tr>
        <w:trPr>
          <w:trHeight w:val="173"/>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Dividends paid</w:t>
            </w:r>
          </w:p>
        </w:tc>
        <w:tc>
          <w:tcPr>
            <w:tcW w:w="104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w:t>
            </w:r>
          </w:p>
        </w:tc>
      </w:tr>
      <w:tr>
        <w:trPr>
          <w:trHeight w:val="173"/>
        </w:trPr>
        <w:tc>
          <w:tcPr>
            <w:tcW w:w="6660" w:type="dxa"/>
            <w:vAlign w:val="bottom"/>
          </w:tcPr>
          <w:p>
            <w:pPr>
              <w:spacing w:after="0"/>
              <w:rPr>
                <w:sz w:val="15"/>
                <w:szCs w:val="15"/>
                <w:color w:val="auto"/>
              </w:rPr>
            </w:pPr>
          </w:p>
        </w:tc>
        <w:tc>
          <w:tcPr>
            <w:tcW w:w="1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6660" w:type="dxa"/>
            <w:vAlign w:val="bottom"/>
          </w:tcPr>
          <w:p>
            <w:pPr>
              <w:spacing w:after="0"/>
              <w:rPr>
                <w:sz w:val="20"/>
                <w:szCs w:val="20"/>
                <w:color w:val="auto"/>
              </w:rPr>
            </w:pPr>
            <w:r>
              <w:rPr>
                <w:rFonts w:ascii="Courier New" w:cs="Courier New" w:eastAsia="Courier New" w:hAnsi="Courier New"/>
                <w:sz w:val="15"/>
                <w:szCs w:val="15"/>
                <w:color w:val="auto"/>
              </w:rPr>
              <w:t>Cash (used) provided by financing activities</w:t>
            </w:r>
          </w:p>
        </w:tc>
        <w:tc>
          <w:tcPr>
            <w:tcW w:w="104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(27.6)</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354.1</w:t>
            </w:r>
          </w:p>
        </w:tc>
      </w:tr>
      <w:tr>
        <w:trPr>
          <w:trHeight w:val="347"/>
        </w:trPr>
        <w:tc>
          <w:tcPr>
            <w:tcW w:w="666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1040" w:type="dxa"/>
            <w:vAlign w:val="bottom"/>
          </w:tcPr>
          <w:p>
            <w:pPr>
              <w:spacing w:after="0"/>
              <w:rPr>
                <w:sz w:val="24"/>
                <w:szCs w:val="2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17.5</w:t>
            </w:r>
          </w:p>
        </w:tc>
        <w:tc>
          <w:tcPr>
            <w:tcW w:w="32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w:t>
            </w:r>
          </w:p>
        </w:tc>
      </w:tr>
      <w:tr>
        <w:trPr>
          <w:trHeight w:val="173"/>
        </w:trPr>
        <w:tc>
          <w:tcPr>
            <w:tcW w:w="6660" w:type="dxa"/>
            <w:vAlign w:val="bottom"/>
          </w:tcPr>
          <w:p>
            <w:pPr>
              <w:spacing w:after="0"/>
              <w:rPr>
                <w:sz w:val="15"/>
                <w:szCs w:val="15"/>
                <w:color w:val="auto"/>
              </w:rPr>
            </w:pPr>
          </w:p>
        </w:tc>
        <w:tc>
          <w:tcPr>
            <w:tcW w:w="1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6660" w:type="dxa"/>
            <w:vAlign w:val="bottom"/>
          </w:tcPr>
          <w:p>
            <w:pPr>
              <w:spacing w:after="0"/>
              <w:rPr>
                <w:sz w:val="20"/>
                <w:szCs w:val="20"/>
                <w:color w:val="auto"/>
              </w:rPr>
            </w:pPr>
            <w:r>
              <w:rPr>
                <w:rFonts w:ascii="Courier New" w:cs="Courier New" w:eastAsia="Courier New" w:hAnsi="Courier New"/>
                <w:sz w:val="15"/>
                <w:szCs w:val="15"/>
                <w:color w:val="auto"/>
              </w:rPr>
              <w:t>Net change in cash and cash equivalents</w:t>
            </w:r>
          </w:p>
        </w:tc>
        <w:tc>
          <w:tcPr>
            <w:tcW w:w="104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51.2</w:t>
            </w:r>
          </w:p>
        </w:tc>
      </w:tr>
      <w:tr>
        <w:trPr>
          <w:trHeight w:val="347"/>
        </w:trPr>
        <w:tc>
          <w:tcPr>
            <w:tcW w:w="666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1040" w:type="dxa"/>
            <w:vAlign w:val="bottom"/>
          </w:tcPr>
          <w:p>
            <w:pPr>
              <w:spacing w:after="0"/>
              <w:rPr>
                <w:sz w:val="24"/>
                <w:szCs w:val="2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245.8</w:t>
            </w:r>
          </w:p>
        </w:tc>
        <w:tc>
          <w:tcPr>
            <w:tcW w:w="320" w:type="dxa"/>
            <w:vAlign w:val="bottom"/>
          </w:tcPr>
          <w:p>
            <w:pPr>
              <w:spacing w:after="0"/>
              <w:rPr>
                <w:sz w:val="24"/>
                <w:szCs w:val="2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181.7</w:t>
            </w:r>
          </w:p>
        </w:tc>
      </w:tr>
      <w:tr>
        <w:trPr>
          <w:trHeight w:val="173"/>
        </w:trPr>
        <w:tc>
          <w:tcPr>
            <w:tcW w:w="6660" w:type="dxa"/>
            <w:vAlign w:val="bottom"/>
          </w:tcPr>
          <w:p>
            <w:pPr>
              <w:spacing w:after="0"/>
              <w:rPr>
                <w:sz w:val="15"/>
                <w:szCs w:val="15"/>
                <w:color w:val="auto"/>
              </w:rPr>
            </w:pPr>
          </w:p>
        </w:tc>
        <w:tc>
          <w:tcPr>
            <w:tcW w:w="1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666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236.6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232.9</w:t>
            </w:r>
          </w:p>
        </w:tc>
      </w:tr>
      <w:tr>
        <w:trPr>
          <w:trHeight w:val="173"/>
        </w:trPr>
        <w:tc>
          <w:tcPr>
            <w:tcW w:w="6660" w:type="dxa"/>
            <w:vAlign w:val="bottom"/>
          </w:tcPr>
          <w:p>
            <w:pPr>
              <w:spacing w:after="0"/>
              <w:rPr>
                <w:sz w:val="15"/>
                <w:szCs w:val="15"/>
                <w:color w:val="auto"/>
              </w:rPr>
            </w:pPr>
          </w:p>
        </w:tc>
        <w:tc>
          <w:tcPr>
            <w:tcW w:w="1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867"/>
        </w:trPr>
        <w:tc>
          <w:tcPr>
            <w:tcW w:w="666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Interest paid</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33.5</w:t>
            </w:r>
          </w:p>
        </w:tc>
      </w:tr>
      <w:tr>
        <w:trPr>
          <w:trHeight w:val="173"/>
        </w:trPr>
        <w:tc>
          <w:tcPr>
            <w:tcW w:w="6660" w:type="dxa"/>
            <w:vAlign w:val="bottom"/>
          </w:tcPr>
          <w:p>
            <w:pPr>
              <w:spacing w:after="0"/>
              <w:rPr>
                <w:sz w:val="15"/>
                <w:szCs w:val="15"/>
                <w:color w:val="auto"/>
              </w:rPr>
            </w:pPr>
          </w:p>
        </w:tc>
        <w:tc>
          <w:tcPr>
            <w:tcW w:w="1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Income taxes paid</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96.6</w:t>
            </w:r>
          </w:p>
        </w:tc>
      </w:tr>
      <w:tr>
        <w:trPr>
          <w:trHeight w:val="173"/>
        </w:trPr>
        <w:tc>
          <w:tcPr>
            <w:tcW w:w="6660" w:type="dxa"/>
            <w:vAlign w:val="bottom"/>
          </w:tcPr>
          <w:p>
            <w:pPr>
              <w:spacing w:after="0"/>
              <w:rPr>
                <w:sz w:val="15"/>
                <w:szCs w:val="15"/>
                <w:color w:val="auto"/>
              </w:rPr>
            </w:pPr>
          </w:p>
        </w:tc>
        <w:tc>
          <w:tcPr>
            <w:tcW w:w="1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accompanying notes to consolidated financial statements</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are an integral part of these 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64" w:right="1440" w:bottom="1440" w:gutter="0" w:footer="0" w:header="0"/>
        </w:sectPr>
      </w:pPr>
    </w:p>
    <w:bookmarkStart w:id="6" w:name="page7"/>
    <w:bookmarkEnd w:id="6"/>
    <w:p>
      <w:pPr>
        <w:jc w:val="center"/>
        <w:ind w:right="3019"/>
        <w:spacing w:after="0"/>
        <w:rPr>
          <w:sz w:val="20"/>
          <w:szCs w:val="20"/>
          <w:color w:val="auto"/>
        </w:rPr>
      </w:pPr>
      <w:r>
        <w:rPr>
          <w:rFonts w:ascii="Courier New" w:cs="Courier New" w:eastAsia="Courier New" w:hAnsi="Courier New"/>
          <w:sz w:val="15"/>
          <w:szCs w:val="15"/>
          <w:color w:val="auto"/>
        </w:rPr>
        <w:t>MANPOWER INC. AND SUBSIDIARIES</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NOTES TO CONSOLIDATED FINANCIAL STATEMENTS (UNAUDITED)</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FOR THE NINE MONTHS ENDED SEPTEMBER 30, 2002 AND 2001</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(IN MILLIONS, EXCEPT PER SHARE DATA)</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Basis of Presentation</w:t>
      </w:r>
    </w:p>
    <w:p>
      <w:pPr>
        <w:spacing w:after="0" w:line="178"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Certain information and footnote disclosures normally included in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2001 Annual Report to Shareholders.</w:t>
      </w:r>
    </w:p>
    <w:p>
      <w:pPr>
        <w:spacing w:after="0" w:line="16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information furnished reflects all adjustments that, in the opinion of management, are necessary for a fair statement of the results of operations for the periods presented. Such adjustments are of a normal recurring nature.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Accounts Receivable Securitization</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During July 2002, we extended our Receivables Facility to expire in July 2003 and this agreement may be extended further with the financial institution's consent. There were no other significant changes made to the terms of this agreement.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Debt</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Our exposure to market risk for changes in interest rates relates primarily to our long-term debt obligations. We have historically managed interest rates through the use of a combination of fixed and variable rate borrowings and interest rate swap agreements.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During September 2002, we entered into derivative financial instruments to swap our EURO 150.0 unsecured notes, at 6.25%, due March 2005 to floating U.S. LIBOR, yielding an initial effective interest rate of 4.39%. These instruments expire in March 2005.</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designate these interest rate swaps as a fair value hedge, offsetting changes in the fair value of the notes due to fluctuations in interest rates. Changes in the fair value hedge and the fair value of the notes throughout the contract term will be reflected in the income statement. In addition, gains and losses arising from foreign exchange fluctuations throughout the contract term on the related derivative instruments will be recorded in the income statement, offsetting the foreign exchange gain or loss recorded on the notes. As of September 30, 2002, these instruments reduced interest expense by $.1.</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During October 2002, we renewed our 364-day revolving credit facility with a syndicate of commercial banks. The availability under this facility was reduced from $300.0 to $285.0 and it now matures in October 2003. All other terms and conditions remain unchanged.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Acquisitions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During the first nine months of 2002, we acquired certain companies, primarily U.S. franchises, and made other acquisition-related payments totaling $31.2. In addition, during June 2002, we acquired an equity interest in one of our U.S. franchises in exchange for $15.0 of our common stock (approximately 390,000 shares).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64"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(5) Income Taxes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provided for income taxes during the third quarter of 2002 at a rate of</w:t>
      </w:r>
    </w:p>
    <w:p>
      <w:pPr>
        <w:spacing w:after="0" w:line="4" w:lineRule="exact"/>
        <w:rPr>
          <w:sz w:val="20"/>
          <w:szCs w:val="20"/>
          <w:color w:val="auto"/>
        </w:rPr>
      </w:pPr>
    </w:p>
    <w:p>
      <w:pPr>
        <w:ind w:right="3080"/>
        <w:spacing w:after="0" w:line="244" w:lineRule="auto"/>
        <w:rPr>
          <w:sz w:val="20"/>
          <w:szCs w:val="20"/>
          <w:color w:val="auto"/>
        </w:rPr>
      </w:pPr>
      <w:r>
        <w:rPr>
          <w:rFonts w:ascii="Courier New" w:cs="Courier New" w:eastAsia="Courier New" w:hAnsi="Courier New"/>
          <w:sz w:val="15"/>
          <w:szCs w:val="15"/>
          <w:color w:val="auto"/>
        </w:rPr>
        <w:t>38.5%, based on our current estimate of the annual effective tax rate. This rate is higher than the U.S. Federal statutory rate of 35% due primarily to foreign repatriations and higher foreign tax rates. For the year ended December 31, 2001, excluding the effect of goodwill amortization, we provided for income taxes at a rate of 35.1%. The estimated effective tax rate for 2002 is higher than the 2001 rate due to changes in the mix of taxable income between countries and various anticipated permanent book-tax differences.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Earnings Per Share</w:t>
      </w:r>
    </w:p>
    <w:p>
      <w:pPr>
        <w:spacing w:after="0" w:line="178" w:lineRule="exact"/>
        <w:rPr>
          <w:sz w:val="20"/>
          <w:szCs w:val="20"/>
          <w:color w:val="auto"/>
        </w:rPr>
      </w:pPr>
    </w:p>
    <w:p>
      <w:pPr>
        <w:ind w:right="3160"/>
        <w:spacing w:after="0" w:line="243" w:lineRule="auto"/>
        <w:rPr>
          <w:sz w:val="20"/>
          <w:szCs w:val="20"/>
          <w:color w:val="auto"/>
        </w:rPr>
      </w:pPr>
      <w:r>
        <w:rPr>
          <w:rFonts w:ascii="Courier New" w:cs="Courier New" w:eastAsia="Courier New" w:hAnsi="Courier New"/>
          <w:sz w:val="15"/>
          <w:szCs w:val="15"/>
          <w:color w:val="auto"/>
        </w:rPr>
        <w:t>The calculations of net earnings per share and net earnings per share - diluted are as follows:</w:t>
      </w:r>
    </w:p>
    <w:p>
      <w:pPr>
        <w:spacing w:after="0" w:line="200" w:lineRule="exact"/>
        <w:rPr>
          <w:sz w:val="20"/>
          <w:szCs w:val="20"/>
          <w:color w:val="auto"/>
        </w:rPr>
      </w:pPr>
    </w:p>
    <w:p>
      <w:pPr>
        <w:spacing w:after="0" w:line="322"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 MONTHS ENDED</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 MONTHS ENDED</w:t>
            </w:r>
          </w:p>
        </w:tc>
        <w:tc>
          <w:tcPr>
            <w:tcW w:w="460" w:type="dxa"/>
            <w:vAlign w:val="bottom"/>
          </w:tcPr>
          <w:p>
            <w:pPr>
              <w:spacing w:after="0"/>
              <w:rPr>
                <w:sz w:val="14"/>
                <w:szCs w:val="14"/>
                <w:color w:val="auto"/>
              </w:rPr>
            </w:pPr>
          </w:p>
        </w:tc>
      </w:tr>
      <w:tr>
        <w:trPr>
          <w:trHeight w:val="173"/>
        </w:trPr>
        <w:tc>
          <w:tcPr>
            <w:tcW w:w="4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460" w:type="dxa"/>
            <w:vAlign w:val="bottom"/>
          </w:tcPr>
          <w:p>
            <w:pPr>
              <w:spacing w:after="0"/>
              <w:rPr>
                <w:sz w:val="15"/>
                <w:szCs w:val="15"/>
                <w:color w:val="auto"/>
              </w:rPr>
            </w:pPr>
          </w:p>
        </w:tc>
      </w:tr>
      <w:tr>
        <w:trPr>
          <w:trHeight w:val="173"/>
        </w:trPr>
        <w:tc>
          <w:tcPr>
            <w:tcW w:w="4960" w:type="dxa"/>
            <w:vAlign w:val="bottom"/>
          </w:tcPr>
          <w:p>
            <w:pPr>
              <w:spacing w:after="0"/>
              <w:rPr>
                <w:sz w:val="15"/>
                <w:szCs w:val="15"/>
                <w:color w:val="auto"/>
              </w:rPr>
            </w:pPr>
          </w:p>
        </w:tc>
        <w:tc>
          <w:tcPr>
            <w:tcW w:w="496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3"/>
        </w:trPr>
        <w:tc>
          <w:tcPr>
            <w:tcW w:w="4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4"/>
              </w:rPr>
              <w:t>2002</w:t>
            </w:r>
          </w:p>
        </w:tc>
        <w:tc>
          <w:tcPr>
            <w:tcW w:w="10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5"/>
                <w:szCs w:val="15"/>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4"/>
              </w:rPr>
              <w:t>2002</w:t>
            </w:r>
          </w:p>
        </w:tc>
        <w:tc>
          <w:tcPr>
            <w:tcW w:w="100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4960" w:type="dxa"/>
            <w:vAlign w:val="bottom"/>
          </w:tcPr>
          <w:p>
            <w:pPr>
              <w:spacing w:after="0"/>
              <w:rPr>
                <w:sz w:val="15"/>
                <w:szCs w:val="15"/>
                <w:color w:val="auto"/>
              </w:rPr>
            </w:pPr>
          </w:p>
        </w:tc>
        <w:tc>
          <w:tcPr>
            <w:tcW w:w="496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47"/>
        </w:trPr>
        <w:tc>
          <w:tcPr>
            <w:tcW w:w="4960" w:type="dxa"/>
            <w:vAlign w:val="bottom"/>
          </w:tcPr>
          <w:p>
            <w:pPr>
              <w:spacing w:after="0"/>
              <w:rPr>
                <w:sz w:val="20"/>
                <w:szCs w:val="20"/>
                <w:color w:val="auto"/>
              </w:rPr>
            </w:pPr>
            <w:r>
              <w:rPr>
                <w:rFonts w:ascii="Courier New" w:cs="Courier New" w:eastAsia="Courier New" w:hAnsi="Courier New"/>
                <w:sz w:val="15"/>
                <w:szCs w:val="15"/>
                <w:color w:val="auto"/>
              </w:rPr>
              <w:t>Net earnings per share:</w:t>
            </w: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3"/>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Net earnings available to common shareholders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40.5</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37.1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73.1</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98.6</w:t>
            </w:r>
          </w:p>
        </w:tc>
      </w:tr>
      <w:tr>
        <w:trPr>
          <w:trHeight w:val="173"/>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9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76.6</w:t>
            </w:r>
          </w:p>
        </w:tc>
        <w:tc>
          <w:tcPr>
            <w:tcW w:w="540" w:type="dxa"/>
            <w:vAlign w:val="bottom"/>
          </w:tcPr>
          <w:p>
            <w:pPr>
              <w:spacing w:after="0"/>
              <w:rPr>
                <w:sz w:val="15"/>
                <w:szCs w:val="15"/>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76.0</w:t>
            </w:r>
          </w:p>
        </w:tc>
        <w:tc>
          <w:tcPr>
            <w:tcW w:w="2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76.2</w:t>
            </w:r>
          </w:p>
        </w:tc>
        <w:tc>
          <w:tcPr>
            <w:tcW w:w="540" w:type="dxa"/>
            <w:vAlign w:val="bottom"/>
          </w:tcPr>
          <w:p>
            <w:pPr>
              <w:spacing w:after="0"/>
              <w:rPr>
                <w:sz w:val="15"/>
                <w:szCs w:val="15"/>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75.9</w:t>
            </w:r>
          </w:p>
        </w:tc>
      </w:tr>
      <w:tr>
        <w:trPr>
          <w:trHeight w:val="173"/>
        </w:trPr>
        <w:tc>
          <w:tcPr>
            <w:tcW w:w="4960" w:type="dxa"/>
            <w:vAlign w:val="bottom"/>
          </w:tcPr>
          <w:p>
            <w:pPr>
              <w:spacing w:after="0"/>
              <w:rPr>
                <w:sz w:val="15"/>
                <w:szCs w:val="15"/>
                <w:color w:val="auto"/>
              </w:rPr>
            </w:pP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.96</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1.30</w:t>
            </w:r>
          </w:p>
        </w:tc>
      </w:tr>
      <w:tr>
        <w:trPr>
          <w:trHeight w:val="173"/>
        </w:trPr>
        <w:tc>
          <w:tcPr>
            <w:tcW w:w="4960" w:type="dxa"/>
            <w:vAlign w:val="bottom"/>
          </w:tcPr>
          <w:p>
            <w:pPr>
              <w:spacing w:after="0"/>
              <w:rPr>
                <w:sz w:val="15"/>
                <w:szCs w:val="15"/>
                <w:color w:val="auto"/>
              </w:rPr>
            </w:pP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960" w:type="dxa"/>
            <w:vAlign w:val="bottom"/>
          </w:tcPr>
          <w:p>
            <w:pPr>
              <w:spacing w:after="0"/>
              <w:rPr>
                <w:sz w:val="20"/>
                <w:szCs w:val="20"/>
                <w:color w:val="auto"/>
              </w:rPr>
            </w:pPr>
            <w:r>
              <w:rPr>
                <w:rFonts w:ascii="Courier New" w:cs="Courier New" w:eastAsia="Courier New" w:hAnsi="Courier New"/>
                <w:sz w:val="15"/>
                <w:szCs w:val="15"/>
                <w:color w:val="auto"/>
              </w:rPr>
              <w:t>Net earnings per share - diluted:</w:t>
            </w: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3"/>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Net earnings available to common shareholders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40.5</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37.1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73.1</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98.6</w:t>
            </w:r>
          </w:p>
        </w:tc>
      </w:tr>
      <w:tr>
        <w:trPr>
          <w:trHeight w:val="347"/>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980" w:type="dxa"/>
            <w:vAlign w:val="bottom"/>
          </w:tcPr>
          <w:p>
            <w:pPr>
              <w:spacing w:after="0"/>
              <w:rPr>
                <w:sz w:val="24"/>
                <w:szCs w:val="2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76.6</w:t>
            </w:r>
          </w:p>
        </w:tc>
        <w:tc>
          <w:tcPr>
            <w:tcW w:w="540" w:type="dxa"/>
            <w:vAlign w:val="bottom"/>
          </w:tcPr>
          <w:p>
            <w:pPr>
              <w:spacing w:after="0"/>
              <w:rPr>
                <w:sz w:val="24"/>
                <w:szCs w:val="2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76.0</w:t>
            </w:r>
          </w:p>
        </w:tc>
        <w:tc>
          <w:tcPr>
            <w:tcW w:w="260" w:type="dxa"/>
            <w:vAlign w:val="bottom"/>
          </w:tcPr>
          <w:p>
            <w:pPr>
              <w:spacing w:after="0"/>
              <w:rPr>
                <w:sz w:val="24"/>
                <w:szCs w:val="2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76.2</w:t>
            </w:r>
          </w:p>
        </w:tc>
        <w:tc>
          <w:tcPr>
            <w:tcW w:w="540" w:type="dxa"/>
            <w:vAlign w:val="bottom"/>
          </w:tcPr>
          <w:p>
            <w:pPr>
              <w:spacing w:after="0"/>
              <w:rPr>
                <w:sz w:val="24"/>
                <w:szCs w:val="24"/>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75.9</w:t>
            </w:r>
          </w:p>
        </w:tc>
      </w:tr>
      <w:tr>
        <w:trPr>
          <w:trHeight w:val="173"/>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Dilutive effect of stock options</w:t>
            </w:r>
          </w:p>
        </w:tc>
        <w:tc>
          <w:tcPr>
            <w:tcW w:w="9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w:t>
            </w:r>
          </w:p>
        </w:tc>
        <w:tc>
          <w:tcPr>
            <w:tcW w:w="540" w:type="dxa"/>
            <w:vAlign w:val="bottom"/>
          </w:tcPr>
          <w:p>
            <w:pPr>
              <w:spacing w:after="0"/>
              <w:rPr>
                <w:sz w:val="15"/>
                <w:szCs w:val="15"/>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w:t>
            </w:r>
          </w:p>
        </w:tc>
        <w:tc>
          <w:tcPr>
            <w:tcW w:w="2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w:t>
            </w:r>
          </w:p>
        </w:tc>
        <w:tc>
          <w:tcPr>
            <w:tcW w:w="540" w:type="dxa"/>
            <w:vAlign w:val="bottom"/>
          </w:tcPr>
          <w:p>
            <w:pPr>
              <w:spacing w:after="0"/>
              <w:rPr>
                <w:sz w:val="15"/>
                <w:szCs w:val="15"/>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3"/>
        </w:trPr>
        <w:tc>
          <w:tcPr>
            <w:tcW w:w="4960" w:type="dxa"/>
            <w:vAlign w:val="bottom"/>
          </w:tcPr>
          <w:p>
            <w:pPr>
              <w:spacing w:after="0"/>
              <w:rPr>
                <w:sz w:val="15"/>
                <w:szCs w:val="15"/>
                <w:color w:val="auto"/>
              </w:rPr>
            </w:pP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77.4</w:t>
            </w:r>
          </w:p>
        </w:tc>
        <w:tc>
          <w:tcPr>
            <w:tcW w:w="540" w:type="dxa"/>
            <w:vAlign w:val="bottom"/>
          </w:tcPr>
          <w:p>
            <w:pPr>
              <w:spacing w:after="0"/>
              <w:rPr>
                <w:sz w:val="15"/>
                <w:szCs w:val="15"/>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76.9</w:t>
            </w:r>
          </w:p>
        </w:tc>
        <w:tc>
          <w:tcPr>
            <w:tcW w:w="2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77.6</w:t>
            </w:r>
          </w:p>
        </w:tc>
        <w:tc>
          <w:tcPr>
            <w:tcW w:w="540" w:type="dxa"/>
            <w:vAlign w:val="bottom"/>
          </w:tcPr>
          <w:p>
            <w:pPr>
              <w:spacing w:after="0"/>
              <w:rPr>
                <w:sz w:val="15"/>
                <w:szCs w:val="15"/>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77.0</w:t>
            </w:r>
          </w:p>
        </w:tc>
      </w:tr>
      <w:tr>
        <w:trPr>
          <w:trHeight w:val="173"/>
        </w:trPr>
        <w:tc>
          <w:tcPr>
            <w:tcW w:w="4960" w:type="dxa"/>
            <w:vAlign w:val="bottom"/>
          </w:tcPr>
          <w:p>
            <w:pPr>
              <w:spacing w:after="0"/>
              <w:rPr>
                <w:sz w:val="15"/>
                <w:szCs w:val="15"/>
                <w:color w:val="auto"/>
              </w:rPr>
            </w:pP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1.28</w:t>
            </w:r>
          </w:p>
        </w:tc>
      </w:tr>
      <w:tr>
        <w:trPr>
          <w:trHeight w:val="173"/>
        </w:trPr>
        <w:tc>
          <w:tcPr>
            <w:tcW w:w="4960" w:type="dxa"/>
            <w:vAlign w:val="bottom"/>
          </w:tcPr>
          <w:p>
            <w:pPr>
              <w:spacing w:after="0"/>
              <w:rPr>
                <w:sz w:val="15"/>
                <w:szCs w:val="15"/>
                <w:color w:val="auto"/>
              </w:rPr>
            </w:pP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080"/>
        <w:spacing w:after="0" w:line="244" w:lineRule="auto"/>
        <w:rPr>
          <w:sz w:val="20"/>
          <w:szCs w:val="20"/>
          <w:color w:val="auto"/>
        </w:rPr>
      </w:pPr>
      <w:r>
        <w:rPr>
          <w:rFonts w:ascii="Courier New" w:cs="Courier New" w:eastAsia="Courier New" w:hAnsi="Courier New"/>
          <w:sz w:val="15"/>
          <w:szCs w:val="15"/>
          <w:color w:val="auto"/>
        </w:rPr>
        <w:t>The calculation of net earnings per share - diluted excludes shares related to stock options on which the exercise prices were in excess of the average market price for the respective period. There were .6 and 1.3 such shares excluded from the calculation for the three months ended September 30, 2002 and 2001, respectively, and .1 and 1.3 such shares excluded from the calculation for the nine months ended September 30, 2002 and 2001, respectively.</w:t>
      </w:r>
    </w:p>
    <w:p>
      <w:pPr>
        <w:spacing w:after="0" w:line="177" w:lineRule="exact"/>
        <w:rPr>
          <w:sz w:val="20"/>
          <w:szCs w:val="20"/>
          <w:color w:val="auto"/>
        </w:rPr>
      </w:pPr>
    </w:p>
    <w:p>
      <w:pPr>
        <w:ind w:right="3080"/>
        <w:spacing w:after="0" w:line="244" w:lineRule="auto"/>
        <w:rPr>
          <w:sz w:val="20"/>
          <w:szCs w:val="20"/>
          <w:color w:val="auto"/>
        </w:rPr>
      </w:pPr>
      <w:r>
        <w:rPr>
          <w:rFonts w:ascii="Courier New" w:cs="Courier New" w:eastAsia="Courier New" w:hAnsi="Courier New"/>
          <w:sz w:val="15"/>
          <w:szCs w:val="15"/>
          <w:color w:val="auto"/>
        </w:rPr>
        <w:t>In addition, there were 6.1 shares of common stock that were contingently issuable under our convertible debentures for both 2002 and 2001. Such shares are excluded from the calculation of earnings per share - diluted based upon the terms of the convertible debentures and our intent to settle any potential "put" of the convertible debentures in cash.</w:t>
      </w:r>
    </w:p>
    <w:p>
      <w:pPr>
        <w:spacing w:after="0" w:line="177" w:lineRule="exact"/>
        <w:rPr>
          <w:sz w:val="20"/>
          <w:szCs w:val="20"/>
          <w:color w:val="auto"/>
        </w:rPr>
      </w:pPr>
    </w:p>
    <w:p>
      <w:pPr>
        <w:ind w:right="3080"/>
        <w:spacing w:after="0" w:line="244" w:lineRule="auto"/>
        <w:rPr>
          <w:sz w:val="20"/>
          <w:szCs w:val="20"/>
          <w:color w:val="auto"/>
        </w:rPr>
      </w:pPr>
      <w:r>
        <w:rPr>
          <w:rFonts w:ascii="Courier New" w:cs="Courier New" w:eastAsia="Courier New" w:hAnsi="Courier New"/>
          <w:sz w:val="15"/>
          <w:szCs w:val="15"/>
          <w:color w:val="auto"/>
        </w:rPr>
        <w:t>The contingently issuable shares under the convertible debentures will be included in the calculation of net earnings per share - diluted when the shares become issuable under the conversion feature of the debentures. This will occur when, among other things, the average share price, is 110% of the accreted value of the debentures at the beginning of the conversion period, as defined by the agreement. Given the accreted value of the debentures at the beginning of the current conversion period, the average share price, during the period, will have to be approximately $45 per share for the shares to be issuable.</w:t>
      </w:r>
    </w:p>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80"/>
          </w:cols>
          <w:pgMar w:left="240" w:top="811" w:right="1379" w:bottom="1440" w:gutter="0" w:footer="0" w:header="0"/>
        </w:sectPr>
      </w:pPr>
    </w:p>
    <w:bookmarkStart w:id="8" w:name="page9"/>
    <w:bookmarkEnd w:id="8"/>
    <w:p>
      <w:pPr>
        <w:ind w:left="448" w:hanging="448"/>
        <w:spacing w:after="0"/>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Equity</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Comprehensive income (loss) consists of the following:</w:t>
      </w:r>
    </w:p>
    <w:p>
      <w:pPr>
        <w:spacing w:after="0" w:line="200" w:lineRule="exact"/>
        <w:rPr>
          <w:sz w:val="20"/>
          <w:szCs w:val="20"/>
          <w:color w:val="auto"/>
        </w:rPr>
      </w:pPr>
    </w:p>
    <w:p>
      <w:pPr>
        <w:spacing w:after="0" w:line="324" w:lineRule="exact"/>
        <w:rPr>
          <w:sz w:val="20"/>
          <w:szCs w:val="20"/>
          <w:color w:val="auto"/>
        </w:rPr>
      </w:pPr>
    </w:p>
    <w:tbl>
      <w:tblPr>
        <w:tblLayout w:type="fixed"/>
        <w:tblInd w:w="368"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 MONTHS ENDED</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 MONTHS</w:t>
            </w:r>
          </w:p>
        </w:tc>
        <w:tc>
          <w:tcPr>
            <w:tcW w:w="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ENDED</w:t>
            </w:r>
          </w:p>
        </w:tc>
      </w:tr>
      <w:tr>
        <w:trPr>
          <w:trHeight w:val="173"/>
        </w:trPr>
        <w:tc>
          <w:tcPr>
            <w:tcW w:w="5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5500" w:type="dxa"/>
            <w:vAlign w:val="bottom"/>
          </w:tcPr>
          <w:p>
            <w:pPr>
              <w:spacing w:after="0"/>
              <w:rPr>
                <w:sz w:val="15"/>
                <w:szCs w:val="15"/>
                <w:color w:val="auto"/>
              </w:rPr>
            </w:pPr>
          </w:p>
        </w:tc>
        <w:tc>
          <w:tcPr>
            <w:tcW w:w="442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3"/>
        </w:trPr>
        <w:tc>
          <w:tcPr>
            <w:tcW w:w="5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4"/>
              </w:rPr>
              <w:t>2002</w:t>
            </w:r>
          </w:p>
        </w:tc>
        <w:tc>
          <w:tcPr>
            <w:tcW w:w="10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5"/>
                <w:szCs w:val="15"/>
                <w:color w:val="auto"/>
              </w:rPr>
            </w:pPr>
          </w:p>
        </w:tc>
        <w:tc>
          <w:tcPr>
            <w:tcW w:w="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2002</w:t>
            </w:r>
          </w:p>
        </w:tc>
        <w:tc>
          <w:tcPr>
            <w:tcW w:w="180" w:type="dxa"/>
            <w:vAlign w:val="bottom"/>
          </w:tcPr>
          <w:p>
            <w:pPr>
              <w:spacing w:after="0"/>
              <w:rPr>
                <w:sz w:val="15"/>
                <w:szCs w:val="15"/>
                <w:color w:val="auto"/>
              </w:rPr>
            </w:pPr>
          </w:p>
        </w:tc>
        <w:tc>
          <w:tcPr>
            <w:tcW w:w="78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5500" w:type="dxa"/>
            <w:vAlign w:val="bottom"/>
          </w:tcPr>
          <w:p>
            <w:pPr>
              <w:spacing w:after="0"/>
              <w:rPr>
                <w:sz w:val="15"/>
                <w:szCs w:val="15"/>
                <w:color w:val="auto"/>
              </w:rPr>
            </w:pPr>
          </w:p>
        </w:tc>
        <w:tc>
          <w:tcPr>
            <w:tcW w:w="442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47"/>
        </w:trPr>
        <w:tc>
          <w:tcPr>
            <w:tcW w:w="550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40.5</w:t>
            </w: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37.1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73.1</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98.6</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 - net of tax:</w:t>
            </w: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500" w:type="dxa"/>
            <w:vAlign w:val="bottom"/>
          </w:tcPr>
          <w:p>
            <w:pPr>
              <w:ind w:left="360"/>
              <w:spacing w:after="0"/>
              <w:rPr>
                <w:sz w:val="20"/>
                <w:szCs w:val="20"/>
                <w:color w:val="auto"/>
              </w:rPr>
            </w:pPr>
            <w:r>
              <w:rPr>
                <w:rFonts w:ascii="Courier New" w:cs="Courier New" w:eastAsia="Courier New" w:hAnsi="Courier New"/>
                <w:sz w:val="15"/>
                <w:szCs w:val="15"/>
                <w:color w:val="auto"/>
              </w:rPr>
              <w:t>Foreign currency translation adjustments</w:t>
            </w:r>
          </w:p>
        </w:tc>
        <w:tc>
          <w:tcPr>
            <w:tcW w:w="44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w:t>
            </w:r>
          </w:p>
        </w:tc>
        <w:tc>
          <w:tcPr>
            <w:tcW w:w="500" w:type="dxa"/>
            <w:vAlign w:val="bottom"/>
          </w:tcPr>
          <w:p>
            <w:pPr>
              <w:spacing w:after="0"/>
              <w:rPr>
                <w:sz w:val="15"/>
                <w:szCs w:val="15"/>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25.0</w:t>
            </w:r>
          </w:p>
        </w:tc>
        <w:tc>
          <w:tcPr>
            <w:tcW w:w="2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(25.5)</w:t>
            </w:r>
          </w:p>
        </w:tc>
      </w:tr>
      <w:tr>
        <w:trPr>
          <w:trHeight w:val="173"/>
        </w:trPr>
        <w:tc>
          <w:tcPr>
            <w:tcW w:w="5500" w:type="dxa"/>
            <w:vAlign w:val="bottom"/>
          </w:tcPr>
          <w:p>
            <w:pPr>
              <w:ind w:left="360"/>
              <w:spacing w:after="0"/>
              <w:rPr>
                <w:sz w:val="20"/>
                <w:szCs w:val="20"/>
                <w:color w:val="auto"/>
              </w:rPr>
            </w:pPr>
            <w:r>
              <w:rPr>
                <w:rFonts w:ascii="Courier New" w:cs="Courier New" w:eastAsia="Courier New" w:hAnsi="Courier New"/>
                <w:sz w:val="15"/>
                <w:szCs w:val="15"/>
                <w:color w:val="auto"/>
              </w:rPr>
              <w:t>Unrealized gain (loss) on available for sale securities</w:t>
            </w:r>
          </w:p>
        </w:tc>
        <w:tc>
          <w:tcPr>
            <w:tcW w:w="4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w:t>
            </w:r>
          </w:p>
        </w:tc>
        <w:tc>
          <w:tcPr>
            <w:tcW w:w="500" w:type="dxa"/>
            <w:vAlign w:val="bottom"/>
          </w:tcPr>
          <w:p>
            <w:pPr>
              <w:spacing w:after="0"/>
              <w:rPr>
                <w:sz w:val="15"/>
                <w:szCs w:val="15"/>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(5.9)</w:t>
            </w:r>
          </w:p>
        </w:tc>
        <w:tc>
          <w:tcPr>
            <w:tcW w:w="22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73"/>
        </w:trPr>
        <w:tc>
          <w:tcPr>
            <w:tcW w:w="5500" w:type="dxa"/>
            <w:vAlign w:val="bottom"/>
          </w:tcPr>
          <w:p>
            <w:pPr>
              <w:ind w:left="360"/>
              <w:spacing w:after="0"/>
              <w:rPr>
                <w:sz w:val="20"/>
                <w:szCs w:val="20"/>
                <w:color w:val="auto"/>
              </w:rPr>
            </w:pPr>
            <w:r>
              <w:rPr>
                <w:rFonts w:ascii="Courier New" w:cs="Courier New" w:eastAsia="Courier New" w:hAnsi="Courier New"/>
                <w:sz w:val="15"/>
                <w:szCs w:val="15"/>
                <w:color w:val="auto"/>
              </w:rPr>
              <w:t>Unrealized gain (loss) on derivative financial</w:t>
            </w: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500" w:type="dxa"/>
            <w:vAlign w:val="bottom"/>
          </w:tcPr>
          <w:p>
            <w:pPr>
              <w:ind w:left="540"/>
              <w:spacing w:after="0"/>
              <w:rPr>
                <w:sz w:val="20"/>
                <w:szCs w:val="20"/>
                <w:color w:val="auto"/>
              </w:rPr>
            </w:pPr>
            <w:r>
              <w:rPr>
                <w:rFonts w:ascii="Courier New" w:cs="Courier New" w:eastAsia="Courier New" w:hAnsi="Courier New"/>
                <w:sz w:val="15"/>
                <w:szCs w:val="15"/>
                <w:color w:val="auto"/>
              </w:rPr>
              <w:t>instruments</w:t>
            </w:r>
          </w:p>
        </w:tc>
        <w:tc>
          <w:tcPr>
            <w:tcW w:w="4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w:t>
            </w:r>
          </w:p>
        </w:tc>
        <w:tc>
          <w:tcPr>
            <w:tcW w:w="500" w:type="dxa"/>
            <w:vAlign w:val="bottom"/>
          </w:tcPr>
          <w:p>
            <w:pPr>
              <w:spacing w:after="0"/>
              <w:rPr>
                <w:sz w:val="15"/>
                <w:szCs w:val="15"/>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(3.6)</w:t>
            </w:r>
          </w:p>
        </w:tc>
        <w:tc>
          <w:tcPr>
            <w:tcW w:w="22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3"/>
        </w:trPr>
        <w:tc>
          <w:tcPr>
            <w:tcW w:w="5500" w:type="dxa"/>
            <w:vAlign w:val="bottom"/>
          </w:tcPr>
          <w:p>
            <w:pPr>
              <w:spacing w:after="0"/>
              <w:rPr>
                <w:sz w:val="15"/>
                <w:szCs w:val="15"/>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Comprehensive income (loss)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39.2</w:t>
            </w: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52.6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104.5</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59.8</w:t>
            </w:r>
          </w:p>
        </w:tc>
      </w:tr>
      <w:tr>
        <w:trPr>
          <w:trHeight w:val="173"/>
        </w:trPr>
        <w:tc>
          <w:tcPr>
            <w:tcW w:w="5500" w:type="dxa"/>
            <w:vAlign w:val="bottom"/>
          </w:tcPr>
          <w:p>
            <w:pPr>
              <w:spacing w:after="0"/>
              <w:rPr>
                <w:sz w:val="15"/>
                <w:szCs w:val="15"/>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8" w:right="3080"/>
        <w:spacing w:after="0" w:line="278" w:lineRule="auto"/>
        <w:rPr>
          <w:sz w:val="20"/>
          <w:szCs w:val="20"/>
          <w:color w:val="auto"/>
        </w:rPr>
      </w:pPr>
      <w:r>
        <w:rPr>
          <w:rFonts w:ascii="Courier New" w:cs="Courier New" w:eastAsia="Courier New" w:hAnsi="Courier New"/>
          <w:sz w:val="14"/>
          <w:szCs w:val="14"/>
          <w:color w:val="auto"/>
        </w:rPr>
        <w:t>On April 30, 2002, the Board of Directors declared a cash dividend of $.10 per share which was paid on June 14, 2002 to shareholders of record on June 3, 2002.</w:t>
      </w:r>
    </w:p>
    <w:p>
      <w:pPr>
        <w:spacing w:after="0" w:line="153" w:lineRule="exact"/>
        <w:rPr>
          <w:sz w:val="20"/>
          <w:szCs w:val="20"/>
          <w:color w:val="auto"/>
        </w:rPr>
      </w:pPr>
    </w:p>
    <w:p>
      <w:pPr>
        <w:ind w:left="8" w:right="3080"/>
        <w:spacing w:after="0" w:line="244" w:lineRule="auto"/>
        <w:rPr>
          <w:sz w:val="20"/>
          <w:szCs w:val="20"/>
          <w:color w:val="auto"/>
        </w:rPr>
      </w:pPr>
      <w:r>
        <w:rPr>
          <w:rFonts w:ascii="Courier New" w:cs="Courier New" w:eastAsia="Courier New" w:hAnsi="Courier New"/>
          <w:sz w:val="15"/>
          <w:szCs w:val="15"/>
          <w:color w:val="auto"/>
        </w:rPr>
        <w:t>On October 29, 2002, the Board of Directors declared a cash dividend of $.10 per share which is payable on December 16, 2002 to shareholders of record on December 3, 2002.</w:t>
      </w:r>
    </w:p>
    <w:p>
      <w:pPr>
        <w:spacing w:after="0" w:line="175" w:lineRule="exact"/>
        <w:rPr>
          <w:sz w:val="20"/>
          <w:szCs w:val="20"/>
          <w:color w:val="auto"/>
        </w:rPr>
      </w:pPr>
    </w:p>
    <w:p>
      <w:pPr>
        <w:ind w:left="448" w:hanging="448"/>
        <w:spacing w:after="0"/>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and Other Expense (Income)</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Interest and other expense (income)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368"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 MONTHS ENDED</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 MONTHS ENDED</w:t>
            </w:r>
          </w:p>
        </w:tc>
        <w:tc>
          <w:tcPr>
            <w:tcW w:w="460" w:type="dxa"/>
            <w:vAlign w:val="bottom"/>
          </w:tcPr>
          <w:p>
            <w:pPr>
              <w:spacing w:after="0"/>
              <w:rPr>
                <w:sz w:val="14"/>
                <w:szCs w:val="14"/>
                <w:color w:val="auto"/>
              </w:rPr>
            </w:pPr>
          </w:p>
        </w:tc>
      </w:tr>
      <w:tr>
        <w:trPr>
          <w:trHeight w:val="173"/>
        </w:trPr>
        <w:tc>
          <w:tcPr>
            <w:tcW w:w="31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460" w:type="dxa"/>
            <w:vAlign w:val="bottom"/>
          </w:tcPr>
          <w:p>
            <w:pPr>
              <w:spacing w:after="0"/>
              <w:rPr>
                <w:sz w:val="15"/>
                <w:szCs w:val="15"/>
                <w:color w:val="auto"/>
              </w:rPr>
            </w:pPr>
          </w:p>
        </w:tc>
      </w:tr>
      <w:tr>
        <w:trPr>
          <w:trHeight w:val="173"/>
        </w:trPr>
        <w:tc>
          <w:tcPr>
            <w:tcW w:w="3140" w:type="dxa"/>
            <w:vAlign w:val="bottom"/>
          </w:tcPr>
          <w:p>
            <w:pPr>
              <w:spacing w:after="0"/>
              <w:rPr>
                <w:sz w:val="15"/>
                <w:szCs w:val="15"/>
                <w:color w:val="auto"/>
              </w:rPr>
            </w:pPr>
          </w:p>
        </w:tc>
        <w:tc>
          <w:tcPr>
            <w:tcW w:w="678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3"/>
        </w:trPr>
        <w:tc>
          <w:tcPr>
            <w:tcW w:w="31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4"/>
              </w:rPr>
              <w:t>2002</w:t>
            </w:r>
          </w:p>
        </w:tc>
        <w:tc>
          <w:tcPr>
            <w:tcW w:w="10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5"/>
                <w:szCs w:val="15"/>
                <w:color w:val="auto"/>
              </w:rPr>
            </w:pP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4"/>
              </w:rPr>
              <w:t>2002</w:t>
            </w:r>
          </w:p>
        </w:tc>
        <w:tc>
          <w:tcPr>
            <w:tcW w:w="9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3140" w:type="dxa"/>
            <w:vAlign w:val="bottom"/>
          </w:tcPr>
          <w:p>
            <w:pPr>
              <w:spacing w:after="0"/>
              <w:rPr>
                <w:sz w:val="15"/>
                <w:szCs w:val="15"/>
                <w:color w:val="auto"/>
              </w:rPr>
            </w:pPr>
          </w:p>
        </w:tc>
        <w:tc>
          <w:tcPr>
            <w:tcW w:w="678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47"/>
        </w:trPr>
        <w:tc>
          <w:tcPr>
            <w:tcW w:w="31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11.5</w:t>
            </w: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10.8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31.9</w:t>
            </w: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28.3</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280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w:t>
            </w:r>
          </w:p>
        </w:tc>
        <w:tc>
          <w:tcPr>
            <w:tcW w:w="500" w:type="dxa"/>
            <w:vAlign w:val="bottom"/>
          </w:tcPr>
          <w:p>
            <w:pPr>
              <w:spacing w:after="0"/>
              <w:rPr>
                <w:sz w:val="15"/>
                <w:szCs w:val="15"/>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(2.4)</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w:t>
            </w:r>
          </w:p>
        </w:tc>
        <w:tc>
          <w:tcPr>
            <w:tcW w:w="5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(7.4)</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Foreign exchange (gains) losses</w:t>
            </w:r>
          </w:p>
        </w:tc>
        <w:tc>
          <w:tcPr>
            <w:tcW w:w="280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w:t>
            </w:r>
          </w:p>
        </w:tc>
        <w:tc>
          <w:tcPr>
            <w:tcW w:w="500" w:type="dxa"/>
            <w:vAlign w:val="bottom"/>
          </w:tcPr>
          <w:p>
            <w:pPr>
              <w:spacing w:after="0"/>
              <w:rPr>
                <w:sz w:val="15"/>
                <w:szCs w:val="15"/>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w:t>
            </w:r>
          </w:p>
        </w:tc>
        <w:tc>
          <w:tcPr>
            <w:tcW w:w="5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w w:val="99"/>
              </w:rPr>
              <w:t>Loss on sale of accounts receivable</w:t>
            </w:r>
          </w:p>
        </w:tc>
        <w:tc>
          <w:tcPr>
            <w:tcW w:w="2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w:t>
            </w:r>
          </w:p>
        </w:tc>
        <w:tc>
          <w:tcPr>
            <w:tcW w:w="500" w:type="dxa"/>
            <w:vAlign w:val="bottom"/>
          </w:tcPr>
          <w:p>
            <w:pPr>
              <w:spacing w:after="0"/>
              <w:rPr>
                <w:sz w:val="15"/>
                <w:szCs w:val="15"/>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w:t>
            </w:r>
          </w:p>
        </w:tc>
        <w:tc>
          <w:tcPr>
            <w:tcW w:w="2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w:t>
            </w:r>
          </w:p>
        </w:tc>
        <w:tc>
          <w:tcPr>
            <w:tcW w:w="500" w:type="dxa"/>
            <w:vAlign w:val="bottom"/>
          </w:tcPr>
          <w:p>
            <w:pPr>
              <w:spacing w:after="0"/>
              <w:rPr>
                <w:sz w:val="15"/>
                <w:szCs w:val="15"/>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Miscellaneous, net</w:t>
            </w:r>
          </w:p>
        </w:tc>
        <w:tc>
          <w:tcPr>
            <w:tcW w:w="2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w:t>
            </w:r>
          </w:p>
        </w:tc>
        <w:tc>
          <w:tcPr>
            <w:tcW w:w="500" w:type="dxa"/>
            <w:vAlign w:val="bottom"/>
          </w:tcPr>
          <w:p>
            <w:pPr>
              <w:spacing w:after="0"/>
              <w:rPr>
                <w:sz w:val="15"/>
                <w:szCs w:val="15"/>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w:t>
            </w:r>
          </w:p>
        </w:tc>
        <w:tc>
          <w:tcPr>
            <w:tcW w:w="2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w:t>
            </w:r>
          </w:p>
        </w:tc>
        <w:tc>
          <w:tcPr>
            <w:tcW w:w="500" w:type="dxa"/>
            <w:vAlign w:val="bottom"/>
          </w:tcPr>
          <w:p>
            <w:pPr>
              <w:spacing w:after="0"/>
              <w:rPr>
                <w:sz w:val="15"/>
                <w:szCs w:val="15"/>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w:t>
            </w:r>
          </w:p>
        </w:tc>
      </w:tr>
      <w:tr>
        <w:trPr>
          <w:trHeight w:val="173"/>
        </w:trPr>
        <w:tc>
          <w:tcPr>
            <w:tcW w:w="3140" w:type="dxa"/>
            <w:vAlign w:val="bottom"/>
          </w:tcPr>
          <w:p>
            <w:pPr>
              <w:spacing w:after="0"/>
              <w:rPr>
                <w:sz w:val="15"/>
                <w:szCs w:val="15"/>
                <w:color w:val="auto"/>
              </w:rPr>
            </w:pPr>
          </w:p>
        </w:tc>
        <w:tc>
          <w:tcPr>
            <w:tcW w:w="3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11.3</w:t>
            </w: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10.4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28.9</w:t>
            </w: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29.2</w:t>
            </w:r>
          </w:p>
        </w:tc>
      </w:tr>
      <w:tr>
        <w:trPr>
          <w:trHeight w:val="173"/>
        </w:trPr>
        <w:tc>
          <w:tcPr>
            <w:tcW w:w="3140" w:type="dxa"/>
            <w:vAlign w:val="bottom"/>
          </w:tcPr>
          <w:p>
            <w:pPr>
              <w:spacing w:after="0"/>
              <w:rPr>
                <w:sz w:val="15"/>
                <w:szCs w:val="15"/>
                <w:color w:val="auto"/>
              </w:rPr>
            </w:pPr>
          </w:p>
        </w:tc>
        <w:tc>
          <w:tcPr>
            <w:tcW w:w="3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694"/>
        </w:trPr>
        <w:tc>
          <w:tcPr>
            <w:tcW w:w="3140" w:type="dxa"/>
            <w:vAlign w:val="bottom"/>
          </w:tcPr>
          <w:p>
            <w:pPr>
              <w:spacing w:after="0"/>
              <w:rPr>
                <w:sz w:val="24"/>
                <w:szCs w:val="24"/>
                <w:color w:val="auto"/>
              </w:rPr>
            </w:pPr>
          </w:p>
        </w:tc>
        <w:tc>
          <w:tcPr>
            <w:tcW w:w="2800" w:type="dxa"/>
            <w:vAlign w:val="bottom"/>
          </w:tcPr>
          <w:p>
            <w:pPr>
              <w:jc w:val="right"/>
              <w:ind w:right="2625"/>
              <w:spacing w:after="0"/>
              <w:rPr>
                <w:sz w:val="20"/>
                <w:szCs w:val="20"/>
                <w:color w:val="auto"/>
              </w:rPr>
            </w:pPr>
            <w:r>
              <w:rPr>
                <w:rFonts w:ascii="Courier New" w:cs="Courier New" w:eastAsia="Courier New" w:hAnsi="Courier New"/>
                <w:sz w:val="15"/>
                <w:szCs w:val="15"/>
                <w:color w:val="auto"/>
                <w:w w:val="88"/>
              </w:rPr>
              <w:t>9</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288"/>
          </w:cols>
          <w:pgMar w:left="232" w:top="464" w:right="137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(9) Goodwill and Other Intangible Assets</w:t>
      </w:r>
    </w:p>
    <w:p>
      <w:pPr>
        <w:spacing w:after="0" w:line="178" w:lineRule="exact"/>
        <w:rPr>
          <w:sz w:val="20"/>
          <w:szCs w:val="20"/>
          <w:color w:val="auto"/>
        </w:rPr>
      </w:pPr>
    </w:p>
    <w:p>
      <w:pPr>
        <w:ind w:right="3520"/>
        <w:spacing w:after="0" w:line="244" w:lineRule="auto"/>
        <w:rPr>
          <w:sz w:val="20"/>
          <w:szCs w:val="20"/>
          <w:color w:val="auto"/>
        </w:rPr>
      </w:pPr>
      <w:r>
        <w:rPr>
          <w:rFonts w:ascii="Courier New" w:cs="Courier New" w:eastAsia="Courier New" w:hAnsi="Courier New"/>
          <w:sz w:val="15"/>
          <w:szCs w:val="15"/>
          <w:color w:val="auto"/>
        </w:rPr>
        <w:t>During June 2001, the Financial Accounting Standards Board (`FASB') issued Statement of Financial Accounting Standards (`SFAS') No. 142, "Goodwill and Other Intangible Assets," which prohibits the amortization of goodwill or identifiable intangible assets with an indefinite life. We adopted this statement on January 1, 2002.</w:t>
      </w:r>
    </w:p>
    <w:p>
      <w:pPr>
        <w:spacing w:after="0" w:line="177" w:lineRule="exact"/>
        <w:rPr>
          <w:sz w:val="20"/>
          <w:szCs w:val="20"/>
          <w:color w:val="auto"/>
        </w:rPr>
      </w:pPr>
    </w:p>
    <w:p>
      <w:pPr>
        <w:ind w:right="3080"/>
        <w:spacing w:after="0" w:line="244" w:lineRule="auto"/>
        <w:rPr>
          <w:sz w:val="20"/>
          <w:szCs w:val="20"/>
          <w:color w:val="auto"/>
        </w:rPr>
      </w:pPr>
      <w:r>
        <w:rPr>
          <w:rFonts w:ascii="Courier New" w:cs="Courier New" w:eastAsia="Courier New" w:hAnsi="Courier New"/>
          <w:sz w:val="15"/>
          <w:szCs w:val="15"/>
          <w:color w:val="auto"/>
        </w:rPr>
        <w:t>This statement requires goodwill impairment reviews to be performed at least annually by applying a fair-value-based test at the reporting unit level, which generally represents operations one level below the segments that we report. The first step in this test is to compare each reporting unit's estimated fair value to its carrying value. If the reporting unit's estimated fair value is in excess of its carrying value, the test is complete and no impairment is recorded. However, if the reporting unit's estimated fair value is less than its carrying value, additional procedures are performed to determine if any impairment of goodwill exists. The calculation of estimated fair value required us to make estimates and assumptions about future operating results, which may differ from actual amounts. We have completed the test as of the date of adoption and for our 2002 review and have determined that there are no impairments related to the goodwill balances.</w:t>
      </w:r>
    </w:p>
    <w:p>
      <w:pPr>
        <w:spacing w:after="0" w:line="182" w:lineRule="exact"/>
        <w:rPr>
          <w:sz w:val="20"/>
          <w:szCs w:val="20"/>
          <w:color w:val="auto"/>
        </w:rPr>
      </w:pPr>
    </w:p>
    <w:p>
      <w:pPr>
        <w:ind w:right="3080"/>
        <w:spacing w:after="0" w:line="243" w:lineRule="auto"/>
        <w:rPr>
          <w:sz w:val="20"/>
          <w:szCs w:val="20"/>
          <w:color w:val="auto"/>
        </w:rPr>
      </w:pPr>
      <w:r>
        <w:rPr>
          <w:rFonts w:ascii="Courier New" w:cs="Courier New" w:eastAsia="Courier New" w:hAnsi="Courier New"/>
          <w:sz w:val="15"/>
          <w:szCs w:val="15"/>
          <w:color w:val="auto"/>
        </w:rPr>
        <w:t>A summary of net earnings and net earnings per share, as if we had accounted for goodwill under SFAS No. 142 as of January 1, 2001, is as follows: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11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 MONTHS ENDED</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 MONTHS ENDED</w:t>
            </w:r>
          </w:p>
        </w:tc>
        <w:tc>
          <w:tcPr>
            <w:tcW w:w="600" w:type="dxa"/>
            <w:vAlign w:val="bottom"/>
          </w:tcPr>
          <w:p>
            <w:pPr>
              <w:spacing w:after="0"/>
              <w:rPr>
                <w:sz w:val="14"/>
                <w:szCs w:val="14"/>
                <w:color w:val="auto"/>
              </w:rPr>
            </w:pPr>
          </w:p>
        </w:tc>
      </w:tr>
      <w:tr>
        <w:trPr>
          <w:trHeight w:val="173"/>
        </w:trPr>
        <w:tc>
          <w:tcPr>
            <w:tcW w:w="11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SEPTEMBER 30,</w:t>
            </w: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600" w:type="dxa"/>
            <w:vAlign w:val="bottom"/>
          </w:tcPr>
          <w:p>
            <w:pPr>
              <w:spacing w:after="0"/>
              <w:rPr>
                <w:sz w:val="15"/>
                <w:szCs w:val="15"/>
                <w:color w:val="auto"/>
              </w:rPr>
            </w:pPr>
          </w:p>
        </w:tc>
      </w:tr>
      <w:tr>
        <w:trPr>
          <w:trHeight w:val="173"/>
        </w:trPr>
        <w:tc>
          <w:tcPr>
            <w:tcW w:w="11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7"/>
              </w:rPr>
              <w:t>-------------------------</w:t>
            </w: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1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4"/>
              </w:rPr>
              <w:t>2002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2002</w:t>
            </w:r>
          </w:p>
        </w:tc>
        <w:tc>
          <w:tcPr>
            <w:tcW w:w="11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11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4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7"/>
        </w:trPr>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w w:val="98"/>
              </w:rPr>
              <w:t>Adjusted net</w:t>
            </w:r>
          </w:p>
        </w:tc>
        <w:tc>
          <w:tcPr>
            <w:tcW w:w="3340" w:type="dxa"/>
            <w:vAlign w:val="bottom"/>
          </w:tcPr>
          <w:p>
            <w:pPr>
              <w:ind w:left="40"/>
              <w:spacing w:after="0"/>
              <w:rPr>
                <w:sz w:val="20"/>
                <w:szCs w:val="20"/>
                <w:color w:val="auto"/>
              </w:rPr>
            </w:pPr>
            <w:r>
              <w:rPr>
                <w:rFonts w:ascii="Courier New" w:cs="Courier New" w:eastAsia="Courier New" w:hAnsi="Courier New"/>
                <w:sz w:val="15"/>
                <w:szCs w:val="15"/>
                <w:color w:val="auto"/>
              </w:rPr>
              <w:t>earnings:</w:t>
            </w: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3"/>
        </w:trPr>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Reported</w:t>
            </w:r>
          </w:p>
        </w:tc>
        <w:tc>
          <w:tcPr>
            <w:tcW w:w="3340" w:type="dxa"/>
            <w:vAlign w:val="bottom"/>
          </w:tcPr>
          <w:p>
            <w:pPr>
              <w:ind w:left="40"/>
              <w:spacing w:after="0"/>
              <w:rPr>
                <w:sz w:val="20"/>
                <w:szCs w:val="20"/>
                <w:color w:val="auto"/>
              </w:rPr>
            </w:pPr>
            <w:r>
              <w:rPr>
                <w:rFonts w:ascii="Courier New" w:cs="Courier New" w:eastAsia="Courier New" w:hAnsi="Courier New"/>
                <w:sz w:val="15"/>
                <w:szCs w:val="15"/>
                <w:color w:val="auto"/>
              </w:rPr>
              <w:t>net earnings</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40.5</w:t>
            </w:r>
          </w:p>
        </w:tc>
        <w:tc>
          <w:tcPr>
            <w:tcW w:w="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37.1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73.1</w:t>
            </w:r>
          </w:p>
        </w:tc>
        <w:tc>
          <w:tcPr>
            <w:tcW w:w="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98.6</w:t>
            </w:r>
          </w:p>
        </w:tc>
      </w:tr>
      <w:tr>
        <w:trPr>
          <w:trHeight w:val="173"/>
        </w:trPr>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Goodwill</w:t>
            </w:r>
          </w:p>
        </w:tc>
        <w:tc>
          <w:tcPr>
            <w:tcW w:w="3340" w:type="dxa"/>
            <w:vAlign w:val="bottom"/>
          </w:tcPr>
          <w:p>
            <w:pPr>
              <w:ind w:left="40"/>
              <w:spacing w:after="0"/>
              <w:rPr>
                <w:sz w:val="20"/>
                <w:szCs w:val="20"/>
                <w:color w:val="auto"/>
              </w:rPr>
            </w:pPr>
            <w:r>
              <w:rPr>
                <w:rFonts w:ascii="Courier New" w:cs="Courier New" w:eastAsia="Courier New" w:hAnsi="Courier New"/>
                <w:sz w:val="15"/>
                <w:szCs w:val="15"/>
                <w:color w:val="auto"/>
              </w:rPr>
              <w:t>amortization</w:t>
            </w:r>
          </w:p>
        </w:tc>
        <w:tc>
          <w:tcPr>
            <w:tcW w:w="94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w:t>
            </w:r>
          </w:p>
        </w:tc>
        <w:tc>
          <w:tcPr>
            <w:tcW w:w="40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w:t>
            </w:r>
          </w:p>
        </w:tc>
      </w:tr>
      <w:tr>
        <w:trPr>
          <w:trHeight w:val="173"/>
        </w:trPr>
        <w:tc>
          <w:tcPr>
            <w:tcW w:w="11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1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40.5</w:t>
            </w:r>
          </w:p>
        </w:tc>
        <w:tc>
          <w:tcPr>
            <w:tcW w:w="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41.0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73.1</w:t>
            </w:r>
          </w:p>
        </w:tc>
        <w:tc>
          <w:tcPr>
            <w:tcW w:w="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109.1</w:t>
            </w:r>
          </w:p>
        </w:tc>
      </w:tr>
      <w:tr>
        <w:trPr>
          <w:trHeight w:val="173"/>
        </w:trPr>
        <w:tc>
          <w:tcPr>
            <w:tcW w:w="11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w w:val="98"/>
              </w:rPr>
              <w:t>Adjusted net</w:t>
            </w:r>
          </w:p>
        </w:tc>
        <w:tc>
          <w:tcPr>
            <w:tcW w:w="3340" w:type="dxa"/>
            <w:vAlign w:val="bottom"/>
          </w:tcPr>
          <w:p>
            <w:pPr>
              <w:ind w:left="40"/>
              <w:spacing w:after="0"/>
              <w:rPr>
                <w:sz w:val="20"/>
                <w:szCs w:val="20"/>
                <w:color w:val="auto"/>
              </w:rPr>
            </w:pPr>
            <w:r>
              <w:rPr>
                <w:rFonts w:ascii="Courier New" w:cs="Courier New" w:eastAsia="Courier New" w:hAnsi="Courier New"/>
                <w:sz w:val="15"/>
                <w:szCs w:val="15"/>
                <w:color w:val="auto"/>
              </w:rPr>
              <w:t>earnings per share - basic:</w:t>
            </w: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3"/>
        </w:trPr>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Reported</w:t>
            </w:r>
          </w:p>
        </w:tc>
        <w:tc>
          <w:tcPr>
            <w:tcW w:w="3340" w:type="dxa"/>
            <w:vAlign w:val="bottom"/>
          </w:tcPr>
          <w:p>
            <w:pPr>
              <w:ind w:left="40"/>
              <w:spacing w:after="0"/>
              <w:rPr>
                <w:sz w:val="20"/>
                <w:szCs w:val="20"/>
                <w:color w:val="auto"/>
              </w:rPr>
            </w:pPr>
            <w:r>
              <w:rPr>
                <w:rFonts w:ascii="Courier New" w:cs="Courier New" w:eastAsia="Courier New" w:hAnsi="Courier New"/>
                <w:sz w:val="15"/>
                <w:szCs w:val="15"/>
                <w:color w:val="auto"/>
              </w:rPr>
              <w:t>net earnings</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w:t>
            </w:r>
          </w:p>
        </w:tc>
        <w:tc>
          <w:tcPr>
            <w:tcW w:w="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w:t>
            </w:r>
          </w:p>
        </w:tc>
        <w:tc>
          <w:tcPr>
            <w:tcW w:w="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1.30</w:t>
            </w:r>
          </w:p>
        </w:tc>
      </w:tr>
      <w:tr>
        <w:trPr>
          <w:trHeight w:val="173"/>
        </w:trPr>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Goodwill</w:t>
            </w:r>
          </w:p>
        </w:tc>
        <w:tc>
          <w:tcPr>
            <w:tcW w:w="3340" w:type="dxa"/>
            <w:vAlign w:val="bottom"/>
          </w:tcPr>
          <w:p>
            <w:pPr>
              <w:ind w:left="40"/>
              <w:spacing w:after="0"/>
              <w:rPr>
                <w:sz w:val="20"/>
                <w:szCs w:val="20"/>
                <w:color w:val="auto"/>
              </w:rPr>
            </w:pPr>
            <w:r>
              <w:rPr>
                <w:rFonts w:ascii="Courier New" w:cs="Courier New" w:eastAsia="Courier New" w:hAnsi="Courier New"/>
                <w:sz w:val="15"/>
                <w:szCs w:val="15"/>
                <w:color w:val="auto"/>
              </w:rPr>
              <w:t>amortization</w:t>
            </w:r>
          </w:p>
        </w:tc>
        <w:tc>
          <w:tcPr>
            <w:tcW w:w="94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w:t>
            </w:r>
          </w:p>
        </w:tc>
        <w:tc>
          <w:tcPr>
            <w:tcW w:w="40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w:t>
            </w:r>
          </w:p>
        </w:tc>
      </w:tr>
      <w:tr>
        <w:trPr>
          <w:trHeight w:val="173"/>
        </w:trPr>
        <w:tc>
          <w:tcPr>
            <w:tcW w:w="11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1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w:t>
            </w:r>
          </w:p>
        </w:tc>
        <w:tc>
          <w:tcPr>
            <w:tcW w:w="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w:t>
            </w:r>
          </w:p>
        </w:tc>
        <w:tc>
          <w:tcPr>
            <w:tcW w:w="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w:t>
            </w:r>
          </w:p>
        </w:tc>
      </w:tr>
      <w:tr>
        <w:trPr>
          <w:trHeight w:val="173"/>
        </w:trPr>
        <w:tc>
          <w:tcPr>
            <w:tcW w:w="11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w w:val="98"/>
              </w:rPr>
              <w:t>Adjusted net</w:t>
            </w:r>
          </w:p>
        </w:tc>
        <w:tc>
          <w:tcPr>
            <w:tcW w:w="3340" w:type="dxa"/>
            <w:vAlign w:val="bottom"/>
          </w:tcPr>
          <w:p>
            <w:pPr>
              <w:ind w:left="40"/>
              <w:spacing w:after="0"/>
              <w:rPr>
                <w:sz w:val="20"/>
                <w:szCs w:val="20"/>
                <w:color w:val="auto"/>
              </w:rPr>
            </w:pPr>
            <w:r>
              <w:rPr>
                <w:rFonts w:ascii="Courier New" w:cs="Courier New" w:eastAsia="Courier New" w:hAnsi="Courier New"/>
                <w:sz w:val="15"/>
                <w:szCs w:val="15"/>
                <w:color w:val="auto"/>
              </w:rPr>
              <w:t>earnings per share - diluted:</w:t>
            </w: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3"/>
        </w:trPr>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Reported</w:t>
            </w:r>
          </w:p>
        </w:tc>
        <w:tc>
          <w:tcPr>
            <w:tcW w:w="3340" w:type="dxa"/>
            <w:vAlign w:val="bottom"/>
          </w:tcPr>
          <w:p>
            <w:pPr>
              <w:ind w:left="40"/>
              <w:spacing w:after="0"/>
              <w:rPr>
                <w:sz w:val="20"/>
                <w:szCs w:val="20"/>
                <w:color w:val="auto"/>
              </w:rPr>
            </w:pPr>
            <w:r>
              <w:rPr>
                <w:rFonts w:ascii="Courier New" w:cs="Courier New" w:eastAsia="Courier New" w:hAnsi="Courier New"/>
                <w:sz w:val="15"/>
                <w:szCs w:val="15"/>
                <w:color w:val="auto"/>
              </w:rPr>
              <w:t>net earnings</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w:t>
            </w:r>
          </w:p>
        </w:tc>
        <w:tc>
          <w:tcPr>
            <w:tcW w:w="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.94</w:t>
            </w:r>
          </w:p>
        </w:tc>
        <w:tc>
          <w:tcPr>
            <w:tcW w:w="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1.28</w:t>
            </w:r>
          </w:p>
        </w:tc>
      </w:tr>
      <w:tr>
        <w:trPr>
          <w:trHeight w:val="173"/>
        </w:trPr>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Goodwill</w:t>
            </w:r>
          </w:p>
        </w:tc>
        <w:tc>
          <w:tcPr>
            <w:tcW w:w="3340" w:type="dxa"/>
            <w:vAlign w:val="bottom"/>
          </w:tcPr>
          <w:p>
            <w:pPr>
              <w:ind w:left="40"/>
              <w:spacing w:after="0"/>
              <w:rPr>
                <w:sz w:val="20"/>
                <w:szCs w:val="20"/>
                <w:color w:val="auto"/>
              </w:rPr>
            </w:pPr>
            <w:r>
              <w:rPr>
                <w:rFonts w:ascii="Courier New" w:cs="Courier New" w:eastAsia="Courier New" w:hAnsi="Courier New"/>
                <w:sz w:val="15"/>
                <w:szCs w:val="15"/>
                <w:color w:val="auto"/>
              </w:rPr>
              <w:t>amortization</w:t>
            </w:r>
          </w:p>
        </w:tc>
        <w:tc>
          <w:tcPr>
            <w:tcW w:w="94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w:t>
            </w:r>
          </w:p>
        </w:tc>
        <w:tc>
          <w:tcPr>
            <w:tcW w:w="40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w:t>
            </w:r>
          </w:p>
        </w:tc>
      </w:tr>
      <w:tr>
        <w:trPr>
          <w:trHeight w:val="173"/>
        </w:trPr>
        <w:tc>
          <w:tcPr>
            <w:tcW w:w="11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1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w:t>
            </w:r>
          </w:p>
        </w:tc>
        <w:tc>
          <w:tcPr>
            <w:tcW w:w="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.94</w:t>
            </w:r>
          </w:p>
        </w:tc>
        <w:tc>
          <w:tcPr>
            <w:tcW w:w="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1.42</w:t>
            </w:r>
          </w:p>
        </w:tc>
      </w:tr>
      <w:tr>
        <w:trPr>
          <w:trHeight w:val="173"/>
        </w:trPr>
        <w:tc>
          <w:tcPr>
            <w:tcW w:w="11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694"/>
        </w:trPr>
        <w:tc>
          <w:tcPr>
            <w:tcW w:w="1120" w:type="dxa"/>
            <w:vAlign w:val="bottom"/>
          </w:tcPr>
          <w:p>
            <w:pPr>
              <w:spacing w:after="0"/>
              <w:rPr>
                <w:sz w:val="24"/>
                <w:szCs w:val="24"/>
                <w:color w:val="auto"/>
              </w:rPr>
            </w:pPr>
          </w:p>
        </w:tc>
        <w:tc>
          <w:tcPr>
            <w:tcW w:w="3340" w:type="dxa"/>
            <w:vAlign w:val="bottom"/>
          </w:tcPr>
          <w:p>
            <w:pPr>
              <w:ind w:left="2020"/>
              <w:spacing w:after="0"/>
              <w:rPr>
                <w:sz w:val="20"/>
                <w:szCs w:val="20"/>
                <w:color w:val="auto"/>
              </w:rPr>
            </w:pPr>
            <w:r>
              <w:rPr>
                <w:rFonts w:ascii="Courier New" w:cs="Courier New" w:eastAsia="Courier New" w:hAnsi="Courier New"/>
                <w:sz w:val="15"/>
                <w:szCs w:val="15"/>
                <w:color w:val="auto"/>
              </w:rPr>
              <w:t>10</w:t>
            </w: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280"/>
          </w:cols>
          <w:pgMar w:left="240" w:top="464" w:right="1379" w:bottom="1440" w:gutter="0" w:footer="0" w:header="0"/>
        </w:sectPr>
      </w:pPr>
    </w:p>
    <w:bookmarkStart w:id="10" w:name="page11"/>
    <w:bookmarkEnd w:id="10"/>
    <w:p>
      <w:pPr>
        <w:ind w:left="8"/>
        <w:spacing w:after="0"/>
        <w:rPr>
          <w:sz w:val="20"/>
          <w:szCs w:val="20"/>
          <w:color w:val="auto"/>
        </w:rPr>
      </w:pPr>
      <w:r>
        <w:rPr>
          <w:rFonts w:ascii="Courier New" w:cs="Courier New" w:eastAsia="Courier New" w:hAnsi="Courier New"/>
          <w:sz w:val="15"/>
          <w:szCs w:val="15"/>
          <w:color w:val="auto"/>
        </w:rPr>
        <w:t>(10) Segment Information</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Segment information is as follows:</w:t>
      </w:r>
    </w:p>
    <w:p>
      <w:pPr>
        <w:spacing w:after="0" w:line="200" w:lineRule="exact"/>
        <w:rPr>
          <w:sz w:val="20"/>
          <w:szCs w:val="20"/>
          <w:color w:val="auto"/>
        </w:rPr>
      </w:pPr>
    </w:p>
    <w:p>
      <w:pPr>
        <w:spacing w:after="0" w:line="324" w:lineRule="exact"/>
        <w:rPr>
          <w:sz w:val="20"/>
          <w:szCs w:val="20"/>
          <w:color w:val="auto"/>
        </w:rPr>
      </w:pPr>
    </w:p>
    <w:tbl>
      <w:tblPr>
        <w:tblLayout w:type="fixed"/>
        <w:tblInd w:w="368" w:type="dxa"/>
        <w:tblCellMar>
          <w:top w:w="0" w:type="dxa"/>
          <w:left w:w="0" w:type="dxa"/>
          <w:bottom w:w="0" w:type="dxa"/>
          <w:right w:w="0" w:type="dxa"/>
        </w:tblCellMar>
      </w:tblPr>
      <w:tr>
        <w:trPr>
          <w:trHeight w:val="170"/>
        </w:trPr>
        <w:tc>
          <w:tcPr>
            <w:tcW w:w="4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gridSpan w:val="3"/>
          </w:tcPr>
          <w:p>
            <w:pPr>
              <w:jc w:val="right"/>
              <w:ind w:right="685"/>
              <w:spacing w:after="0"/>
              <w:rPr>
                <w:sz w:val="20"/>
                <w:szCs w:val="20"/>
                <w:color w:val="auto"/>
              </w:rPr>
            </w:pPr>
            <w:r>
              <w:rPr>
                <w:rFonts w:ascii="Courier New" w:cs="Courier New" w:eastAsia="Courier New" w:hAnsi="Courier New"/>
                <w:sz w:val="15"/>
                <w:szCs w:val="15"/>
                <w:color w:val="auto"/>
              </w:rPr>
              <w:t>3 MONTHS ENDED</w:t>
            </w:r>
          </w:p>
        </w:tc>
        <w:tc>
          <w:tcPr>
            <w:tcW w:w="360" w:type="dxa"/>
            <w:vAlign w:val="bottom"/>
          </w:tcPr>
          <w:p>
            <w:pPr>
              <w:spacing w:after="0"/>
              <w:rPr>
                <w:sz w:val="14"/>
                <w:szCs w:val="14"/>
                <w:color w:val="auto"/>
              </w:rPr>
            </w:pPr>
          </w:p>
        </w:tc>
        <w:tc>
          <w:tcPr>
            <w:tcW w:w="204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9 MONTHS ENDED</w:t>
            </w:r>
          </w:p>
        </w:tc>
      </w:tr>
      <w:tr>
        <w:trPr>
          <w:trHeight w:val="173"/>
        </w:trPr>
        <w:tc>
          <w:tcPr>
            <w:tcW w:w="4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160" w:type="dxa"/>
            <w:vAlign w:val="bottom"/>
            <w:gridSpan w:val="3"/>
          </w:tcPr>
          <w:p>
            <w:pPr>
              <w:jc w:val="right"/>
              <w:ind w:right="685"/>
              <w:spacing w:after="0"/>
              <w:rPr>
                <w:sz w:val="20"/>
                <w:szCs w:val="20"/>
                <w:color w:val="auto"/>
              </w:rPr>
            </w:pPr>
            <w:r>
              <w:rPr>
                <w:rFonts w:ascii="Courier New" w:cs="Courier New" w:eastAsia="Courier New" w:hAnsi="Courier New"/>
                <w:sz w:val="15"/>
                <w:szCs w:val="15"/>
                <w:color w:val="auto"/>
              </w:rPr>
              <w:t>SEPTEMBER 30,</w:t>
            </w:r>
          </w:p>
        </w:tc>
        <w:tc>
          <w:tcPr>
            <w:tcW w:w="360" w:type="dxa"/>
            <w:vAlign w:val="bottom"/>
          </w:tcPr>
          <w:p>
            <w:pPr>
              <w:spacing w:after="0"/>
              <w:rPr>
                <w:sz w:val="15"/>
                <w:szCs w:val="15"/>
                <w:color w:val="auto"/>
              </w:rPr>
            </w:pPr>
          </w:p>
        </w:tc>
        <w:tc>
          <w:tcPr>
            <w:tcW w:w="204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4060" w:type="dxa"/>
            <w:vAlign w:val="bottom"/>
          </w:tcPr>
          <w:p>
            <w:pPr>
              <w:spacing w:after="0"/>
              <w:rPr>
                <w:sz w:val="15"/>
                <w:szCs w:val="15"/>
                <w:color w:val="auto"/>
              </w:rPr>
            </w:pPr>
          </w:p>
        </w:tc>
        <w:tc>
          <w:tcPr>
            <w:tcW w:w="3460" w:type="dxa"/>
            <w:vAlign w:val="bottom"/>
            <w:gridSpan w:val="4"/>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5"/>
                <w:szCs w:val="15"/>
                <w:color w:val="auto"/>
              </w:rPr>
            </w:pPr>
          </w:p>
        </w:tc>
        <w:tc>
          <w:tcPr>
            <w:tcW w:w="10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5"/>
                <w:szCs w:val="15"/>
                <w:color w:val="auto"/>
              </w:rPr>
            </w:pPr>
          </w:p>
        </w:tc>
        <w:tc>
          <w:tcPr>
            <w:tcW w:w="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2002</w:t>
            </w:r>
          </w:p>
        </w:tc>
        <w:tc>
          <w:tcPr>
            <w:tcW w:w="280" w:type="dxa"/>
            <w:vAlign w:val="bottom"/>
          </w:tcPr>
          <w:p>
            <w:pPr>
              <w:spacing w:after="0"/>
              <w:rPr>
                <w:sz w:val="15"/>
                <w:szCs w:val="15"/>
                <w:color w:val="auto"/>
              </w:rPr>
            </w:pPr>
          </w:p>
        </w:tc>
        <w:tc>
          <w:tcPr>
            <w:tcW w:w="8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4060" w:type="dxa"/>
            <w:vAlign w:val="bottom"/>
          </w:tcPr>
          <w:p>
            <w:pPr>
              <w:spacing w:after="0"/>
              <w:rPr>
                <w:sz w:val="15"/>
                <w:szCs w:val="15"/>
                <w:color w:val="auto"/>
              </w:rPr>
            </w:pPr>
          </w:p>
        </w:tc>
        <w:tc>
          <w:tcPr>
            <w:tcW w:w="3460" w:type="dxa"/>
            <w:vAlign w:val="bottom"/>
            <w:gridSpan w:val="4"/>
          </w:tcPr>
          <w:p>
            <w:pPr>
              <w:jc w:val="right"/>
              <w:ind w:right="65"/>
              <w:spacing w:after="0"/>
              <w:rPr>
                <w:sz w:val="20"/>
                <w:szCs w:val="20"/>
                <w:color w:val="auto"/>
              </w:rPr>
            </w:pPr>
            <w:r>
              <w:rPr>
                <w:rFonts w:ascii="Courier New" w:cs="Courier New" w:eastAsia="Courier New" w:hAnsi="Courier New"/>
                <w:sz w:val="15"/>
                <w:szCs w:val="15"/>
                <w:color w:val="auto"/>
              </w:rPr>
              <w:t>------------ ------------</w:t>
            </w:r>
          </w:p>
        </w:tc>
        <w:tc>
          <w:tcPr>
            <w:tcW w:w="24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7"/>
        </w:trPr>
        <w:tc>
          <w:tcPr>
            <w:tcW w:w="4060" w:type="dxa"/>
            <w:vAlign w:val="bottom"/>
          </w:tcPr>
          <w:p>
            <w:pPr>
              <w:spacing w:after="0"/>
              <w:rPr>
                <w:sz w:val="20"/>
                <w:szCs w:val="20"/>
                <w:color w:val="auto"/>
              </w:rPr>
            </w:pPr>
            <w:r>
              <w:rPr>
                <w:rFonts w:ascii="Courier New" w:cs="Courier New" w:eastAsia="Courier New" w:hAnsi="Courier New"/>
                <w:sz w:val="15"/>
                <w:szCs w:val="15"/>
                <w:color w:val="auto"/>
              </w:rPr>
              <w:t>Revenues from services:</w:t>
            </w: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United States  (a)</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512.8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482.4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1,416.4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1,552.2</w:t>
            </w:r>
          </w:p>
        </w:tc>
      </w:tr>
      <w:tr>
        <w:trPr>
          <w:trHeight w:val="173"/>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France</w:t>
            </w:r>
          </w:p>
        </w:tc>
        <w:tc>
          <w:tcPr>
            <w:tcW w:w="130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1,103.3</w:t>
            </w:r>
          </w:p>
        </w:tc>
        <w:tc>
          <w:tcPr>
            <w:tcW w:w="26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991.5</w:t>
            </w:r>
          </w:p>
        </w:tc>
        <w:tc>
          <w:tcPr>
            <w:tcW w:w="36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2,813.7</w:t>
            </w:r>
          </w:p>
        </w:tc>
        <w:tc>
          <w:tcPr>
            <w:tcW w:w="2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2,879.3</w:t>
            </w:r>
          </w:p>
        </w:tc>
      </w:tr>
      <w:tr>
        <w:trPr>
          <w:trHeight w:val="173"/>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United Kingdom</w:t>
            </w:r>
          </w:p>
        </w:tc>
        <w:tc>
          <w:tcPr>
            <w:tcW w:w="130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366.1</w:t>
            </w:r>
          </w:p>
        </w:tc>
        <w:tc>
          <w:tcPr>
            <w:tcW w:w="26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377.7</w:t>
            </w:r>
          </w:p>
        </w:tc>
        <w:tc>
          <w:tcPr>
            <w:tcW w:w="36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1,020.7</w:t>
            </w:r>
          </w:p>
        </w:tc>
        <w:tc>
          <w:tcPr>
            <w:tcW w:w="2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1,128.2</w:t>
            </w:r>
          </w:p>
        </w:tc>
      </w:tr>
      <w:tr>
        <w:trPr>
          <w:trHeight w:val="173"/>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Other Europe</w:t>
            </w:r>
          </w:p>
        </w:tc>
        <w:tc>
          <w:tcPr>
            <w:tcW w:w="130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540.5</w:t>
            </w:r>
          </w:p>
        </w:tc>
        <w:tc>
          <w:tcPr>
            <w:tcW w:w="26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481.4</w:t>
            </w:r>
          </w:p>
        </w:tc>
        <w:tc>
          <w:tcPr>
            <w:tcW w:w="36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1,480.2</w:t>
            </w:r>
          </w:p>
        </w:tc>
        <w:tc>
          <w:tcPr>
            <w:tcW w:w="2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1,456.0</w:t>
            </w:r>
          </w:p>
        </w:tc>
      </w:tr>
      <w:tr>
        <w:trPr>
          <w:trHeight w:val="173"/>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Other Operations (b)</w:t>
            </w:r>
          </w:p>
        </w:tc>
        <w:tc>
          <w:tcPr>
            <w:tcW w:w="130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363.2</w:t>
            </w:r>
          </w:p>
        </w:tc>
        <w:tc>
          <w:tcPr>
            <w:tcW w:w="26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342.4</w:t>
            </w:r>
          </w:p>
        </w:tc>
        <w:tc>
          <w:tcPr>
            <w:tcW w:w="36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1,041.8</w:t>
            </w:r>
          </w:p>
        </w:tc>
        <w:tc>
          <w:tcPr>
            <w:tcW w:w="2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931.7</w:t>
            </w:r>
          </w:p>
        </w:tc>
      </w:tr>
      <w:tr>
        <w:trPr>
          <w:trHeight w:val="173"/>
        </w:trPr>
        <w:tc>
          <w:tcPr>
            <w:tcW w:w="4060" w:type="dxa"/>
            <w:vAlign w:val="bottom"/>
          </w:tcPr>
          <w:p>
            <w:pPr>
              <w:spacing w:after="0"/>
              <w:rPr>
                <w:sz w:val="15"/>
                <w:szCs w:val="15"/>
                <w:color w:val="auto"/>
              </w:rPr>
            </w:pPr>
          </w:p>
        </w:tc>
        <w:tc>
          <w:tcPr>
            <w:tcW w:w="2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0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2,885.9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2,675.4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7,772.8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7,947.4</w:t>
            </w:r>
          </w:p>
        </w:tc>
      </w:tr>
      <w:tr>
        <w:trPr>
          <w:trHeight w:val="173"/>
        </w:trPr>
        <w:tc>
          <w:tcPr>
            <w:tcW w:w="4060" w:type="dxa"/>
            <w:vAlign w:val="bottom"/>
          </w:tcPr>
          <w:p>
            <w:pPr>
              <w:spacing w:after="0"/>
              <w:rPr>
                <w:sz w:val="15"/>
                <w:szCs w:val="15"/>
                <w:color w:val="auto"/>
              </w:rPr>
            </w:pPr>
          </w:p>
        </w:tc>
        <w:tc>
          <w:tcPr>
            <w:tcW w:w="2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060" w:type="dxa"/>
            <w:vAlign w:val="bottom"/>
          </w:tcPr>
          <w:p>
            <w:pPr>
              <w:spacing w:after="0"/>
              <w:rPr>
                <w:sz w:val="20"/>
                <w:szCs w:val="20"/>
                <w:color w:val="auto"/>
              </w:rPr>
            </w:pPr>
            <w:r>
              <w:rPr>
                <w:rFonts w:ascii="Courier New" w:cs="Courier New" w:eastAsia="Courier New" w:hAnsi="Courier New"/>
                <w:sz w:val="15"/>
                <w:szCs w:val="15"/>
                <w:color w:val="auto"/>
              </w:rPr>
              <w:t>Operating Unit Profit:</w:t>
            </w: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United States</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29.0</w:t>
            </w:r>
          </w:p>
        </w:tc>
      </w:tr>
      <w:tr>
        <w:trPr>
          <w:trHeight w:val="173"/>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France</w:t>
            </w:r>
          </w:p>
        </w:tc>
        <w:tc>
          <w:tcPr>
            <w:tcW w:w="130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40.6</w:t>
            </w:r>
          </w:p>
        </w:tc>
        <w:tc>
          <w:tcPr>
            <w:tcW w:w="26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37.2</w:t>
            </w:r>
          </w:p>
        </w:tc>
        <w:tc>
          <w:tcPr>
            <w:tcW w:w="36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95.5</w:t>
            </w:r>
          </w:p>
        </w:tc>
        <w:tc>
          <w:tcPr>
            <w:tcW w:w="2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98.9</w:t>
            </w:r>
          </w:p>
        </w:tc>
      </w:tr>
      <w:tr>
        <w:trPr>
          <w:trHeight w:val="173"/>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United Kingdom</w:t>
            </w:r>
          </w:p>
        </w:tc>
        <w:tc>
          <w:tcPr>
            <w:tcW w:w="130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w:t>
            </w:r>
          </w:p>
        </w:tc>
        <w:tc>
          <w:tcPr>
            <w:tcW w:w="26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13.7</w:t>
            </w:r>
          </w:p>
        </w:tc>
        <w:tc>
          <w:tcPr>
            <w:tcW w:w="36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w:t>
            </w:r>
          </w:p>
        </w:tc>
        <w:tc>
          <w:tcPr>
            <w:tcW w:w="2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33.6</w:t>
            </w:r>
          </w:p>
        </w:tc>
      </w:tr>
      <w:tr>
        <w:trPr>
          <w:trHeight w:val="173"/>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Other Europe</w:t>
            </w:r>
          </w:p>
        </w:tc>
        <w:tc>
          <w:tcPr>
            <w:tcW w:w="130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24.0</w:t>
            </w:r>
          </w:p>
        </w:tc>
        <w:tc>
          <w:tcPr>
            <w:tcW w:w="26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20.6</w:t>
            </w:r>
          </w:p>
        </w:tc>
        <w:tc>
          <w:tcPr>
            <w:tcW w:w="36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50.1</w:t>
            </w:r>
          </w:p>
        </w:tc>
        <w:tc>
          <w:tcPr>
            <w:tcW w:w="2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57.5</w:t>
            </w:r>
          </w:p>
        </w:tc>
      </w:tr>
      <w:tr>
        <w:trPr>
          <w:trHeight w:val="173"/>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Other Operations</w:t>
            </w:r>
          </w:p>
        </w:tc>
        <w:tc>
          <w:tcPr>
            <w:tcW w:w="130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w:t>
            </w:r>
          </w:p>
        </w:tc>
        <w:tc>
          <w:tcPr>
            <w:tcW w:w="26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w:t>
            </w:r>
          </w:p>
        </w:tc>
        <w:tc>
          <w:tcPr>
            <w:tcW w:w="36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w:t>
            </w:r>
          </w:p>
        </w:tc>
        <w:tc>
          <w:tcPr>
            <w:tcW w:w="2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w:t>
            </w:r>
          </w:p>
        </w:tc>
      </w:tr>
      <w:tr>
        <w:trPr>
          <w:trHeight w:val="173"/>
        </w:trPr>
        <w:tc>
          <w:tcPr>
            <w:tcW w:w="4060" w:type="dxa"/>
            <w:vAlign w:val="bottom"/>
          </w:tcPr>
          <w:p>
            <w:pPr>
              <w:spacing w:after="0"/>
              <w:rPr>
                <w:sz w:val="15"/>
                <w:szCs w:val="15"/>
                <w:color w:val="auto"/>
              </w:rPr>
            </w:pPr>
          </w:p>
        </w:tc>
        <w:tc>
          <w:tcPr>
            <w:tcW w:w="2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0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87.0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178.7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225.2</w:t>
            </w:r>
          </w:p>
        </w:tc>
      </w:tr>
      <w:tr>
        <w:trPr>
          <w:trHeight w:val="173"/>
        </w:trPr>
        <w:tc>
          <w:tcPr>
            <w:tcW w:w="4060" w:type="dxa"/>
            <w:vAlign w:val="bottom"/>
          </w:tcPr>
          <w:p>
            <w:pPr>
              <w:spacing w:after="0"/>
              <w:rPr>
                <w:sz w:val="20"/>
                <w:szCs w:val="20"/>
                <w:color w:val="auto"/>
              </w:rPr>
            </w:pPr>
            <w:r>
              <w:rPr>
                <w:rFonts w:ascii="Courier New" w:cs="Courier New" w:eastAsia="Courier New" w:hAnsi="Courier New"/>
                <w:sz w:val="15"/>
                <w:szCs w:val="15"/>
                <w:color w:val="auto"/>
              </w:rPr>
              <w:t>Corporate expenses</w:t>
            </w:r>
          </w:p>
        </w:tc>
        <w:tc>
          <w:tcPr>
            <w:tcW w:w="130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9.8</w:t>
            </w:r>
          </w:p>
        </w:tc>
        <w:tc>
          <w:tcPr>
            <w:tcW w:w="26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10.2</w:t>
            </w:r>
          </w:p>
        </w:tc>
        <w:tc>
          <w:tcPr>
            <w:tcW w:w="36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30.9</w:t>
            </w:r>
          </w:p>
        </w:tc>
        <w:tc>
          <w:tcPr>
            <w:tcW w:w="2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29.9</w:t>
            </w:r>
          </w:p>
        </w:tc>
      </w:tr>
      <w:tr>
        <w:trPr>
          <w:trHeight w:val="173"/>
        </w:trPr>
        <w:tc>
          <w:tcPr>
            <w:tcW w:w="4060" w:type="dxa"/>
            <w:vAlign w:val="bottom"/>
          </w:tcPr>
          <w:p>
            <w:pPr>
              <w:spacing w:after="0"/>
              <w:rPr>
                <w:sz w:val="20"/>
                <w:szCs w:val="20"/>
                <w:color w:val="auto"/>
              </w:rPr>
            </w:pPr>
            <w:r>
              <w:rPr>
                <w:rFonts w:ascii="Courier New" w:cs="Courier New" w:eastAsia="Courier New" w:hAnsi="Courier New"/>
                <w:sz w:val="15"/>
                <w:szCs w:val="15"/>
                <w:color w:val="auto"/>
              </w:rPr>
              <w:t>Amortization of intangible assets</w:t>
            </w:r>
          </w:p>
        </w:tc>
        <w:tc>
          <w:tcPr>
            <w:tcW w:w="130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w:t>
            </w:r>
          </w:p>
        </w:tc>
        <w:tc>
          <w:tcPr>
            <w:tcW w:w="36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w:t>
            </w:r>
          </w:p>
        </w:tc>
        <w:tc>
          <w:tcPr>
            <w:tcW w:w="2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12.1</w:t>
            </w:r>
          </w:p>
        </w:tc>
      </w:tr>
      <w:tr>
        <w:trPr>
          <w:trHeight w:val="173"/>
        </w:trPr>
        <w:tc>
          <w:tcPr>
            <w:tcW w:w="4060" w:type="dxa"/>
            <w:vAlign w:val="bottom"/>
          </w:tcPr>
          <w:p>
            <w:pPr>
              <w:spacing w:after="0"/>
              <w:rPr>
                <w:sz w:val="20"/>
                <w:szCs w:val="20"/>
                <w:color w:val="auto"/>
              </w:rPr>
            </w:pPr>
            <w:r>
              <w:rPr>
                <w:rFonts w:ascii="Courier New" w:cs="Courier New" w:eastAsia="Courier New" w:hAnsi="Courier New"/>
                <w:sz w:val="15"/>
                <w:szCs w:val="15"/>
                <w:color w:val="auto"/>
              </w:rPr>
              <w:t>Interest and other expense</w:t>
            </w:r>
          </w:p>
        </w:tc>
        <w:tc>
          <w:tcPr>
            <w:tcW w:w="130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11.3</w:t>
            </w:r>
          </w:p>
        </w:tc>
        <w:tc>
          <w:tcPr>
            <w:tcW w:w="26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10.4</w:t>
            </w:r>
          </w:p>
        </w:tc>
        <w:tc>
          <w:tcPr>
            <w:tcW w:w="36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28.9</w:t>
            </w:r>
          </w:p>
        </w:tc>
        <w:tc>
          <w:tcPr>
            <w:tcW w:w="2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29.2</w:t>
            </w:r>
          </w:p>
        </w:tc>
      </w:tr>
      <w:tr>
        <w:trPr>
          <w:trHeight w:val="173"/>
        </w:trPr>
        <w:tc>
          <w:tcPr>
            <w:tcW w:w="4060" w:type="dxa"/>
            <w:vAlign w:val="bottom"/>
          </w:tcPr>
          <w:p>
            <w:pPr>
              <w:spacing w:after="0"/>
              <w:rPr>
                <w:sz w:val="15"/>
                <w:szCs w:val="15"/>
                <w:color w:val="auto"/>
              </w:rPr>
            </w:pPr>
          </w:p>
        </w:tc>
        <w:tc>
          <w:tcPr>
            <w:tcW w:w="2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060" w:type="dxa"/>
            <w:vAlign w:val="bottom"/>
          </w:tcPr>
          <w:p>
            <w:pPr>
              <w:ind w:left="360"/>
              <w:spacing w:after="0"/>
              <w:rPr>
                <w:sz w:val="20"/>
                <w:szCs w:val="20"/>
                <w:color w:val="auto"/>
              </w:rPr>
            </w:pPr>
            <w:r>
              <w:rPr>
                <w:rFonts w:ascii="Courier New" w:cs="Courier New" w:eastAsia="Courier New" w:hAnsi="Courier New"/>
                <w:sz w:val="15"/>
                <w:szCs w:val="15"/>
                <w:color w:val="auto"/>
              </w:rPr>
              <w:t>Earnings before income taxes</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118.8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154.0</w:t>
            </w:r>
          </w:p>
        </w:tc>
      </w:tr>
      <w:tr>
        <w:trPr>
          <w:trHeight w:val="173"/>
        </w:trPr>
        <w:tc>
          <w:tcPr>
            <w:tcW w:w="4060" w:type="dxa"/>
            <w:vAlign w:val="bottom"/>
          </w:tcPr>
          <w:p>
            <w:pPr>
              <w:spacing w:after="0"/>
              <w:rPr>
                <w:sz w:val="15"/>
                <w:szCs w:val="15"/>
                <w:color w:val="auto"/>
              </w:rPr>
            </w:pPr>
          </w:p>
        </w:tc>
        <w:tc>
          <w:tcPr>
            <w:tcW w:w="2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448" w:right="3080" w:hanging="448"/>
        <w:spacing w:after="0" w:line="244" w:lineRule="auto"/>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Systemwide sales in the United States, which includes sales of Company-owned branches and franchises, were $783.7 and $757.2 for the three months ended September 30, 2002 and 2001, respectively, and $2,162.1 and $2,420.2 for the nine months ended September 30, 2002 and 2001, respectively.</w:t>
      </w:r>
    </w:p>
    <w:p>
      <w:pPr>
        <w:spacing w:after="0" w:line="349" w:lineRule="exact"/>
        <w:rPr>
          <w:rFonts w:ascii="Courier New" w:cs="Courier New" w:eastAsia="Courier New" w:hAnsi="Courier New"/>
          <w:sz w:val="15"/>
          <w:szCs w:val="15"/>
          <w:color w:val="auto"/>
        </w:rPr>
      </w:pPr>
    </w:p>
    <w:p>
      <w:pPr>
        <w:ind w:left="448" w:right="3260" w:hanging="448"/>
        <w:spacing w:after="0" w:line="244" w:lineRule="auto"/>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segment, formerly Other Countries, has been renamed Other Operations to more properly reflect the composition of the segment. There was no change to the historical composition of the segment.</w:t>
      </w:r>
    </w:p>
    <w:p>
      <w:pPr>
        <w:spacing w:after="0" w:line="34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88"/>
          </w:cols>
          <w:pgMar w:left="232" w:top="464" w:right="1379" w:bottom="1440" w:gutter="0" w:footer="0" w:header="0"/>
        </w:sectPr>
      </w:pPr>
    </w:p>
    <w:bookmarkStart w:id="11" w:name="page12"/>
    <w:bookmarkEnd w:id="11"/>
    <w:p>
      <w:pPr>
        <w:ind w:right="3019"/>
        <w:spacing w:after="0" w:line="243" w:lineRule="auto"/>
        <w:rPr>
          <w:sz w:val="20"/>
          <w:szCs w:val="20"/>
          <w:color w:val="auto"/>
        </w:rPr>
      </w:pPr>
      <w:r>
        <w:rPr>
          <w:rFonts w:ascii="Courier New" w:cs="Courier New" w:eastAsia="Courier New" w:hAnsi="Courier New"/>
          <w:sz w:val="15"/>
          <w:szCs w:val="15"/>
          <w:color w:val="auto"/>
        </w:rPr>
        <w:t>Item 2 - Management's Discussion and Analysis of Financial Condition and Results of Operations</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Operating Results - Three Months Ended September 30, 2002 and 2001</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Revenues increased 7.9% to $2,885.9 million for the third quarter of 2002 from the same period in 2001. Revenues were favorably impacted by changes in foreign currency exchange rates during the third quarter of 2002 compared to 2001 due to the weakening of the U.S. dollar relative to the currencies in most of our non-U.S. markets. At constant exchange rates, revenues would have increased</w:t>
      </w:r>
    </w:p>
    <w:p>
      <w:pPr>
        <w:spacing w:after="0" w:line="3"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1.3%. Revenue growth in the third quarter of 2002 attributable to acquisitions was approximately $25 million. Revenues excluding acquisitions increased 7.0%, or .4% on a constant currency basis, in the third quarter of 2002 compared to 2001.</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Gross profit increased 1.5% to $512.3 million for the third quarter of 2002 compared to 2001. Gross profit margin decreased 110 basis points (1.1%) from the third quarter of 2001 to 17.8% in 2002. This decrease was primarily attributable to an unfavorable change in business mix and pricing pressures experienced throughout the world. Gross profit growth attributable to acquisitions was approximately $6 million. Excluding acquisitions, gross profit increased .4%, or decreased 5.9% on a constant currency basis, in the third quarter of 2002 compared to 2001. Acquisitions had no impact on the gross profit margin in the third quarter of 2002.</w:t>
      </w:r>
    </w:p>
    <w:p>
      <w:pPr>
        <w:spacing w:after="0" w:line="17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Selling and administrative expenses, excluding goodwill amortization during the third quarter of 2001, increased .7% to $435.1 million in the third quarter of 2002; however, these expenses decreased 4.9% on a constant currency basis. As a percent of revenues, excluding goodwill amortization in 2001, selling and administrative expenses were 15.1% in the third quarter of 2002 compared to 16.1% in the third quarter of 2001. As a percent of gross profit, excluding goodwill amortization in 2001, selling and administrative expenses were 84.9% in the third quarter of 2002 compared to 85.6% in the third quarter of 2001. The decreased expense levels, on a constant currency basis, and the improved expense trends are the result of our cost control initiatives implemented in all countries during the past year and the leveraging impact of our increasing revenue levels during the third quarter of 2002.</w:t>
      </w:r>
    </w:p>
    <w:p>
      <w:pPr>
        <w:spacing w:after="0" w:line="18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Operating profit increased 13.1% for the third quarter of 2002 compared to 2001 and operating profit, as a percent of revenues, was 2.7% and 2.6% for 2002 and 2001, respectively. Excluding goodwill amortization in 2001, operating profit increased 6.2% from 2001 and decreased 4.2% on a constant currency basis. Operating profit margin, excluding goodwill amortization in 2001, remained unchanged as the decline in gross profit margin was offset by the improved selling and administrative expense ratios. Acquisitions contributed approximately $2 million to operating profit during the third quarter of 2002. On an organic constant currency basis, excluding goodwill amortization in 2001, operating profit decreased 6.8% in the third quarter of 2002 compared to 2001.</w:t>
      </w:r>
    </w:p>
    <w:p>
      <w:pPr>
        <w:spacing w:after="0" w:line="180"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Interest and other expense increased $.9 million from the third quarter of 2001 to $11.3 million in the third quarter of 2002. Net interest expense, including the loss on sale of accounts receivable, was $9.7 million in the third quarter of 2002 compared to $9.5 million in the third quarter of 2001. This increase is primarily a result of the stronger Euro exchange rate impacting our Euro-denominated interest expense. Miscellaneous expenses, net, also increased $.5 million from 2001 to 2002.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provided for income taxes during the third quarter of 2002 at a rate of</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38.5%, based on our current estimate of the annual effective tax rate. This rate is higher than the U.S. Federal statutory rate of 35% due primarily to foreign repatriations and higher foreign tax rates. For the year ended December 31, 2001, excluding the effect of goodwill amortization, we provided for income taxes at a rate of 35.1%. The estimated effective tax rate for 2002 is higher than the 2001 rate due to changes in the mix of taxable income between countries and various anticipated permanent book-tax differences.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812" w:right="1440" w:bottom="1440" w:gutter="0" w:footer="0" w:header="0"/>
        </w:sectPr>
      </w:pPr>
    </w:p>
    <w:bookmarkStart w:id="12" w:name="page13"/>
    <w:bookmarkEnd w:id="12"/>
    <w:p>
      <w:pPr>
        <w:ind w:right="3019"/>
        <w:spacing w:after="0" w:line="244" w:lineRule="auto"/>
        <w:rPr>
          <w:sz w:val="20"/>
          <w:szCs w:val="20"/>
          <w:color w:val="auto"/>
        </w:rPr>
      </w:pPr>
      <w:r>
        <w:rPr>
          <w:rFonts w:ascii="Courier New" w:cs="Courier New" w:eastAsia="Courier New" w:hAnsi="Courier New"/>
          <w:sz w:val="15"/>
          <w:szCs w:val="15"/>
          <w:color w:val="auto"/>
        </w:rPr>
        <w:t>On a diluted basis, net earnings per share was $.52 in the third quarter of 2002 compared to $.48 in the third quarter of 2001. The diluted net earnings per share for the third quarter of 2002 compared to 2001 was positively impacted by $.07 due to changes in foreign currency exchange rates. Excluding the effect of goodwill amortization, net earnings per share on a diluted basis was $.53 for the third quarter of 2001.</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Operating Results - Nine Months Ended September 30, 2002 and 2001</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Revenues decreased 2.2% to $7,772.8 million for the first nine months of 2002 compared to the same period in 2001. At constant foreign currency exchange rates, revenues would have decreased 4.1%. The favorable impact from changes in exchange rates experienced during the second and third quarters of 2002 was slightly offset by an unfavorable impact in the first quarter of 2002. Revenue growth for the first nine months of 2002 attributable to acquisitions was approximately $155 million. Revenues excluding acquisitions decreased 4.1%, or 6.0% on a constant currency basis, for the first nine months of 2002 compared to 2001.</w:t>
      </w:r>
    </w:p>
    <w:p>
      <w:pPr>
        <w:spacing w:after="0" w:line="17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Gross profit decreased 5.6% to $1,394.7 million for the first nine months of 2002 compared to 2001. Gross profit margin decreased 70 basis points (.7%) from the first nine months of 2001 to 17.9% in 2002. The year-over-year gross profit margin declines experienced for the past two quarters are somewhat offset by gains experienced during the first quarter of 2002. Gross profit growth attributable to acquisitions was approximately $46 million. Excluding acquisitions, gross profit decreased 8.7%, or decreased 10.7% on a constant currency basis, for the first nine months of 2002 compared to 2001. Acquisitions had a positive impact of 20 basis points (.2%) on gross profit margin for the first nine months of 2002.</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Selling and administrative expenses, excluding goodwill amortization during the first nine months of 2001, decreased 2.8% to $1,247.0 million in the first nine months of 2002 (4.2% on a constant currency basis). As a percent of revenues, excluding goodwill amortization in 2001, selling and administrative expenses were 16.0% in the first nine months of 2002 compared to 16.1% for the same period in 2001. As a percent of gross profit, excluding goodwill amortization in 2001, selling and administrative expenses were 89.4% and 86.8% in the first nine months of 2002 and 2001, respectively. The decline in the absolute level of these expenses and the improvement as a percent of revenue are due primarily to the continued cost control efforts and the increasing revenue levels in the second and third quarters. The expenses as a percent of gross profit lags prior year due to the decline in gross profit.</w:t>
      </w:r>
    </w:p>
    <w:p>
      <w:pPr>
        <w:spacing w:after="0" w:line="18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Operating profit decreased 19.4% for the first nine months of 2002 compared to 2001 and operating profit margin was 1.9% and 2.3% for 2002 and 2001, respectively. Excluding goodwill amortization in 2001, operating profit decreased 24.3% from 2001 (28.9% on a constant currency basis). This decrease was due primarily to the lower revenue and gross profit levels in 2002 compared to 2001 somewhat offset by the continued cost control efforts. Acquisitions contributed approximately $3 million to operating profit during the first nine months of 2002. On an organic constant currency basis, excluding goodwill amortization in 2001, operating profit decreased 30.2% in the first nine months of 2002 compared to 2001.</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Interest and other expense decreased $.3 million from the first nine months of 2001 to $28.9 million in the first nine months of 2002. Net interest expense, including the loss on sale of accounts receivable, was $25.6 million in the first nine months of 2002 compared to $26.0 million in the first nine months of 2001. This decrease is primarily due to lower interest rates during 2002, offset somewhat by the result of the stronger Euro exchange rate impacting our Euro-denominated interest expense.</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provided for income taxes during the first nine months of 2002 at a rate of 38.5%, based on our current estimate of the annual effective tax rate. This rate is higher than the U.S. Federal statutory rate of 35% due primarily to foreign repatriations and higher foreign tax rates. For the year ended December 31, 2001, excluding the effect of goodwill amortization, we provided for income taxes at a rate of 35.1%. The estimated effective tax rate for 2002 is higher than the 2001 rate due to changes in the mix of taxable income between countries and various anticipated permanent book-tax differences.</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812" w:right="1440" w:bottom="1440" w:gutter="0" w:footer="0" w:header="0"/>
        </w:sectPr>
      </w:pPr>
    </w:p>
    <w:bookmarkStart w:id="13" w:name="page14"/>
    <w:bookmarkEnd w:id="13"/>
    <w:p>
      <w:pPr>
        <w:jc w:val="both"/>
        <w:ind w:right="3019"/>
        <w:spacing w:after="0" w:line="244" w:lineRule="auto"/>
        <w:rPr>
          <w:sz w:val="20"/>
          <w:szCs w:val="20"/>
          <w:color w:val="auto"/>
        </w:rPr>
      </w:pPr>
      <w:r>
        <w:rPr>
          <w:rFonts w:ascii="Courier New" w:cs="Courier New" w:eastAsia="Courier New" w:hAnsi="Courier New"/>
          <w:sz w:val="15"/>
          <w:szCs w:val="15"/>
          <w:color w:val="auto"/>
        </w:rPr>
        <w:t>On a diluted basis, net earnings per share was $.94 in the first nine months of 2002 compared to $1.28 for the same period in 2001. The diluted net earnings per share for the first nine months of 2002 compared to 2001 was positively impacted by $.09 due to changes in foreign currency exchange rates. Excluding the effect of goodwill amortization during the first nine months of 2001, net earnings per share on a diluted basis, was $1.42.</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currently account for all of our fixed stock option plans and the 1990 Employee Stock Purchase Plan in accordance with APB Opinion No. 25 and related Interpretations. Accordingly, no compensation cost related to these plans has been charged to earnings. If we determined compensation cost consistent with the method of SFAS No. 123, our reported net earnings per share, on a diluted basis, would be $.51 ($.01 less than the amount reported) and $.91 ($.03 less than the amount reported) for the third quarter and first nine months of 2002, respectively.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Operating Results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w:t>
      </w:r>
    </w:p>
    <w:p>
      <w:pPr>
        <w:spacing w:after="0" w:line="178"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The United States experienced an increase in revenues of 6.3% for the third quarter of 2002 compared to 2001 due to improved customer demand, especially in the Light Industrial and Professional sectors. Franchise acquisitions had a positive impact on revenue growth. Excluding these acquisitions, revenues increased 2.5% from the third quarter of 2001. For the first nine months of 2002 compared to 2001, revenues decreased 8.7%, or 11.8% excluding acquisitions.</w:t>
      </w:r>
    </w:p>
    <w:p>
      <w:pPr>
        <w:spacing w:after="0" w:line="16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Operating unit profit (`OUP') margin in the United States was 2.4% and 1.8% for the third quarter of 2002 and 2001, respectively, and 1.1% and 1.9% for the first nine months of 2002 and 2001, respectively. The year-over-year increase in OUP margin in the third quarter was due to the leveraging impact of the increased revenue levels and the continued cost control efforts. The decrease in OUP margin for the nine-month period was primarily a result of lower gross profit levels caused by the decline in revenues during much of the period, and lower gross profit margins.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In France, revenues increased .5% in Euro during the third quarter of 2002 compared to 2001 due to slightly improved customer demand. This represents the second consecutive quarter of improved year-over-year revenue variances. Revenues, for the first nine months of 2002 compared to 2001 were down 6.3% in Euro.</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During the third quarter of 2002 and 2001, OUP margin in France was 3.7% and 3.8% respectively. Year-over-year gross profit margin decreases were largely offset by the effect of continued cost control efforts. OUP margin for the first nine months of 2002, was 3.4%, consistent with that experienced in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United Kingdom revenues during the third quarter of 2002, on a constant currency basis, were 10.4% below the third quarter of 2001, which represents the continued lower demand for workers in the United Kingdom, particularly in the IT sector. On a constant currency basis, revenues decreased 12.2% during the first nine months of 2002 compared to 2001. During the second quarter of 2002, there was a reduction in contact center business with three of our more significant customers in the United Kingdom, causing part of the year-over-year revenue declines.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the United Kingdom, OUP margin for the third quarter of 2002 was 2.0% compared to 3.6% in 2001. The decrease was a direct result of the lower gross profit levels. In the first nine months of 2002, OUP margin was 1.4% compared to 3.0% for 2001.</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65"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Other Europe</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In Other Europe, revenues, on a constant currency basis, during the third quarter of 2002 increased 1.5% from the same period in 2001. During the third quarter of 2002, we continued to experience year-over-year growth in southern Europe, offset by continued negative variances in central and northern Europe. During the first nine months of 2002 compared to 2001, revenues, on a constant currency basis, decreased 1.9%.</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OUP margin in Other Europe was 4.4% and 4.3% for the third quarter of 2002 and 2001, respectively, and 3.4% and 4.0% for the first nine months of 2002 and 2001, respectively. The improved OUP margin for the third quarter was a result of the increase in revenues, along with our cost control efforts. The decline in OUP margin for the first nine months of 2002 was due primarily to lower gross profit levels, as we had higher revenue growth in the countries with lower gross profit margins.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Operations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Revenues of Other Operations increased 9.0%, on a constant currency basis, during the third quarter of 2002 compared to 2001. Acquisitions did not have a significant impact on the revenue growth experienced in the third quarter of 2002. During the first nine months of 2002 compared to 2001, revenues increased 16.9%, on a constant currency basis. Although acquisitions accounted for a portion of this increase, Other Operations posted organic revenue growth of 6.4% for the first nine months of 2002 compared to 2001.</w:t>
      </w:r>
    </w:p>
    <w:p>
      <w:pPr>
        <w:spacing w:after="0" w:line="178" w:lineRule="exact"/>
        <w:rPr>
          <w:sz w:val="20"/>
          <w:szCs w:val="20"/>
          <w:color w:val="auto"/>
        </w:rPr>
      </w:pPr>
    </w:p>
    <w:p>
      <w:pPr>
        <w:ind w:right="3199"/>
        <w:spacing w:after="0" w:line="267" w:lineRule="auto"/>
        <w:rPr>
          <w:sz w:val="20"/>
          <w:szCs w:val="20"/>
          <w:color w:val="auto"/>
        </w:rPr>
      </w:pPr>
      <w:r>
        <w:rPr>
          <w:rFonts w:ascii="Courier New" w:cs="Courier New" w:eastAsia="Courier New" w:hAnsi="Courier New"/>
          <w:sz w:val="14"/>
          <w:szCs w:val="14"/>
          <w:color w:val="auto"/>
        </w:rPr>
        <w:t>In Other Operations, OUP margin for the third quarter of 2002 was .8% compared to .9% for the same period in 2001. In the first nine months of 2002 and 2001, OUP margin was .3% and .7%, respectively. The impact of higher gross profit acquisitions has been offset by continued investments in this segment.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Cash provided by operating activities was $70.1 million in the first nine months of 2002 compared to $57.6 million for the same period in 2001. Excluding the changes in amounts advanced under the Receivables Facility, cash used by changes in working capital requirements was $70.1 million and $10.1 million for the first nine months of 2002 and 2001, respectively. This change is primarily a result of higher accounts receivable balances in 2002 compared to 2001, due to increased revenue levels in 2002, offset by a three-day reduction in Days Sales Outstanding. Cash provided by operating activities before changes in working capital requirements was $140.2 million and $169.7 million in the first nine months of 2002 and 2001, respectively. This decrease is a result of lower earnings levels during 2002 compared to the same period in 2001.</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Capital expenditures were $40.2 million in the first nine months of 2002 compared to $66.6 million during the first nine months of 2001. Capital expenditures were primarily comprised of purchases of computer equipment, office furniture and other costs related to office openings and refurbishments, as well as capitalized software costs. In general, expenditures during 2002 were lower than 2001 levels due to fewer new office openings as a result of the economic slowdown.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During the first nine months of 2002, we acquired certain companies, primarily U.S. franchises, and made other acquisition-related payments totaling $31.2 million. In addition, during June 2002, we acquired an equity interest in one of our U.S. franchises in exchange for $15.0 million of our common stock (approximately 390,000 shares).</w:t>
      </w: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8" w:right="1440" w:bottom="1440" w:gutter="0" w:footer="0" w:header="0"/>
        </w:sectPr>
      </w:pPr>
    </w:p>
    <w:bookmarkStart w:id="15" w:name="page16"/>
    <w:bookmarkEnd w:id="15"/>
    <w:p>
      <w:pPr>
        <w:ind w:right="3019"/>
        <w:spacing w:after="0" w:line="244" w:lineRule="auto"/>
        <w:rPr>
          <w:sz w:val="20"/>
          <w:szCs w:val="20"/>
          <w:color w:val="auto"/>
        </w:rPr>
      </w:pPr>
      <w:r>
        <w:rPr>
          <w:rFonts w:ascii="Courier New" w:cs="Courier New" w:eastAsia="Courier New" w:hAnsi="Courier New"/>
          <w:sz w:val="15"/>
          <w:szCs w:val="15"/>
          <w:color w:val="auto"/>
        </w:rPr>
        <w:t>Net repayments of borrowings were $19.7 million for the first nine months of 2002 compared to net proceeds from borrowings of $356.4 million in the first nine months of 2001. The net repayments in 2002 were a result of the lower level of capital expenditures and acquisitions. The proceeds in 2001 mainly relate to the issuance of our convertible debentures. The 2002 amounts shown as Proceeds from long-term debt and Repayment of long-term debt relate primarily to commercial paper borrowings.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As of September 30, 2002, we had aggregate commitments related to debt and operating leases that totaled approximately $1,140.0 million. We had $1,130.2 million in aggregate commitments related to debt, operating leases and the forward repurchase agreement as of December 31, 2001. This increase was due primarily to an increase in foreign currency exchange rates over the respective period offset by debt repayments made during the third quarter of 2002 and our settlement of the forward repurchase agreement. During March 2002, we repurchased the remaining 900,000 shares of common stock under the forward repurchase agreement at a cost of $30.7 million. No further obligations exist under this agreement.</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Accounts receivable increased to $2,249.0 million at September 30, 2002 from $1,917.8 million at December 31, 2001. Changes in foreign currency exchange rates during the first nine months of 2002 increased the receivable balance by approximately $165 million. The remaining increase is a result of higher business volume during the third quarter of 2002 compared to 2001. There were no amounts advanced under the Receivables Facility as of September 30, 2002, or December 31, 2001. As of September 30, 2001, there was $43.0 million advanced under this facility.</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During July 2002, we extended the Receivables Facility to expire in July 2003 and this agreement may be extended further with the financial institution's consent. There were no other significant changes made to the terms of this agreement.</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As of September 30, 2002, we had borrowings of $199.1 million and letters of credit of $71.7 million outstanding under our $450.0 million five-year credit facility, and borrowings of $37.5 million outstanding under our U.S. commercial paper program. Commercial paper borrowings, which are backed by the five-year credit facility, have been classified as long-term debt due to the availability and intent to refinance them on a long-term basis under this facility.</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During October 2002, we renewed our 364-day revolving credit facility with a syndicate of commercial banks. The availability under this facility was reduced from $300.0 million to $285.0 million and it now matures in October 2003. All other terms and conditions remain unchanged.</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Our $450.0 million five-year credit facility and $285.0 million 364-day revolving credit facility require, among other things, that we comply with a Debt-to-EBITDA ratio of less than 3.75 to 1 throughout 2002 (less than 3.25 to 1 beginning in March 2003) and a fixed charge ratio of greater than 2.00 to 1. As defined in the agreement, we had a Debt-to-EBITDA ratio of 3.33 to 1 and a fixed charge ratio of 2.22 to 1 as of September 30, 2002. Based upon current forecasts, we do not expect to violate these covenants in the coming year.</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and some of our foreign subsidiaries maintain separate lines of credit with foreign financial institutions to meet short-term working capital needs. As of September 30, 2002, such available lines totaled $184.6 million, of which $173.1 million was unused.</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Our unsecured zero-coupon convertible debentures, due August 17, 2021 ("Debentures"), allow holders of the Debentures to require us to repurchase these Debentures at the issue price, plus accreted original issue discount, on the first, third, fifth, tenth and fifteenth anniversary dates. We have the option to settle this obligation in cash, common stock, or a combination thereof. There were no debentures "put" to us on the first anniversary date and the next "put" date is on the third anniversary date in 2004, which is also the first date we may "call" the debentures. Our intent is to settle any future "put" in cash. In the event of a significant change in the economic environment, we may choose to settle a future "put" with common stock, which would have a dilutive effect on existing shareholders.</w:t>
      </w:r>
    </w:p>
    <w:p>
      <w:pPr>
        <w:spacing w:after="0" w:line="3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65" w:right="1440" w:bottom="1440" w:gutter="0" w:footer="0" w:header="0"/>
        </w:sectPr>
      </w:pPr>
    </w:p>
    <w:bookmarkStart w:id="16" w:name="page17"/>
    <w:bookmarkEnd w:id="16"/>
    <w:p>
      <w:pPr>
        <w:ind w:right="3019"/>
        <w:spacing w:after="0" w:line="244" w:lineRule="auto"/>
        <w:rPr>
          <w:sz w:val="20"/>
          <w:szCs w:val="20"/>
          <w:color w:val="auto"/>
        </w:rPr>
      </w:pPr>
      <w:r>
        <w:rPr>
          <w:rFonts w:ascii="Courier New" w:cs="Courier New" w:eastAsia="Courier New" w:hAnsi="Courier New"/>
          <w:sz w:val="15"/>
          <w:szCs w:val="15"/>
          <w:color w:val="auto"/>
        </w:rPr>
        <w:t>During June 2002, Moody's Corporation downgraded our credit rating one notch from Baa2 to Baa3, and during October 2002, Standard &amp; Poor's downgraded our credit rating from BBB to BBB- while maintaining a negative outlook. As a result of these actions, the facility fee and interest rate charged on our revolving credit agreements increased by .05% and .175%, respectively. Given our current debt levels, we estimate these increases will result in approximately $.2 million of additional total facility fees and interest expense in the fourth quarter of 2002. These downgrades do not impact our ability to borrow under our existing credit facilities.</w:t>
      </w:r>
    </w:p>
    <w:p>
      <w:pPr>
        <w:spacing w:after="0" w:line="179" w:lineRule="exact"/>
        <w:rPr>
          <w:sz w:val="20"/>
          <w:szCs w:val="20"/>
          <w:color w:val="auto"/>
        </w:rPr>
      </w:pPr>
    </w:p>
    <w:p>
      <w:pPr>
        <w:ind w:right="3019"/>
        <w:spacing w:after="0" w:line="278" w:lineRule="auto"/>
        <w:rPr>
          <w:sz w:val="20"/>
          <w:szCs w:val="20"/>
          <w:color w:val="auto"/>
        </w:rPr>
      </w:pPr>
      <w:r>
        <w:rPr>
          <w:rFonts w:ascii="Courier New" w:cs="Courier New" w:eastAsia="Courier New" w:hAnsi="Courier New"/>
          <w:sz w:val="14"/>
          <w:szCs w:val="14"/>
          <w:color w:val="auto"/>
        </w:rPr>
        <w:t>On April 30, 2002, the Board of Directors declared a cash dividend of $.10 per share which was paid on June 14, 2002 to shareholders of record on June 3, 2002.</w:t>
      </w:r>
    </w:p>
    <w:p>
      <w:pPr>
        <w:spacing w:after="0" w:line="15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On October 29, 2002, the Board of Directors declared a cash dividend of $.10 per share which is payable on December 16, 2002 to shareholders of record on December 3, 2002.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French government is currently reviewing certain of their social programs, including the 35-hour workweek, minimum working wage and social contribution subsidies. As no specific changes to these regulations have been finalized, we cannot currently estimate the impact, if any, on the future results of our French operations or our consolidated financial statements.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March 2002, the European Commission released proposed legislation, the Agency Workers Directive ("AWD"), aimed at improving the quality of temporary staffing work through a principle of non-discrimination between temporary staff and permanent employees. AWD is currently being discussed by the European Parliament, and once it is passed, the EU countries will have two years to implement it. Given the uncertainty surrounding the final form of AWD and the actual implementation timeframe, we cannot currently estimate the impact, if any, on the future results of our EU operations or our consolidated financial statements.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Statements made in this quarterly report that are not statements of historical fact are forward-looking statements. All forward-looking statements involve risks and uncertainties. The information under the heading "Forward-Looking Statements" in our Annual Report on Form 10-K for the year ended December 31, 2001,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Some or all of the factors identified in our Report on Form 10-K may be beyond our control. Forward-looking statements can be identified by words such as "expect", "anticipate", "intend", "plan", "may", "will", "believe", "seek", "estimate", and similar expressions. We caution that any forward-looking statement reflects only our belief at the time the statement is made. We undertake no obligation to update any forward-looking statements to reflect subsequent events or circumstances.</w:t>
      </w:r>
    </w:p>
    <w:p>
      <w:pPr>
        <w:spacing w:after="0" w:line="200" w:lineRule="exact"/>
        <w:rPr>
          <w:sz w:val="20"/>
          <w:szCs w:val="20"/>
          <w:color w:val="auto"/>
        </w:rPr>
      </w:pPr>
    </w:p>
    <w:p>
      <w:pPr>
        <w:spacing w:after="0" w:line="32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8"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Item 3 - Quantitative and Qualitative Disclosures about Market Risk</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Our exposure to market risk for changes in interest rates relates primarily to our long-term debt obligations. We have historically managed interest rates through the use of a combination of fixed and variable rate borrowings and interest rate swap agreements.</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During September 2002, we entered into derivative financial instruments to swap our EURO 150.0 million unsecured notes, at 6.25%, due March 2005 to floating U.S. LIBOR, yielding an initial effective interest rate of 4.39%. These instruments expire in March 2005.</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designate these interest rate swaps as a fair value hedge, offsetting changes in the fair value of the notes due to fluctuations in interest rates. Changes in the fair value hedge and the fair value of the notes throughout the contract term will be reflected in the income statement. In addition, gains and losses arising from foreign exchange fluctuations throughout the contract term on the related derivative instruments will be recorded in the income statement, offsetting the foreign exchange gain or loss recorded on the notes. As of September 30, 2002, these instruments reduced interest expense by $.1 million.</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Our 2001 Annual Report on Form 10-K contains certain other disclosures about market risks affecting us. There have been no other material changes to the information provided which would require additional disclosures as of the date of this filing.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 Controls and Procedures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maintain a set of disclosure controls and procedures that are designed to ensure that information required to be disclosed by us in the reports filed by us under the Securities Exchange Act of 1934, as amended ("Exchange Act") is recorded, processed, summarized and reported within the time periods specified in the SEC's rules and forms. Within the 90 days prior to the date of this report,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13a-14 of the Exchange Act. Based on that evaluation, our Chairman and Chief Executive Officer and our Executive Vice President and Chief Financial Officer concluded that our disclosure controls and procedures are effective.</w:t>
      </w:r>
    </w:p>
    <w:p>
      <w:pPr>
        <w:spacing w:after="0" w:line="18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There have been no significant changes in our internal controls or other factors that could significantly affect those controls subsequent to the conclusion of their evaluation, including any corrective actions with regard to significant deficiencies and material weaknesses.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64" w:right="1440" w:bottom="1440" w:gutter="0" w:footer="0" w:header="0"/>
        </w:sectPr>
      </w:pPr>
    </w:p>
    <w:bookmarkStart w:id="18" w:name="page19"/>
    <w:bookmarkEnd w:id="18"/>
    <w:p>
      <w:pPr>
        <w:ind w:left="2420"/>
        <w:spacing w:after="0"/>
        <w:rPr>
          <w:sz w:val="20"/>
          <w:szCs w:val="20"/>
          <w:color w:val="auto"/>
        </w:rPr>
      </w:pPr>
      <w:r>
        <w:rPr>
          <w:rFonts w:ascii="Courier New" w:cs="Courier New" w:eastAsia="Courier New" w:hAnsi="Courier New"/>
          <w:sz w:val="15"/>
          <w:szCs w:val="15"/>
          <w:color w:val="auto"/>
        </w:rPr>
        <w:t>PART II - OTHER INFORMATION</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 Other Information</w:t>
      </w:r>
    </w:p>
    <w:p>
      <w:pPr>
        <w:spacing w:after="0" w:line="178" w:lineRule="exact"/>
        <w:rPr>
          <w:sz w:val="20"/>
          <w:szCs w:val="20"/>
          <w:color w:val="auto"/>
        </w:rPr>
      </w:pPr>
    </w:p>
    <w:p>
      <w:pPr>
        <w:ind w:right="3639"/>
        <w:spacing w:after="0" w:line="244" w:lineRule="auto"/>
        <w:rPr>
          <w:sz w:val="20"/>
          <w:szCs w:val="20"/>
          <w:color w:val="auto"/>
        </w:rPr>
      </w:pPr>
      <w:r>
        <w:rPr>
          <w:rFonts w:ascii="Courier New" w:cs="Courier New" w:eastAsia="Courier New" w:hAnsi="Courier New"/>
          <w:sz w:val="15"/>
          <w:szCs w:val="15"/>
          <w:color w:val="auto"/>
        </w:rPr>
        <w:t>The Audit Committee of our Board of Directors has approved the following non-audit services performed or to be performed for us by our independent accountants, PricewaterhouseCoopers, LLP:</w:t>
      </w:r>
    </w:p>
    <w:p>
      <w:pPr>
        <w:spacing w:after="0" w:line="175" w:lineRule="exact"/>
        <w:rPr>
          <w:sz w:val="20"/>
          <w:szCs w:val="20"/>
          <w:color w:val="auto"/>
        </w:rPr>
      </w:pPr>
    </w:p>
    <w:p>
      <w:pPr>
        <w:ind w:left="900" w:right="3459" w:hanging="457"/>
        <w:spacing w:after="0" w:line="243"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assistance in the preparation and filing of our international tax returns;</w:t>
      </w:r>
    </w:p>
    <w:p>
      <w:pPr>
        <w:spacing w:after="0" w:line="175"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state and international tax planning strategies;</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audits of our employee benefit plans;</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assistance with filing a claim for an excise tax refund;</w:t>
      </w:r>
    </w:p>
    <w:p>
      <w:pPr>
        <w:spacing w:after="0" w:line="177" w:lineRule="exact"/>
        <w:rPr>
          <w:rFonts w:ascii="Courier New" w:cs="Courier New" w:eastAsia="Courier New" w:hAnsi="Courier New"/>
          <w:sz w:val="15"/>
          <w:szCs w:val="15"/>
          <w:color w:val="auto"/>
        </w:rPr>
      </w:pPr>
    </w:p>
    <w:p>
      <w:pPr>
        <w:ind w:left="900" w:right="3199" w:hanging="457"/>
        <w:spacing w:after="0" w:line="243"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quality assurance services related to our generation of remuneration survey data; and</w:t>
      </w:r>
    </w:p>
    <w:p>
      <w:pPr>
        <w:spacing w:after="0" w:line="176" w:lineRule="exact"/>
        <w:rPr>
          <w:rFonts w:ascii="Courier New" w:cs="Courier New" w:eastAsia="Courier New" w:hAnsi="Courier New"/>
          <w:sz w:val="15"/>
          <w:szCs w:val="15"/>
          <w:color w:val="auto"/>
        </w:rPr>
      </w:pPr>
    </w:p>
    <w:p>
      <w:pPr>
        <w:ind w:left="900" w:right="3459" w:hanging="457"/>
        <w:spacing w:after="0" w:line="244"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non-audit services that are permitted under our policy regarding non-audit services and that do not involve payments in excess of $50,000 in the aggregate.</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 Exhibits and Reports on Form 8-K</w:t>
      </w:r>
    </w:p>
    <w:p>
      <w:pPr>
        <w:spacing w:after="0" w:line="177" w:lineRule="exact"/>
        <w:rPr>
          <w:sz w:val="20"/>
          <w:szCs w:val="20"/>
          <w:color w:val="auto"/>
        </w:rPr>
      </w:pPr>
    </w:p>
    <w:p>
      <w:pPr>
        <w:ind w:left="900" w:hanging="457"/>
        <w:spacing w:after="0"/>
        <w:tabs>
          <w:tab w:leader="none" w:pos="9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7" w:lineRule="exact"/>
        <w:rPr>
          <w:rFonts w:ascii="Courier New" w:cs="Courier New" w:eastAsia="Courier New" w:hAnsi="Courier New"/>
          <w:sz w:val="15"/>
          <w:szCs w:val="15"/>
          <w:color w:val="auto"/>
        </w:rPr>
      </w:pPr>
    </w:p>
    <w:p>
      <w:pPr>
        <w:ind w:left="1340" w:right="3199" w:hanging="451"/>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10.1 Amended and Restated 364-Day Credit Agreement, dated as of October 7, 2002, among Manpower Inc., the initial lenders named therein, Citibank, N.A. and Salomon Smith Barney Inc.</w:t>
      </w:r>
    </w:p>
    <w:p>
      <w:pPr>
        <w:spacing w:after="0" w:line="175" w:lineRule="exact"/>
        <w:rPr>
          <w:rFonts w:ascii="Courier New" w:cs="Courier New" w:eastAsia="Courier New" w:hAnsi="Courier New"/>
          <w:sz w:val="15"/>
          <w:szCs w:val="15"/>
          <w:color w:val="auto"/>
        </w:rPr>
      </w:pPr>
    </w:p>
    <w:p>
      <w:pPr>
        <w:ind w:left="1340" w:right="3379" w:hanging="451"/>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12.1 Statement Regarding Computation of Ratio of Earnings to Fixed Charges.</w:t>
      </w:r>
    </w:p>
    <w:p>
      <w:pPr>
        <w:spacing w:after="0" w:line="176" w:lineRule="exact"/>
        <w:rPr>
          <w:rFonts w:ascii="Courier New" w:cs="Courier New" w:eastAsia="Courier New" w:hAnsi="Courier New"/>
          <w:sz w:val="15"/>
          <w:szCs w:val="15"/>
          <w:color w:val="auto"/>
        </w:rPr>
      </w:pPr>
    </w:p>
    <w:p>
      <w:pPr>
        <w:ind w:left="1340" w:right="3379" w:hanging="451"/>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99.1 Statement of Jeffrey A. Joerres, Chairman and Chief Executive Officer, pursuant to 18 U.S.C. ss. 1350.</w:t>
      </w:r>
    </w:p>
    <w:p>
      <w:pPr>
        <w:spacing w:after="0" w:line="176" w:lineRule="exact"/>
        <w:rPr>
          <w:rFonts w:ascii="Courier New" w:cs="Courier New" w:eastAsia="Courier New" w:hAnsi="Courier New"/>
          <w:sz w:val="15"/>
          <w:szCs w:val="15"/>
          <w:color w:val="auto"/>
        </w:rPr>
      </w:pPr>
    </w:p>
    <w:p>
      <w:pPr>
        <w:ind w:left="1340" w:right="3099" w:hanging="451"/>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99.2 Statement of Michael J. Van Handel, Executive Vice President and Chief Financial Officer, pursuant to 18 U.S.C. ss. 1350.</w:t>
      </w:r>
    </w:p>
    <w:p>
      <w:pPr>
        <w:spacing w:after="0" w:line="176" w:lineRule="exact"/>
        <w:rPr>
          <w:rFonts w:ascii="Courier New" w:cs="Courier New" w:eastAsia="Courier New" w:hAnsi="Courier New"/>
          <w:sz w:val="15"/>
          <w:szCs w:val="15"/>
          <w:color w:val="auto"/>
        </w:rPr>
      </w:pPr>
    </w:p>
    <w:p>
      <w:pPr>
        <w:ind w:left="900" w:right="3279" w:hanging="457"/>
        <w:spacing w:after="0" w:line="243" w:lineRule="auto"/>
        <w:tabs>
          <w:tab w:leader="none" w:pos="9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one report on Form 8-K dated August 13, 2002 with respect to Item 5 - Other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64" w:right="1440" w:bottom="1440" w:gutter="0" w:footer="0" w:header="0"/>
        </w:sectPr>
      </w:pPr>
    </w:p>
    <w:bookmarkStart w:id="19" w:name="page20"/>
    <w:bookmarkEnd w:id="19"/>
    <w:p>
      <w:pPr>
        <w:ind w:left="3140"/>
        <w:spacing w:after="0"/>
        <w:rPr>
          <w:sz w:val="20"/>
          <w:szCs w:val="20"/>
          <w:color w:val="auto"/>
        </w:rPr>
      </w:pPr>
      <w:r>
        <w:rPr>
          <w:rFonts w:ascii="Courier New" w:cs="Courier New" w:eastAsia="Courier New" w:hAnsi="Courier New"/>
          <w:sz w:val="15"/>
          <w:szCs w:val="15"/>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3739"/>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MANPOWER INC.</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Date:  November 4, 2002</w:t>
            </w:r>
          </w:p>
        </w:tc>
        <w:tc>
          <w:tcPr>
            <w:tcW w:w="26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 Michael J. Van Handel</w:t>
            </w:r>
          </w:p>
        </w:tc>
        <w:tc>
          <w:tcPr>
            <w:tcW w:w="2120" w:type="dxa"/>
            <w:vAlign w:val="bottom"/>
          </w:tcPr>
          <w:p>
            <w:pPr>
              <w:spacing w:after="0"/>
              <w:rPr>
                <w:sz w:val="14"/>
                <w:szCs w:val="14"/>
                <w:color w:val="auto"/>
              </w:rPr>
            </w:pPr>
          </w:p>
        </w:tc>
      </w:tr>
      <w:tr>
        <w:trPr>
          <w:trHeight w:val="173"/>
        </w:trPr>
        <w:tc>
          <w:tcPr>
            <w:tcW w:w="2420" w:type="dxa"/>
            <w:vAlign w:val="bottom"/>
          </w:tcPr>
          <w:p>
            <w:pPr>
              <w:spacing w:after="0"/>
              <w:rPr>
                <w:sz w:val="15"/>
                <w:szCs w:val="15"/>
                <w:color w:val="auto"/>
              </w:rPr>
            </w:pPr>
          </w:p>
        </w:tc>
        <w:tc>
          <w:tcPr>
            <w:tcW w:w="478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w:t>
            </w:r>
          </w:p>
        </w:tc>
      </w:tr>
      <w:tr>
        <w:trPr>
          <w:trHeight w:val="173"/>
        </w:trPr>
        <w:tc>
          <w:tcPr>
            <w:tcW w:w="2420" w:type="dxa"/>
            <w:vAlign w:val="bottom"/>
          </w:tcPr>
          <w:p>
            <w:pPr>
              <w:spacing w:after="0"/>
              <w:rPr>
                <w:sz w:val="15"/>
                <w:szCs w:val="15"/>
                <w:color w:val="auto"/>
              </w:rPr>
            </w:pP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Michael J. Van</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Handel</w:t>
            </w:r>
          </w:p>
        </w:tc>
        <w:tc>
          <w:tcPr>
            <w:tcW w:w="36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173"/>
        </w:trPr>
        <w:tc>
          <w:tcPr>
            <w:tcW w:w="2420" w:type="dxa"/>
            <w:vAlign w:val="bottom"/>
          </w:tcPr>
          <w:p>
            <w:pPr>
              <w:spacing w:after="0"/>
              <w:rPr>
                <w:sz w:val="15"/>
                <w:szCs w:val="15"/>
                <w:color w:val="auto"/>
              </w:rPr>
            </w:pP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Executive Vice</w:t>
            </w: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President,</w:t>
            </w:r>
          </w:p>
        </w:tc>
        <w:tc>
          <w:tcPr>
            <w:tcW w:w="2120" w:type="dxa"/>
            <w:vAlign w:val="bottom"/>
          </w:tcPr>
          <w:p>
            <w:pPr>
              <w:ind w:left="60"/>
              <w:spacing w:after="0"/>
              <w:rPr>
                <w:sz w:val="20"/>
                <w:szCs w:val="20"/>
                <w:color w:val="auto"/>
              </w:rPr>
            </w:pPr>
            <w:r>
              <w:rPr>
                <w:rFonts w:ascii="Courier New" w:cs="Courier New" w:eastAsia="Courier New" w:hAnsi="Courier New"/>
                <w:sz w:val="15"/>
                <w:szCs w:val="15"/>
                <w:color w:val="auto"/>
                <w:w w:val="98"/>
              </w:rPr>
              <w:t>Chief Financial Officer</w:t>
            </w:r>
          </w:p>
        </w:tc>
      </w:tr>
      <w:tr>
        <w:trPr>
          <w:trHeight w:val="173"/>
        </w:trPr>
        <w:tc>
          <w:tcPr>
            <w:tcW w:w="2420" w:type="dxa"/>
            <w:vAlign w:val="bottom"/>
          </w:tcPr>
          <w:p>
            <w:pPr>
              <w:spacing w:after="0"/>
              <w:rPr>
                <w:sz w:val="15"/>
                <w:szCs w:val="15"/>
                <w:color w:val="auto"/>
              </w:rPr>
            </w:pPr>
          </w:p>
        </w:tc>
        <w:tc>
          <w:tcPr>
            <w:tcW w:w="26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and Secretary (Signing on</w:t>
            </w:r>
          </w:p>
        </w:tc>
        <w:tc>
          <w:tcPr>
            <w:tcW w:w="2120" w:type="dxa"/>
            <w:vAlign w:val="bottom"/>
          </w:tcPr>
          <w:p>
            <w:pPr>
              <w:ind w:left="60"/>
              <w:spacing w:after="0"/>
              <w:rPr>
                <w:sz w:val="20"/>
                <w:szCs w:val="20"/>
                <w:color w:val="auto"/>
              </w:rPr>
            </w:pPr>
            <w:r>
              <w:rPr>
                <w:rFonts w:ascii="Courier New" w:cs="Courier New" w:eastAsia="Courier New" w:hAnsi="Courier New"/>
                <w:sz w:val="15"/>
                <w:szCs w:val="15"/>
                <w:color w:val="auto"/>
              </w:rPr>
              <w:t>behalf of the</w:t>
            </w:r>
          </w:p>
        </w:tc>
      </w:tr>
      <w:tr>
        <w:trPr>
          <w:trHeight w:val="173"/>
        </w:trPr>
        <w:tc>
          <w:tcPr>
            <w:tcW w:w="2420" w:type="dxa"/>
            <w:vAlign w:val="bottom"/>
          </w:tcPr>
          <w:p>
            <w:pPr>
              <w:spacing w:after="0"/>
              <w:rPr>
                <w:sz w:val="15"/>
                <w:szCs w:val="15"/>
                <w:color w:val="auto"/>
              </w:rPr>
            </w:pP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Registrant and</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as the</w:t>
            </w:r>
          </w:p>
        </w:tc>
        <w:tc>
          <w:tcPr>
            <w:tcW w:w="24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Principal Financial</w:t>
            </w:r>
          </w:p>
        </w:tc>
      </w:tr>
      <w:tr>
        <w:trPr>
          <w:trHeight w:val="173"/>
        </w:trPr>
        <w:tc>
          <w:tcPr>
            <w:tcW w:w="2420" w:type="dxa"/>
            <w:vAlign w:val="bottom"/>
          </w:tcPr>
          <w:p>
            <w:pPr>
              <w:spacing w:after="0"/>
              <w:rPr>
                <w:sz w:val="15"/>
                <w:szCs w:val="15"/>
                <w:color w:val="auto"/>
              </w:rPr>
            </w:pPr>
          </w:p>
        </w:tc>
        <w:tc>
          <w:tcPr>
            <w:tcW w:w="23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Officer and Principal</w:t>
            </w:r>
          </w:p>
        </w:tc>
        <w:tc>
          <w:tcPr>
            <w:tcW w:w="24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64" w:right="1440" w:bottom="1440" w:gutter="0" w:footer="0" w:header="0"/>
        </w:sectPr>
      </w:pPr>
    </w:p>
    <w:bookmarkStart w:id="20" w:name="page21"/>
    <w:bookmarkEnd w:id="20"/>
    <w:p>
      <w:pPr>
        <w:ind w:left="3068"/>
        <w:spacing w:after="0"/>
        <w:rPr>
          <w:sz w:val="20"/>
          <w:szCs w:val="20"/>
          <w:color w:val="auto"/>
        </w:rPr>
      </w:pPr>
      <w:r>
        <w:rPr>
          <w:rFonts w:ascii="Courier New" w:cs="Courier New" w:eastAsia="Courier New" w:hAnsi="Courier New"/>
          <w:sz w:val="15"/>
          <w:szCs w:val="15"/>
          <w:color w:val="auto"/>
        </w:rPr>
        <w:t>CERTIFICATION</w:t>
      </w:r>
    </w:p>
    <w:p>
      <w:pPr>
        <w:spacing w:after="0" w:line="178" w:lineRule="exact"/>
        <w:rPr>
          <w:sz w:val="20"/>
          <w:szCs w:val="20"/>
          <w:color w:val="auto"/>
        </w:rPr>
      </w:pPr>
    </w:p>
    <w:p>
      <w:pPr>
        <w:ind w:left="8" w:right="3279"/>
        <w:spacing w:after="0" w:line="243" w:lineRule="auto"/>
        <w:rPr>
          <w:sz w:val="20"/>
          <w:szCs w:val="20"/>
          <w:color w:val="auto"/>
        </w:rPr>
      </w:pPr>
      <w:r>
        <w:rPr>
          <w:rFonts w:ascii="Courier New" w:cs="Courier New" w:eastAsia="Courier New" w:hAnsi="Courier New"/>
          <w:sz w:val="15"/>
          <w:szCs w:val="15"/>
          <w:color w:val="auto"/>
        </w:rPr>
        <w:t>I, Jeffrey A. Joerres, Chairman and Chief Executive Officer of Manpower Inc., certify that:</w:t>
      </w:r>
    </w:p>
    <w:p>
      <w:pPr>
        <w:spacing w:after="0" w:line="175" w:lineRule="exact"/>
        <w:rPr>
          <w:sz w:val="20"/>
          <w:szCs w:val="20"/>
          <w:color w:val="auto"/>
        </w:rPr>
      </w:pPr>
    </w:p>
    <w:p>
      <w:pPr>
        <w:ind w:left="908" w:hanging="457"/>
        <w:spacing w:after="0"/>
        <w:tabs>
          <w:tab w:leader="none" w:pos="908"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Manpower Inc.;</w:t>
      </w:r>
    </w:p>
    <w:p>
      <w:pPr>
        <w:spacing w:after="0" w:line="177" w:lineRule="exact"/>
        <w:rPr>
          <w:rFonts w:ascii="Courier New" w:cs="Courier New" w:eastAsia="Courier New" w:hAnsi="Courier New"/>
          <w:sz w:val="15"/>
          <w:szCs w:val="15"/>
          <w:color w:val="auto"/>
        </w:rPr>
      </w:pPr>
    </w:p>
    <w:p>
      <w:pPr>
        <w:ind w:left="908" w:right="3099" w:hanging="457"/>
        <w:spacing w:after="0" w:line="244" w:lineRule="auto"/>
        <w:tabs>
          <w:tab w:leader="none" w:pos="908"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rFonts w:ascii="Courier New" w:cs="Courier New" w:eastAsia="Courier New" w:hAnsi="Courier New"/>
          <w:sz w:val="15"/>
          <w:szCs w:val="15"/>
          <w:color w:val="auto"/>
        </w:rPr>
      </w:pPr>
    </w:p>
    <w:p>
      <w:pPr>
        <w:ind w:left="908" w:right="3099" w:hanging="457"/>
        <w:spacing w:after="0" w:line="244" w:lineRule="auto"/>
        <w:tabs>
          <w:tab w:leader="none" w:pos="908"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6" w:lineRule="exact"/>
        <w:rPr>
          <w:rFonts w:ascii="Courier New" w:cs="Courier New" w:eastAsia="Courier New" w:hAnsi="Courier New"/>
          <w:sz w:val="15"/>
          <w:szCs w:val="15"/>
          <w:color w:val="auto"/>
        </w:rPr>
      </w:pPr>
    </w:p>
    <w:p>
      <w:pPr>
        <w:ind w:left="908" w:right="3199" w:hanging="457"/>
        <w:spacing w:after="0" w:line="244" w:lineRule="auto"/>
        <w:tabs>
          <w:tab w:leader="none" w:pos="908"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13a-14 and 15d-14) for the registrant and we have:</w:t>
      </w:r>
    </w:p>
    <w:p>
      <w:pPr>
        <w:spacing w:after="0" w:line="175" w:lineRule="exact"/>
        <w:rPr>
          <w:rFonts w:ascii="Courier New" w:cs="Courier New" w:eastAsia="Courier New" w:hAnsi="Courier New"/>
          <w:sz w:val="15"/>
          <w:szCs w:val="15"/>
          <w:color w:val="auto"/>
        </w:rPr>
      </w:pPr>
    </w:p>
    <w:p>
      <w:pPr>
        <w:ind w:left="1348" w:right="3199" w:hanging="446"/>
        <w:spacing w:after="0" w:line="244" w:lineRule="auto"/>
        <w:tabs>
          <w:tab w:leader="none" w:pos="1348" w:val="left"/>
        </w:tabs>
        <w:numPr>
          <w:ilvl w:val="2"/>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76" w:lineRule="exact"/>
        <w:rPr>
          <w:rFonts w:ascii="Courier New" w:cs="Courier New" w:eastAsia="Courier New" w:hAnsi="Courier New"/>
          <w:sz w:val="15"/>
          <w:szCs w:val="15"/>
          <w:color w:val="auto"/>
        </w:rPr>
      </w:pPr>
    </w:p>
    <w:p>
      <w:pPr>
        <w:ind w:left="1348" w:right="3019" w:hanging="446"/>
        <w:spacing w:after="0" w:line="244" w:lineRule="auto"/>
        <w:tabs>
          <w:tab w:leader="none" w:pos="1348" w:val="left"/>
        </w:tabs>
        <w:numPr>
          <w:ilvl w:val="2"/>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quarterly report (the "Evaluation Date"); and</w:t>
      </w:r>
    </w:p>
    <w:p>
      <w:pPr>
        <w:spacing w:after="0" w:line="175" w:lineRule="exact"/>
        <w:rPr>
          <w:rFonts w:ascii="Courier New" w:cs="Courier New" w:eastAsia="Courier New" w:hAnsi="Courier New"/>
          <w:sz w:val="15"/>
          <w:szCs w:val="15"/>
          <w:color w:val="auto"/>
        </w:rPr>
      </w:pPr>
    </w:p>
    <w:p>
      <w:pPr>
        <w:ind w:left="1348" w:right="3099" w:hanging="446"/>
        <w:spacing w:after="0" w:line="244" w:lineRule="auto"/>
        <w:tabs>
          <w:tab w:leader="none" w:pos="1348" w:val="left"/>
        </w:tabs>
        <w:numPr>
          <w:ilvl w:val="2"/>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quarterly report our conclusions about the effectiveness of the disclosure controls and procedures based on our evaluation as of the Evaluation Date;</w:t>
      </w:r>
    </w:p>
    <w:p>
      <w:pPr>
        <w:spacing w:after="0" w:line="175" w:lineRule="exact"/>
        <w:rPr>
          <w:rFonts w:ascii="Courier New" w:cs="Courier New" w:eastAsia="Courier New" w:hAnsi="Courier New"/>
          <w:sz w:val="15"/>
          <w:szCs w:val="15"/>
          <w:color w:val="auto"/>
        </w:rPr>
      </w:pPr>
    </w:p>
    <w:p>
      <w:pPr>
        <w:ind w:left="908" w:right="3019" w:hanging="457"/>
        <w:spacing w:after="0" w:line="244" w:lineRule="auto"/>
        <w:tabs>
          <w:tab w:leader="none" w:pos="908"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the registrant's board of directors (or persons performing the equivalent function):</w:t>
      </w:r>
    </w:p>
    <w:p>
      <w:pPr>
        <w:spacing w:after="0" w:line="175" w:lineRule="exact"/>
        <w:rPr>
          <w:rFonts w:ascii="Courier New" w:cs="Courier New" w:eastAsia="Courier New" w:hAnsi="Courier New"/>
          <w:sz w:val="15"/>
          <w:szCs w:val="15"/>
          <w:color w:val="auto"/>
        </w:rPr>
      </w:pPr>
    </w:p>
    <w:p>
      <w:pPr>
        <w:ind w:left="1348" w:right="3199" w:hanging="446"/>
        <w:spacing w:after="0" w:line="244" w:lineRule="auto"/>
        <w:tabs>
          <w:tab w:leader="none" w:pos="1348" w:val="left"/>
        </w:tabs>
        <w:numPr>
          <w:ilvl w:val="2"/>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6" w:lineRule="exact"/>
        <w:rPr>
          <w:rFonts w:ascii="Courier New" w:cs="Courier New" w:eastAsia="Courier New" w:hAnsi="Courier New"/>
          <w:sz w:val="15"/>
          <w:szCs w:val="15"/>
          <w:color w:val="auto"/>
        </w:rPr>
      </w:pPr>
    </w:p>
    <w:p>
      <w:pPr>
        <w:jc w:val="both"/>
        <w:ind w:left="1348" w:right="3199" w:hanging="446"/>
        <w:spacing w:after="0" w:line="244" w:lineRule="auto"/>
        <w:tabs>
          <w:tab w:leader="none" w:pos="1348" w:val="left"/>
        </w:tabs>
        <w:numPr>
          <w:ilvl w:val="2"/>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5" w:lineRule="exact"/>
        <w:rPr>
          <w:rFonts w:ascii="Courier New" w:cs="Courier New" w:eastAsia="Courier New" w:hAnsi="Courier New"/>
          <w:sz w:val="15"/>
          <w:szCs w:val="15"/>
          <w:color w:val="auto"/>
        </w:rPr>
      </w:pPr>
    </w:p>
    <w:p>
      <w:pPr>
        <w:ind w:left="728" w:right="3019" w:hanging="457"/>
        <w:spacing w:after="0" w:line="244" w:lineRule="auto"/>
        <w:tabs>
          <w:tab w:leader="none" w:pos="72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50"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Dated:</w:t>
        <w:tab/>
        <w:t>November 4, 2002</w:t>
      </w:r>
    </w:p>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Jeffrey A. Joerres</w:t>
      </w:r>
    </w:p>
    <w:p>
      <w:pPr>
        <w:spacing w:after="0" w:line="3" w:lineRule="exact"/>
        <w:rPr>
          <w:sz w:val="20"/>
          <w:szCs w:val="20"/>
          <w:color w:val="auto"/>
        </w:rPr>
      </w:pPr>
    </w:p>
    <w:p>
      <w:pPr>
        <w:ind w:left="188" w:hanging="188"/>
        <w:spacing w:after="0"/>
        <w:tabs>
          <w:tab w:leader="none" w:pos="18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Jeffrey A. Joerres</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Chairman, Chief Executive Officer</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7"/>
          </w:cols>
          <w:pgMar w:left="232" w:top="464" w:right="1440" w:bottom="1440" w:gutter="0" w:footer="0" w:header="0"/>
        </w:sectPr>
      </w:pPr>
    </w:p>
    <w:bookmarkStart w:id="21" w:name="page22"/>
    <w:bookmarkEnd w:id="21"/>
    <w:p>
      <w:pPr>
        <w:jc w:val="center"/>
        <w:ind w:right="2932"/>
        <w:spacing w:after="0"/>
        <w:rPr>
          <w:sz w:val="20"/>
          <w:szCs w:val="20"/>
          <w:color w:val="auto"/>
        </w:rPr>
      </w:pPr>
      <w:r>
        <w:rPr>
          <w:rFonts w:ascii="Courier New" w:cs="Courier New" w:eastAsia="Courier New" w:hAnsi="Courier New"/>
          <w:sz w:val="15"/>
          <w:szCs w:val="15"/>
          <w:color w:val="auto"/>
        </w:rPr>
        <w:t>CERTIFICATION</w:t>
      </w:r>
    </w:p>
    <w:p>
      <w:pPr>
        <w:spacing w:after="0" w:line="178" w:lineRule="exact"/>
        <w:rPr>
          <w:sz w:val="20"/>
          <w:szCs w:val="20"/>
          <w:color w:val="auto"/>
        </w:rPr>
      </w:pPr>
    </w:p>
    <w:p>
      <w:pPr>
        <w:ind w:left="8" w:right="3199"/>
        <w:spacing w:after="0" w:line="243" w:lineRule="auto"/>
        <w:rPr>
          <w:sz w:val="20"/>
          <w:szCs w:val="20"/>
          <w:color w:val="auto"/>
        </w:rPr>
      </w:pPr>
      <w:r>
        <w:rPr>
          <w:rFonts w:ascii="Courier New" w:cs="Courier New" w:eastAsia="Courier New" w:hAnsi="Courier New"/>
          <w:sz w:val="15"/>
          <w:szCs w:val="15"/>
          <w:color w:val="auto"/>
        </w:rPr>
        <w:t>I, Michael J. Van Handel, Executive Vice President and Chief Financial Officer of Manpower Inc., certify that:</w:t>
      </w:r>
    </w:p>
    <w:p>
      <w:pPr>
        <w:spacing w:after="0" w:line="175" w:lineRule="exact"/>
        <w:rPr>
          <w:sz w:val="20"/>
          <w:szCs w:val="20"/>
          <w:color w:val="auto"/>
        </w:rPr>
      </w:pPr>
    </w:p>
    <w:p>
      <w:pPr>
        <w:ind w:left="908" w:hanging="457"/>
        <w:spacing w:after="0"/>
        <w:tabs>
          <w:tab w:leader="none" w:pos="90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Manpower Inc.;</w:t>
      </w:r>
    </w:p>
    <w:p>
      <w:pPr>
        <w:spacing w:after="0" w:line="177" w:lineRule="exact"/>
        <w:rPr>
          <w:rFonts w:ascii="Courier New" w:cs="Courier New" w:eastAsia="Courier New" w:hAnsi="Courier New"/>
          <w:sz w:val="15"/>
          <w:szCs w:val="15"/>
          <w:color w:val="auto"/>
        </w:rPr>
      </w:pPr>
    </w:p>
    <w:p>
      <w:pPr>
        <w:ind w:left="908" w:right="3099" w:hanging="457"/>
        <w:spacing w:after="0" w:line="244" w:lineRule="auto"/>
        <w:tabs>
          <w:tab w:leader="none" w:pos="90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rFonts w:ascii="Courier New" w:cs="Courier New" w:eastAsia="Courier New" w:hAnsi="Courier New"/>
          <w:sz w:val="15"/>
          <w:szCs w:val="15"/>
          <w:color w:val="auto"/>
        </w:rPr>
      </w:pPr>
    </w:p>
    <w:p>
      <w:pPr>
        <w:ind w:left="908" w:right="3099" w:hanging="457"/>
        <w:spacing w:after="0" w:line="244" w:lineRule="auto"/>
        <w:tabs>
          <w:tab w:leader="none" w:pos="90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6" w:lineRule="exact"/>
        <w:rPr>
          <w:rFonts w:ascii="Courier New" w:cs="Courier New" w:eastAsia="Courier New" w:hAnsi="Courier New"/>
          <w:sz w:val="15"/>
          <w:szCs w:val="15"/>
          <w:color w:val="auto"/>
        </w:rPr>
      </w:pPr>
    </w:p>
    <w:p>
      <w:pPr>
        <w:ind w:left="908" w:right="3199" w:hanging="457"/>
        <w:spacing w:after="0" w:line="244" w:lineRule="auto"/>
        <w:tabs>
          <w:tab w:leader="none" w:pos="90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13a-14 and 15d-14) for the registrant and we have:</w:t>
      </w:r>
    </w:p>
    <w:p>
      <w:pPr>
        <w:spacing w:after="0" w:line="175" w:lineRule="exact"/>
        <w:rPr>
          <w:rFonts w:ascii="Courier New" w:cs="Courier New" w:eastAsia="Courier New" w:hAnsi="Courier New"/>
          <w:sz w:val="15"/>
          <w:szCs w:val="15"/>
          <w:color w:val="auto"/>
        </w:rPr>
      </w:pPr>
    </w:p>
    <w:p>
      <w:pPr>
        <w:ind w:left="1348" w:right="3199" w:hanging="446"/>
        <w:spacing w:after="0" w:line="244" w:lineRule="auto"/>
        <w:tabs>
          <w:tab w:leader="none" w:pos="1348"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76" w:lineRule="exact"/>
        <w:rPr>
          <w:rFonts w:ascii="Courier New" w:cs="Courier New" w:eastAsia="Courier New" w:hAnsi="Courier New"/>
          <w:sz w:val="15"/>
          <w:szCs w:val="15"/>
          <w:color w:val="auto"/>
        </w:rPr>
      </w:pPr>
    </w:p>
    <w:p>
      <w:pPr>
        <w:ind w:left="1348" w:right="3019" w:hanging="446"/>
        <w:spacing w:after="0" w:line="244" w:lineRule="auto"/>
        <w:tabs>
          <w:tab w:leader="none" w:pos="1348"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quarterly report (the "Evaluation Date"); and</w:t>
      </w:r>
    </w:p>
    <w:p>
      <w:pPr>
        <w:spacing w:after="0" w:line="175" w:lineRule="exact"/>
        <w:rPr>
          <w:rFonts w:ascii="Courier New" w:cs="Courier New" w:eastAsia="Courier New" w:hAnsi="Courier New"/>
          <w:sz w:val="15"/>
          <w:szCs w:val="15"/>
          <w:color w:val="auto"/>
        </w:rPr>
      </w:pPr>
    </w:p>
    <w:p>
      <w:pPr>
        <w:ind w:left="1348" w:right="3099" w:hanging="446"/>
        <w:spacing w:after="0" w:line="244" w:lineRule="auto"/>
        <w:tabs>
          <w:tab w:leader="none" w:pos="1348"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quarterly report our conclusions about the effectiveness of the disclosure controls and procedures based on our evaluation as of the Evaluation Date;</w:t>
      </w:r>
    </w:p>
    <w:p>
      <w:pPr>
        <w:spacing w:after="0" w:line="175" w:lineRule="exact"/>
        <w:rPr>
          <w:rFonts w:ascii="Courier New" w:cs="Courier New" w:eastAsia="Courier New" w:hAnsi="Courier New"/>
          <w:sz w:val="15"/>
          <w:szCs w:val="15"/>
          <w:color w:val="auto"/>
        </w:rPr>
      </w:pPr>
    </w:p>
    <w:p>
      <w:pPr>
        <w:ind w:left="908" w:right="3019" w:hanging="457"/>
        <w:spacing w:after="0" w:line="244" w:lineRule="auto"/>
        <w:tabs>
          <w:tab w:leader="none" w:pos="90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the registrant's board of directors (or persons performing the equivalent function):</w:t>
      </w:r>
    </w:p>
    <w:p>
      <w:pPr>
        <w:spacing w:after="0" w:line="175" w:lineRule="exact"/>
        <w:rPr>
          <w:rFonts w:ascii="Courier New" w:cs="Courier New" w:eastAsia="Courier New" w:hAnsi="Courier New"/>
          <w:sz w:val="15"/>
          <w:szCs w:val="15"/>
          <w:color w:val="auto"/>
        </w:rPr>
      </w:pPr>
    </w:p>
    <w:p>
      <w:pPr>
        <w:ind w:left="1348" w:right="3199" w:hanging="446"/>
        <w:spacing w:after="0" w:line="244" w:lineRule="auto"/>
        <w:tabs>
          <w:tab w:leader="none" w:pos="1348"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6" w:lineRule="exact"/>
        <w:rPr>
          <w:rFonts w:ascii="Courier New" w:cs="Courier New" w:eastAsia="Courier New" w:hAnsi="Courier New"/>
          <w:sz w:val="15"/>
          <w:szCs w:val="15"/>
          <w:color w:val="auto"/>
        </w:rPr>
      </w:pPr>
    </w:p>
    <w:p>
      <w:pPr>
        <w:jc w:val="both"/>
        <w:ind w:left="1348" w:right="3199" w:hanging="446"/>
        <w:spacing w:after="0" w:line="244" w:lineRule="auto"/>
        <w:tabs>
          <w:tab w:leader="none" w:pos="1348"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5" w:lineRule="exact"/>
        <w:rPr>
          <w:rFonts w:ascii="Courier New" w:cs="Courier New" w:eastAsia="Courier New" w:hAnsi="Courier New"/>
          <w:sz w:val="15"/>
          <w:szCs w:val="15"/>
          <w:color w:val="auto"/>
        </w:rPr>
      </w:pPr>
    </w:p>
    <w:p>
      <w:pPr>
        <w:ind w:left="908" w:right="3019" w:hanging="457"/>
        <w:spacing w:after="0" w:line="244" w:lineRule="auto"/>
        <w:tabs>
          <w:tab w:leader="none" w:pos="90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50"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Dated:</w:t>
        <w:tab/>
        <w:t>November 4, 2002</w:t>
      </w:r>
    </w:p>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Michael J. Van Handel</w:t>
      </w:r>
    </w:p>
    <w:p>
      <w:pPr>
        <w:spacing w:after="0" w:line="3" w:lineRule="exact"/>
        <w:rPr>
          <w:sz w:val="20"/>
          <w:szCs w:val="20"/>
          <w:color w:val="auto"/>
        </w:rPr>
      </w:pPr>
    </w:p>
    <w:p>
      <w:pPr>
        <w:ind w:left="188" w:hanging="188"/>
        <w:spacing w:after="0"/>
        <w:tabs>
          <w:tab w:leader="none" w:pos="18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8" w:right="7979"/>
        <w:spacing w:after="0" w:line="27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Michael J. Van Handel Executive Vice President, Chief Financial Officer</w:t>
      </w:r>
    </w:p>
    <w:p>
      <w:pPr>
        <w:spacing w:after="0" w:line="33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7"/>
          </w:cols>
          <w:pgMar w:left="232" w:top="464" w:right="1440" w:bottom="1440" w:gutter="0" w:footer="0" w:header="0"/>
        </w:sectPr>
      </w:pPr>
    </w:p>
    <w:bookmarkStart w:id="22" w:name="page23"/>
    <w:bookmarkEnd w:id="22"/>
    <w:p>
      <w:pPr>
        <w:jc w:val="right"/>
        <w:ind w:right="3019"/>
        <w:spacing w:after="0"/>
        <w:rPr>
          <w:sz w:val="20"/>
          <w:szCs w:val="20"/>
          <w:color w:val="auto"/>
        </w:rPr>
      </w:pPr>
      <w:r>
        <w:rPr>
          <w:rFonts w:ascii="Courier New" w:cs="Courier New" w:eastAsia="Courier New" w:hAnsi="Courier New"/>
          <w:sz w:val="15"/>
          <w:szCs w:val="15"/>
          <w:color w:val="auto"/>
        </w:rPr>
        <w:t>EXHIBIT 10.1</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EXECUTION COPY</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AMENDED AND RESTATED 364-DAY CREDIT AGREEMENT</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DATED AS OF OCTOBER 7, 2002</w:t>
      </w:r>
    </w:p>
    <w:p>
      <w:pPr>
        <w:spacing w:after="0" w:line="351" w:lineRule="exact"/>
        <w:rPr>
          <w:sz w:val="20"/>
          <w:szCs w:val="20"/>
          <w:color w:val="auto"/>
        </w:rPr>
      </w:pPr>
    </w:p>
    <w:p>
      <w:pPr>
        <w:ind w:right="3019" w:firstLine="1623"/>
        <w:spacing w:after="0" w:line="244" w:lineRule="auto"/>
        <w:rPr>
          <w:sz w:val="20"/>
          <w:szCs w:val="20"/>
          <w:color w:val="auto"/>
        </w:rPr>
      </w:pPr>
      <w:r>
        <w:rPr>
          <w:rFonts w:ascii="Courier New" w:cs="Courier New" w:eastAsia="Courier New" w:hAnsi="Courier New"/>
          <w:sz w:val="15"/>
          <w:szCs w:val="15"/>
          <w:color w:val="auto"/>
        </w:rPr>
        <w:t>MANPOWER INC., a Wisconsin corporation (the "Borrower"), the banks, financial institutions and other institutional lenders (collectively, the "Initial Lenders") party hereto, CITIBANK, N.A., as administrative agent (together with any successor thereto appointed pursuant to Article VII of the Existing Credit Agreement referred to below, the "Agent") for the Lenders (as defined in the Existing Credit Agreement referred to below), hereby agree as follows:</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PRELIMINARY STATEMENTS</w:t>
      </w:r>
    </w:p>
    <w:p>
      <w:pPr>
        <w:spacing w:after="0" w:line="178" w:lineRule="exact"/>
        <w:rPr>
          <w:sz w:val="20"/>
          <w:szCs w:val="20"/>
          <w:color w:val="auto"/>
        </w:rPr>
      </w:pPr>
    </w:p>
    <w:p>
      <w:pPr>
        <w:ind w:right="3099" w:firstLine="1615"/>
        <w:spacing w:after="0" w:line="244" w:lineRule="auto"/>
        <w:tabs>
          <w:tab w:leader="none" w:pos="1984"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is party to a 364-Day Credit Agreement dated as of November 29, 2001 (as amended, supplemented or otherwise modified from time to time to (but not including) the date of this Amendment and Restatement, the "Existing Credit Agreement") with the banks, financial institutions and other institutional lenders party thereto and Citibank, N.A., as Agent for the Lenders and such other lenders. Capitalized terms not otherwise defined in this Amendment and Restatement shall have the same meanings as specified in the Existing Credit Agreement.</w:t>
      </w:r>
    </w:p>
    <w:p>
      <w:pPr>
        <w:spacing w:after="0" w:line="178" w:lineRule="exact"/>
        <w:rPr>
          <w:rFonts w:ascii="Courier New" w:cs="Courier New" w:eastAsia="Courier New" w:hAnsi="Courier New"/>
          <w:sz w:val="15"/>
          <w:szCs w:val="15"/>
          <w:color w:val="auto"/>
        </w:rPr>
      </w:pPr>
    </w:p>
    <w:p>
      <w:pPr>
        <w:ind w:right="3199" w:firstLine="1615"/>
        <w:spacing w:after="0" w:line="244" w:lineRule="auto"/>
        <w:tabs>
          <w:tab w:leader="none" w:pos="1984"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to this Amendment and Restatement desire to amend the Existing Credit Agreement as set forth herein and to restate the Existing Credit Agreement in its entirety to read as set forth in the Existing Credit Agreement with the following amendments.</w:t>
      </w:r>
    </w:p>
    <w:p>
      <w:pPr>
        <w:spacing w:after="0" w:line="175" w:lineRule="exact"/>
        <w:rPr>
          <w:rFonts w:ascii="Courier New" w:cs="Courier New" w:eastAsia="Courier New" w:hAnsi="Courier New"/>
          <w:sz w:val="15"/>
          <w:szCs w:val="15"/>
          <w:color w:val="auto"/>
        </w:rPr>
      </w:pPr>
    </w:p>
    <w:p>
      <w:pPr>
        <w:ind w:right="3019" w:firstLine="1615"/>
        <w:spacing w:after="0" w:line="244" w:lineRule="auto"/>
        <w:tabs>
          <w:tab w:leader="none" w:pos="1984"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has requested that the Lenders agree to extend credit to it from time to time in an aggregate principal amount of up to $285,000,000 for general corporate purposes of the Borrower and its Subsidiaries not otherwise prohibited under the terms of this Agreement. The Lenders have indicated their willingness to agree to extend credit to the Borrower from time to time in such amount on the terms and conditions of this Amendment and Restatement.</w:t>
      </w:r>
    </w:p>
    <w:p>
      <w:pPr>
        <w:spacing w:after="0" w:line="178" w:lineRule="exact"/>
        <w:rPr>
          <w:sz w:val="20"/>
          <w:szCs w:val="20"/>
          <w:color w:val="auto"/>
        </w:rPr>
      </w:pPr>
    </w:p>
    <w:p>
      <w:pPr>
        <w:ind w:right="3279" w:firstLine="1623"/>
        <w:spacing w:after="0" w:line="244" w:lineRule="auto"/>
        <w:rPr>
          <w:sz w:val="20"/>
          <w:szCs w:val="20"/>
          <w:color w:val="auto"/>
        </w:rPr>
      </w:pPr>
      <w:r>
        <w:rPr>
          <w:rFonts w:ascii="Courier New" w:cs="Courier New" w:eastAsia="Courier New" w:hAnsi="Courier New"/>
          <w:sz w:val="15"/>
          <w:szCs w:val="15"/>
          <w:color w:val="auto"/>
        </w:rPr>
        <w:t>SECTION 1. Amendments to the Existing Credit Agreement. The Existing Credit Agreement is, effective as of the date of this Amendment and Restatement and subject to the satisfaction of the conditions precedent set forth in Section 2, hereby amended as follows:</w:t>
      </w:r>
    </w:p>
    <w:p>
      <w:pPr>
        <w:spacing w:after="0" w:line="176" w:lineRule="exact"/>
        <w:rPr>
          <w:sz w:val="20"/>
          <w:szCs w:val="20"/>
          <w:color w:val="auto"/>
        </w:rPr>
      </w:pPr>
    </w:p>
    <w:p>
      <w:pPr>
        <w:ind w:right="3199" w:firstLine="1615"/>
        <w:spacing w:after="0" w:line="244" w:lineRule="auto"/>
        <w:tabs>
          <w:tab w:leader="none" w:pos="1984"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1.01 is amended by deleting the definitions of "Non-Consenting Lender" and "Termination Date" set forth therein and replacing them respectively, with the following new definitions thereof:</w:t>
      </w:r>
    </w:p>
    <w:p>
      <w:pPr>
        <w:spacing w:after="0" w:line="17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"Non-Consenting Lender" has the meaning specified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2.19(b).</w:t>
      </w:r>
    </w:p>
    <w:p>
      <w:pPr>
        <w:spacing w:after="0" w:line="178" w:lineRule="exact"/>
        <w:rPr>
          <w:sz w:val="20"/>
          <w:szCs w:val="20"/>
          <w:color w:val="auto"/>
        </w:rPr>
      </w:pPr>
    </w:p>
    <w:p>
      <w:pPr>
        <w:ind w:left="800" w:right="3099" w:firstLine="812"/>
        <w:spacing w:after="0" w:line="244" w:lineRule="auto"/>
        <w:rPr>
          <w:sz w:val="20"/>
          <w:szCs w:val="20"/>
          <w:color w:val="auto"/>
        </w:rPr>
      </w:pPr>
      <w:r>
        <w:rPr>
          <w:rFonts w:ascii="Courier New" w:cs="Courier New" w:eastAsia="Courier New" w:hAnsi="Courier New"/>
          <w:sz w:val="15"/>
          <w:szCs w:val="15"/>
          <w:color w:val="auto"/>
        </w:rPr>
        <w:t>"Termination Date" means the earlier of (a) October 6, 2003, subject to the extension thereof pursuant to Section 2.19 and (b) the date of termination in whole of the Commitments pursuant to Section 2.05 or 6.01; provided, however, that the Termination Date of any Lender that is a Non-Consenting Lender to any requested extension pursuant to Section 2.19 shall be the Termination Date in effect immediately prior to the applicable Extension Date for all purposes of this Agreement.</w:t>
      </w:r>
    </w:p>
    <w:p>
      <w:pPr>
        <w:spacing w:after="0" w:line="178" w:lineRule="exact"/>
        <w:rPr>
          <w:sz w:val="20"/>
          <w:szCs w:val="20"/>
          <w:color w:val="auto"/>
        </w:rPr>
      </w:pPr>
    </w:p>
    <w:p>
      <w:pPr>
        <w:ind w:right="3099" w:firstLine="1615"/>
        <w:spacing w:after="0" w:line="244" w:lineRule="auto"/>
        <w:tabs>
          <w:tab w:leader="none" w:pos="198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"Commitment" in Section 1.01 is amended by replacing the words "the signature pages hereof" with the words "Schedule I hereto".</w:t>
      </w:r>
    </w:p>
    <w:p>
      <w:pPr>
        <w:sectPr>
          <w:pgSz w:w="11900" w:h="16838" w:orient="portrait"/>
          <w:cols w:equalWidth="0" w:num="1">
            <w:col w:w="10219"/>
          </w:cols>
          <w:pgMar w:left="240" w:top="314" w:right="1440" w:bottom="1440" w:gutter="0" w:footer="0" w:header="0"/>
        </w:sectPr>
      </w:pPr>
    </w:p>
    <w:bookmarkStart w:id="23" w:name="page24"/>
    <w:bookmarkEnd w:id="23"/>
    <w:p>
      <w:pPr>
        <w:ind w:left="3500"/>
        <w:spacing w:after="0"/>
        <w:rPr>
          <w:sz w:val="20"/>
          <w:szCs w:val="20"/>
          <w:color w:val="auto"/>
        </w:rPr>
      </w:pPr>
      <w:r>
        <w:rPr>
          <w:rFonts w:ascii="Courier New" w:cs="Courier New" w:eastAsia="Courier New" w:hAnsi="Courier New"/>
          <w:sz w:val="15"/>
          <w:szCs w:val="15"/>
          <w:color w:val="auto"/>
        </w:rPr>
        <w:t>2</w:t>
      </w:r>
    </w:p>
    <w:p>
      <w:pPr>
        <w:spacing w:after="0" w:line="178" w:lineRule="exact"/>
        <w:rPr>
          <w:sz w:val="20"/>
          <w:szCs w:val="20"/>
          <w:color w:val="auto"/>
        </w:rPr>
      </w:pPr>
    </w:p>
    <w:p>
      <w:pPr>
        <w:ind w:right="3019" w:firstLine="1615"/>
        <w:spacing w:after="0" w:line="244" w:lineRule="auto"/>
        <w:tabs>
          <w:tab w:leader="none" w:pos="1984"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4.01(e) is amended (i) by deleting the date "December 31, 2000" and substituting therefor the date "December 31, 2001", (ii) by deleting the date "September 30, 2001" and substituting therefor the date "June 30, 2002" and (iii) by deleting the words "nine months" and substituting therefor the words "six months".</w:t>
      </w:r>
    </w:p>
    <w:p>
      <w:pPr>
        <w:spacing w:after="0" w:line="349" w:lineRule="exact"/>
        <w:rPr>
          <w:rFonts w:ascii="Courier New" w:cs="Courier New" w:eastAsia="Courier New" w:hAnsi="Courier New"/>
          <w:sz w:val="15"/>
          <w:szCs w:val="15"/>
          <w:color w:val="auto"/>
        </w:rPr>
      </w:pPr>
    </w:p>
    <w:p>
      <w:pPr>
        <w:ind w:right="3279" w:firstLine="1615"/>
        <w:spacing w:after="0" w:line="243" w:lineRule="auto"/>
        <w:tabs>
          <w:tab w:leader="none" w:pos="1984"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I is deleted in its entirety and replaced with Schedule I to this Amendment and Restatement.</w:t>
      </w:r>
    </w:p>
    <w:p>
      <w:pPr>
        <w:spacing w:after="0" w:line="176" w:lineRule="exact"/>
        <w:rPr>
          <w:sz w:val="20"/>
          <w:szCs w:val="20"/>
          <w:color w:val="auto"/>
        </w:rPr>
      </w:pPr>
    </w:p>
    <w:p>
      <w:pPr>
        <w:ind w:right="3199" w:firstLine="1623"/>
        <w:spacing w:after="0" w:line="270" w:lineRule="auto"/>
        <w:rPr>
          <w:sz w:val="20"/>
          <w:szCs w:val="20"/>
          <w:color w:val="auto"/>
        </w:rPr>
      </w:pPr>
      <w:r>
        <w:rPr>
          <w:rFonts w:ascii="Courier New" w:cs="Courier New" w:eastAsia="Courier New" w:hAnsi="Courier New"/>
          <w:sz w:val="14"/>
          <w:szCs w:val="14"/>
          <w:color w:val="auto"/>
        </w:rPr>
        <w:t>SECTION 2. Conditions of Effectiveness of this Amendment and Restatement. This Amendment and Restatement shall become effective as of the date first above written (the "Restatement Effective Date") when and only if:</w:t>
      </w:r>
    </w:p>
    <w:p>
      <w:pPr>
        <w:spacing w:after="0" w:line="158" w:lineRule="exact"/>
        <w:rPr>
          <w:sz w:val="20"/>
          <w:szCs w:val="20"/>
          <w:color w:val="auto"/>
        </w:rPr>
      </w:pPr>
    </w:p>
    <w:p>
      <w:pPr>
        <w:ind w:left="800" w:right="3279" w:firstLine="815"/>
        <w:spacing w:after="0" w:line="244" w:lineRule="auto"/>
        <w:tabs>
          <w:tab w:leader="none" w:pos="1972"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counterparts of this Amendment and Restatement executed by the Borrower and all of the Initial Lenders or, as to any of the Initial Lenders, advice satisfactory to the Agent that such Initial Lender has executed this Amendment and Restatement.</w:t>
      </w:r>
    </w:p>
    <w:p>
      <w:pPr>
        <w:spacing w:after="0" w:line="176"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Restatement Effective Date, the following statements shall be true and the Agent shall have received for the account of each Lender a certificate signed by a duly authorized officer of the Borrower, dated the Restatement Effective Date, stating that:</w:t>
      </w:r>
    </w:p>
    <w:p>
      <w:pPr>
        <w:spacing w:after="0" w:line="176" w:lineRule="exact"/>
        <w:rPr>
          <w:rFonts w:ascii="Courier New" w:cs="Courier New" w:eastAsia="Courier New" w:hAnsi="Courier New"/>
          <w:sz w:val="15"/>
          <w:szCs w:val="15"/>
          <w:color w:val="auto"/>
        </w:rPr>
      </w:pPr>
    </w:p>
    <w:p>
      <w:pPr>
        <w:jc w:val="both"/>
        <w:ind w:left="1620" w:right="3199" w:firstLine="807"/>
        <w:spacing w:after="0" w:line="244" w:lineRule="auto"/>
        <w:tabs>
          <w:tab w:leader="none" w:pos="2792"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Section 4.01 of the Existing Credit Agreement are correct on and as of the Restatement Effective Date, before and after giving effect to the Restatement Effective Date, as though made on and as of such date, and</w:t>
      </w:r>
    </w:p>
    <w:p>
      <w:pPr>
        <w:spacing w:after="0" w:line="176" w:lineRule="exact"/>
        <w:rPr>
          <w:rFonts w:ascii="Courier New" w:cs="Courier New" w:eastAsia="Courier New" w:hAnsi="Courier New"/>
          <w:sz w:val="15"/>
          <w:szCs w:val="15"/>
          <w:color w:val="auto"/>
        </w:rPr>
      </w:pPr>
    </w:p>
    <w:p>
      <w:pPr>
        <w:ind w:left="1620" w:right="3019" w:firstLine="807"/>
        <w:spacing w:after="0" w:line="244" w:lineRule="auto"/>
        <w:tabs>
          <w:tab w:leader="none" w:pos="2882"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and is continuing, or will occur as a result of the occurrence of the Restatement Effective Date, that constitutes a Default.</w:t>
      </w:r>
    </w:p>
    <w:p>
      <w:pPr>
        <w:spacing w:after="0" w:line="175"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on or before the Restatement Effective Date the following, each dated such date and (unless otherwise specified below) in form and substance satisfactory to the Agent and in sufficient copies for each Initial Lender:</w:t>
      </w:r>
    </w:p>
    <w:p>
      <w:pPr>
        <w:spacing w:after="0" w:line="175" w:lineRule="exact"/>
        <w:rPr>
          <w:rFonts w:ascii="Courier New" w:cs="Courier New" w:eastAsia="Courier New" w:hAnsi="Courier New"/>
          <w:sz w:val="15"/>
          <w:szCs w:val="15"/>
          <w:color w:val="auto"/>
        </w:rPr>
      </w:pPr>
    </w:p>
    <w:p>
      <w:pPr>
        <w:ind w:left="1620" w:right="3279" w:firstLine="807"/>
        <w:spacing w:after="0" w:line="244" w:lineRule="auto"/>
        <w:tabs>
          <w:tab w:leader="none" w:pos="2792"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Revolving Credit Notes to the order of the Lenders to the extent requested by any Lender pursuant to Section 2.16 of the Existing Credit Agreement.</w:t>
      </w:r>
    </w:p>
    <w:p>
      <w:pPr>
        <w:spacing w:after="0" w:line="175" w:lineRule="exact"/>
        <w:rPr>
          <w:rFonts w:ascii="Courier New" w:cs="Courier New" w:eastAsia="Courier New" w:hAnsi="Courier New"/>
          <w:sz w:val="15"/>
          <w:szCs w:val="15"/>
          <w:color w:val="auto"/>
        </w:rPr>
      </w:pPr>
    </w:p>
    <w:p>
      <w:pPr>
        <w:ind w:left="1620" w:right="3019" w:firstLine="807"/>
        <w:spacing w:after="0" w:line="244" w:lineRule="auto"/>
        <w:tabs>
          <w:tab w:leader="none" w:pos="2882"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Certified copies of the resolutions of the Board of Directors of the Borrower approving this Amendment and Restatement and the Notes, and of all documents evidencing other necessary corporate action and governmental approvals, if any, with respect to this Amendment and Restatement and the Notes.</w:t>
      </w:r>
    </w:p>
    <w:p>
      <w:pPr>
        <w:spacing w:after="0" w:line="177" w:lineRule="exact"/>
        <w:rPr>
          <w:rFonts w:ascii="Courier New" w:cs="Courier New" w:eastAsia="Courier New" w:hAnsi="Courier New"/>
          <w:sz w:val="15"/>
          <w:szCs w:val="15"/>
          <w:color w:val="auto"/>
        </w:rPr>
      </w:pPr>
    </w:p>
    <w:p>
      <w:pPr>
        <w:ind w:left="1620" w:right="3099" w:firstLine="807"/>
        <w:spacing w:after="0" w:line="244" w:lineRule="auto"/>
        <w:tabs>
          <w:tab w:leader="none" w:pos="2972"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or an Assistant Secretary of the Borrower certifying the names and true signatures of the officers of the Borrower authorized to sign this Amendment and Restatement and the Notes and the other documents to be delivered hereunder.</w:t>
      </w:r>
    </w:p>
    <w:p>
      <w:pPr>
        <w:spacing w:after="0" w:line="176" w:lineRule="exact"/>
        <w:rPr>
          <w:rFonts w:ascii="Courier New" w:cs="Courier New" w:eastAsia="Courier New" w:hAnsi="Courier New"/>
          <w:sz w:val="15"/>
          <w:szCs w:val="15"/>
          <w:color w:val="auto"/>
        </w:rPr>
      </w:pPr>
    </w:p>
    <w:p>
      <w:pPr>
        <w:ind w:left="1620" w:right="3019" w:firstLine="807"/>
        <w:spacing w:after="0" w:line="265" w:lineRule="auto"/>
        <w:tabs>
          <w:tab w:leader="none" w:pos="2882"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favorable opinion of Godfrey &amp; Kahn, S.C., counsel for the Borrower, in substantially the form of Exhibit E to the Existing Credit Agreement but with such modifications as are required to address the Existing Credit Agreement, as amended by this Amendment and Restatement, in form and substance reasonably satisfactory to the Initial Lenders.</w:t>
      </w:r>
    </w:p>
    <w:p>
      <w:pPr>
        <w:sectPr>
          <w:pgSz w:w="11900" w:h="16838" w:orient="portrait"/>
          <w:cols w:equalWidth="0" w:num="1">
            <w:col w:w="10219"/>
          </w:cols>
          <w:pgMar w:left="240" w:top="464" w:right="1440" w:bottom="1440" w:gutter="0" w:footer="0" w:header="0"/>
        </w:sectPr>
      </w:pPr>
    </w:p>
    <w:bookmarkStart w:id="24" w:name="page25"/>
    <w:bookmarkEnd w:id="24"/>
    <w:p>
      <w:pPr>
        <w:ind w:left="3500"/>
        <w:spacing w:after="0"/>
        <w:rPr>
          <w:sz w:val="20"/>
          <w:szCs w:val="20"/>
          <w:color w:val="auto"/>
        </w:rPr>
      </w:pPr>
      <w:r>
        <w:rPr>
          <w:rFonts w:ascii="Courier New" w:cs="Courier New" w:eastAsia="Courier New" w:hAnsi="Courier New"/>
          <w:sz w:val="15"/>
          <w:szCs w:val="15"/>
          <w:color w:val="auto"/>
        </w:rPr>
        <w:t>3</w:t>
      </w:r>
    </w:p>
    <w:p>
      <w:pPr>
        <w:spacing w:after="0" w:line="351" w:lineRule="exact"/>
        <w:rPr>
          <w:sz w:val="20"/>
          <w:szCs w:val="20"/>
          <w:color w:val="auto"/>
        </w:rPr>
      </w:pPr>
    </w:p>
    <w:p>
      <w:pPr>
        <w:ind w:left="1620" w:right="3459" w:firstLine="807"/>
        <w:spacing w:after="0" w:line="244" w:lineRule="auto"/>
        <w:tabs>
          <w:tab w:leader="none" w:pos="2882"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Shearman &amp; Sterling, counsel for the Agent, in form and substance reasonably satisfactory to the Agent.</w:t>
      </w:r>
    </w:p>
    <w:p>
      <w:pPr>
        <w:spacing w:after="0" w:line="175" w:lineRule="exact"/>
        <w:rPr>
          <w:sz w:val="20"/>
          <w:szCs w:val="20"/>
          <w:color w:val="auto"/>
        </w:rPr>
      </w:pPr>
    </w:p>
    <w:p>
      <w:pPr>
        <w:ind w:right="3099" w:firstLine="1623"/>
        <w:spacing w:after="0" w:line="244" w:lineRule="auto"/>
        <w:rPr>
          <w:sz w:val="20"/>
          <w:szCs w:val="20"/>
          <w:color w:val="auto"/>
        </w:rPr>
      </w:pPr>
      <w:r>
        <w:rPr>
          <w:rFonts w:ascii="Courier New" w:cs="Courier New" w:eastAsia="Courier New" w:hAnsi="Courier New"/>
          <w:sz w:val="15"/>
          <w:szCs w:val="15"/>
          <w:color w:val="auto"/>
        </w:rPr>
        <w:t>SECTION 3. Reference to and Effect on the Existing Credit Agreement and the Notes. (a) On and after the effectiveness of this Amendment and Restatement, each reference in the Existing Credit Agreement to "this Agreement", "hereunder", "hereof" or words of like import referring to the Existing Credit Agreement, and each reference in the Notes to "the Credit Agreement", "thereunder", "thereof" or words of like import referring to the Existing Credit Agreement, shall mean and be a reference to the Existing Credit Agreement, as amended by this Amendment and Restatement.</w:t>
      </w:r>
    </w:p>
    <w:p>
      <w:pPr>
        <w:spacing w:after="0" w:line="178" w:lineRule="exact"/>
        <w:rPr>
          <w:sz w:val="20"/>
          <w:szCs w:val="20"/>
          <w:color w:val="auto"/>
        </w:rPr>
      </w:pPr>
    </w:p>
    <w:p>
      <w:pPr>
        <w:ind w:right="3199" w:firstLine="1615"/>
        <w:spacing w:after="0" w:line="244" w:lineRule="auto"/>
        <w:tabs>
          <w:tab w:leader="none" w:pos="198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Existing Credit Agreement and the Notes, as specifically amended by this Amendment and Restatement, are and shall continue to be in full force and effect and are hereby in all respects ratified and confirmed.</w:t>
      </w:r>
    </w:p>
    <w:p>
      <w:pPr>
        <w:spacing w:after="0" w:line="175" w:lineRule="exact"/>
        <w:rPr>
          <w:rFonts w:ascii="Courier New" w:cs="Courier New" w:eastAsia="Courier New" w:hAnsi="Courier New"/>
          <w:sz w:val="15"/>
          <w:szCs w:val="15"/>
          <w:color w:val="auto"/>
        </w:rPr>
      </w:pPr>
    </w:p>
    <w:p>
      <w:pPr>
        <w:ind w:right="3019" w:firstLine="1615"/>
        <w:spacing w:after="0" w:line="244" w:lineRule="auto"/>
        <w:tabs>
          <w:tab w:leader="none" w:pos="198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any of the other provisions of the Existing Credit Agreement, as amended by this Amendment and Restatement, any references in the Existing Credit Agreement to the phrases "on the date hereof", "on the date of this Agreement" or words of similar import shall mean and be a reference to the date of the Existing Credit Agreement (which is November 29, 2001).</w:t>
      </w:r>
    </w:p>
    <w:p>
      <w:pPr>
        <w:spacing w:after="0" w:line="177" w:lineRule="exact"/>
        <w:rPr>
          <w:sz w:val="20"/>
          <w:szCs w:val="20"/>
          <w:color w:val="auto"/>
        </w:rPr>
      </w:pPr>
    </w:p>
    <w:p>
      <w:pPr>
        <w:ind w:right="3099" w:firstLine="1623"/>
        <w:spacing w:after="0" w:line="244" w:lineRule="auto"/>
        <w:rPr>
          <w:sz w:val="20"/>
          <w:szCs w:val="20"/>
          <w:color w:val="auto"/>
        </w:rPr>
      </w:pPr>
      <w:r>
        <w:rPr>
          <w:rFonts w:ascii="Courier New" w:cs="Courier New" w:eastAsia="Courier New" w:hAnsi="Courier New"/>
          <w:sz w:val="15"/>
          <w:szCs w:val="15"/>
          <w:color w:val="auto"/>
        </w:rPr>
        <w:t>SECTION 4. Costs and Expenses. The Borrower agrees to pay on demand all reasonable out-of-pocket costs and expenses of the Agent in connection with the preparation, execution, delivery and administration, modification and amendment of this Amendment and Restatement, the Notes and the other documents to be delivered hereunder (including, without limitation, the reasonable and documented fees and expenses of counsel for the Agent with respect hereto and thereto) in accordance with the terms of Section 8.04 of the Existing Credit Agreement.</w:t>
      </w:r>
    </w:p>
    <w:p>
      <w:pPr>
        <w:spacing w:after="0" w:line="178" w:lineRule="exact"/>
        <w:rPr>
          <w:sz w:val="20"/>
          <w:szCs w:val="20"/>
          <w:color w:val="auto"/>
        </w:rPr>
      </w:pPr>
    </w:p>
    <w:p>
      <w:pPr>
        <w:ind w:right="3019" w:firstLine="1623"/>
        <w:spacing w:after="0" w:line="244" w:lineRule="auto"/>
        <w:rPr>
          <w:sz w:val="20"/>
          <w:szCs w:val="20"/>
          <w:color w:val="auto"/>
        </w:rPr>
      </w:pPr>
      <w:r>
        <w:rPr>
          <w:rFonts w:ascii="Courier New" w:cs="Courier New" w:eastAsia="Courier New" w:hAnsi="Courier New"/>
          <w:sz w:val="15"/>
          <w:szCs w:val="15"/>
          <w:color w:val="auto"/>
        </w:rPr>
        <w:t>SECTION 5. Execution in Counterparts. This Amendment and Restatement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Amendment and Restatement by telecopier shall be effective as delivery of a manually executed counterpart of this Amendment and Restatement.</w:t>
      </w:r>
    </w:p>
    <w:p>
      <w:pPr>
        <w:spacing w:after="0" w:line="178" w:lineRule="exact"/>
        <w:rPr>
          <w:sz w:val="20"/>
          <w:szCs w:val="20"/>
          <w:color w:val="auto"/>
        </w:rPr>
      </w:pPr>
    </w:p>
    <w:p>
      <w:pPr>
        <w:jc w:val="both"/>
        <w:ind w:right="3199" w:firstLine="1443"/>
        <w:spacing w:after="0" w:line="244" w:lineRule="auto"/>
        <w:rPr>
          <w:sz w:val="20"/>
          <w:szCs w:val="20"/>
          <w:color w:val="auto"/>
        </w:rPr>
      </w:pPr>
      <w:r>
        <w:rPr>
          <w:rFonts w:ascii="Courier New" w:cs="Courier New" w:eastAsia="Courier New" w:hAnsi="Courier New"/>
          <w:sz w:val="15"/>
          <w:szCs w:val="15"/>
          <w:color w:val="auto"/>
        </w:rPr>
        <w:t>SECTION 6. Governing Law. This Amendment and Restatement shall be governed by, and construed in accordance with, the laws of the State of New York.</w:t>
      </w:r>
    </w:p>
    <w:p>
      <w:pPr>
        <w:spacing w:after="0" w:line="175" w:lineRule="exact"/>
        <w:rPr>
          <w:sz w:val="20"/>
          <w:szCs w:val="20"/>
          <w:color w:val="auto"/>
        </w:rPr>
      </w:pPr>
    </w:p>
    <w:p>
      <w:pPr>
        <w:ind w:right="3099" w:firstLine="1623"/>
        <w:spacing w:after="0" w:line="244" w:lineRule="auto"/>
        <w:rPr>
          <w:sz w:val="20"/>
          <w:szCs w:val="20"/>
          <w:color w:val="auto"/>
        </w:rPr>
      </w:pPr>
      <w:r>
        <w:rPr>
          <w:rFonts w:ascii="Courier New" w:cs="Courier New" w:eastAsia="Courier New" w:hAnsi="Courier New"/>
          <w:sz w:val="15"/>
          <w:szCs w:val="15"/>
          <w:color w:val="auto"/>
        </w:rPr>
        <w:t>IN WITNESS WHEREOF, the parties hereto have caused this Amendment and Restatement to be executed by their respective officers thereunto duly authorized, as of the date first above written.</w:t>
      </w:r>
    </w:p>
    <w:p>
      <w:pPr>
        <w:spacing w:after="0" w:line="17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MANPOWER INC.</w:t>
      </w:r>
    </w:p>
    <w:p>
      <w:pPr>
        <w:sectPr>
          <w:pgSz w:w="11900" w:h="16838" w:orient="portrait"/>
          <w:cols w:equalWidth="0" w:num="1">
            <w:col w:w="10219"/>
          </w:cols>
          <w:pgMar w:left="240" w:top="464" w:right="1440" w:bottom="1440" w:gutter="0" w:footer="0" w:header="0"/>
        </w:sectPr>
      </w:pPr>
    </w:p>
    <w:p>
      <w:pPr>
        <w:spacing w:after="0" w:line="35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George P. Herrmann</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Title:</w:t>
        <w:tab/>
        <w:t>Vice President, Finance and Treasurer</w:t>
      </w:r>
    </w:p>
    <w:p>
      <w:pPr>
        <w:sectPr>
          <w:pgSz w:w="11900" w:h="16838" w:orient="portrait"/>
          <w:cols w:equalWidth="0" w:num="2">
            <w:col w:w="2240" w:space="460"/>
            <w:col w:w="7519"/>
          </w:cols>
          <w:pgMar w:left="240" w:top="464" w:right="1440" w:bottom="1440" w:gutter="0" w:footer="0" w:header="0"/>
          <w:type w:val="continuous"/>
        </w:sectPr>
      </w:pPr>
    </w:p>
    <w:bookmarkStart w:id="25" w:name="page26"/>
    <w:bookmarkEnd w:id="25"/>
    <w:tbl>
      <w:tblPr>
        <w:tblLayout w:type="fixed"/>
        <w:tblInd w:w="206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4</w:t>
            </w:r>
          </w:p>
        </w:tc>
      </w:tr>
      <w:tr>
        <w:trPr>
          <w:trHeight w:val="347"/>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CITIBANK, N.A.,</w:t>
            </w:r>
          </w:p>
        </w:tc>
        <w:tc>
          <w:tcPr>
            <w:tcW w:w="3520" w:type="dxa"/>
            <w:vAlign w:val="bottom"/>
          </w:tcPr>
          <w:p>
            <w:pPr>
              <w:spacing w:after="0"/>
              <w:rPr>
                <w:sz w:val="24"/>
                <w:szCs w:val="24"/>
                <w:color w:val="auto"/>
              </w:rPr>
            </w:pPr>
          </w:p>
        </w:tc>
      </w:tr>
      <w:tr>
        <w:trPr>
          <w:trHeight w:val="173"/>
        </w:trPr>
        <w:tc>
          <w:tcPr>
            <w:tcW w:w="28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as Agent</w:t>
            </w:r>
          </w:p>
        </w:tc>
        <w:tc>
          <w:tcPr>
            <w:tcW w:w="3520" w:type="dxa"/>
            <w:vAlign w:val="bottom"/>
          </w:tcPr>
          <w:p>
            <w:pPr>
              <w:spacing w:after="0"/>
              <w:rPr>
                <w:sz w:val="15"/>
                <w:szCs w:val="15"/>
                <w:color w:val="auto"/>
              </w:rPr>
            </w:pPr>
          </w:p>
        </w:tc>
      </w:tr>
      <w:tr>
        <w:trPr>
          <w:trHeight w:val="520"/>
        </w:trPr>
        <w:tc>
          <w:tcPr>
            <w:tcW w:w="28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6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 Wajeeh Faheem</w:t>
            </w:r>
          </w:p>
        </w:tc>
      </w:tr>
      <w:tr>
        <w:trPr>
          <w:trHeight w:val="173"/>
        </w:trPr>
        <w:tc>
          <w:tcPr>
            <w:tcW w:w="280" w:type="dxa"/>
            <w:vAlign w:val="bottom"/>
          </w:tcPr>
          <w:p>
            <w:pPr>
              <w:spacing w:after="0"/>
              <w:rPr>
                <w:sz w:val="15"/>
                <w:szCs w:val="15"/>
                <w:color w:val="auto"/>
              </w:rPr>
            </w:pPr>
          </w:p>
        </w:tc>
        <w:tc>
          <w:tcPr>
            <w:tcW w:w="46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280" w:type="dxa"/>
            <w:vAlign w:val="bottom"/>
          </w:tcPr>
          <w:p>
            <w:pPr>
              <w:spacing w:after="0"/>
              <w:rPr>
                <w:sz w:val="15"/>
                <w:szCs w:val="15"/>
                <w:color w:val="auto"/>
              </w:rPr>
            </w:pPr>
          </w:p>
        </w:tc>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Title:</w:t>
            </w:r>
          </w:p>
        </w:tc>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Wajeeh Faheem</w:t>
            </w:r>
          </w:p>
        </w:tc>
      </w:tr>
      <w:tr>
        <w:trPr>
          <w:trHeight w:val="173"/>
        </w:trPr>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Vice President</w:t>
            </w:r>
          </w:p>
        </w:tc>
      </w:tr>
      <w:tr>
        <w:trPr>
          <w:trHeight w:val="173"/>
        </w:trPr>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Citibank, N.A.</w:t>
            </w:r>
          </w:p>
        </w:tc>
      </w:tr>
      <w:tr>
        <w:trPr>
          <w:trHeight w:val="347"/>
        </w:trPr>
        <w:tc>
          <w:tcPr>
            <w:tcW w:w="4880" w:type="dxa"/>
            <w:vAlign w:val="bottom"/>
            <w:gridSpan w:val="3"/>
          </w:tcPr>
          <w:p>
            <w:pPr>
              <w:spacing w:after="0"/>
              <w:rPr>
                <w:sz w:val="20"/>
                <w:szCs w:val="20"/>
                <w:color w:val="auto"/>
              </w:rPr>
            </w:pPr>
            <w:r>
              <w:rPr>
                <w:rFonts w:ascii="Courier New" w:cs="Courier New" w:eastAsia="Courier New" w:hAnsi="Courier New"/>
                <w:sz w:val="15"/>
                <w:szCs w:val="15"/>
                <w:color w:val="auto"/>
              </w:rPr>
              <w:t>Administrative Agent</w:t>
            </w:r>
          </w:p>
        </w:tc>
      </w:tr>
      <w:tr>
        <w:trPr>
          <w:trHeight w:val="347"/>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CITIBANK, N.A.</w:t>
            </w:r>
          </w:p>
        </w:tc>
        <w:tc>
          <w:tcPr>
            <w:tcW w:w="3520" w:type="dxa"/>
            <w:vAlign w:val="bottom"/>
          </w:tcPr>
          <w:p>
            <w:pPr>
              <w:spacing w:after="0"/>
              <w:rPr>
                <w:sz w:val="24"/>
                <w:szCs w:val="24"/>
                <w:color w:val="auto"/>
              </w:rPr>
            </w:pPr>
          </w:p>
        </w:tc>
      </w:tr>
      <w:tr>
        <w:trPr>
          <w:trHeight w:val="520"/>
        </w:trPr>
        <w:tc>
          <w:tcPr>
            <w:tcW w:w="28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6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 Wajeeh Faheem</w:t>
            </w:r>
          </w:p>
        </w:tc>
      </w:tr>
      <w:tr>
        <w:trPr>
          <w:trHeight w:val="173"/>
        </w:trPr>
        <w:tc>
          <w:tcPr>
            <w:tcW w:w="280" w:type="dxa"/>
            <w:vAlign w:val="bottom"/>
          </w:tcPr>
          <w:p>
            <w:pPr>
              <w:spacing w:after="0"/>
              <w:rPr>
                <w:sz w:val="15"/>
                <w:szCs w:val="15"/>
                <w:color w:val="auto"/>
              </w:rPr>
            </w:pPr>
          </w:p>
        </w:tc>
        <w:tc>
          <w:tcPr>
            <w:tcW w:w="46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280" w:type="dxa"/>
            <w:vAlign w:val="bottom"/>
          </w:tcPr>
          <w:p>
            <w:pPr>
              <w:spacing w:after="0"/>
              <w:rPr>
                <w:sz w:val="15"/>
                <w:szCs w:val="15"/>
                <w:color w:val="auto"/>
              </w:rPr>
            </w:pPr>
          </w:p>
        </w:tc>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Title:</w:t>
            </w:r>
          </w:p>
        </w:tc>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Wajeeh Faheem</w:t>
            </w:r>
          </w:p>
        </w:tc>
      </w:tr>
      <w:tr>
        <w:trPr>
          <w:trHeight w:val="173"/>
        </w:trPr>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Vice President</w:t>
            </w:r>
          </w:p>
        </w:tc>
      </w:tr>
      <w:tr>
        <w:trPr>
          <w:trHeight w:val="173"/>
        </w:trPr>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Citibank, N.A.</w:t>
            </w:r>
          </w:p>
        </w:tc>
      </w:tr>
      <w:tr>
        <w:trPr>
          <w:trHeight w:val="520"/>
        </w:trPr>
        <w:tc>
          <w:tcPr>
            <w:tcW w:w="4880" w:type="dxa"/>
            <w:vAlign w:val="bottom"/>
            <w:gridSpan w:val="3"/>
          </w:tcPr>
          <w:p>
            <w:pPr>
              <w:spacing w:after="0"/>
              <w:rPr>
                <w:sz w:val="20"/>
                <w:szCs w:val="20"/>
                <w:color w:val="auto"/>
              </w:rPr>
            </w:pPr>
            <w:r>
              <w:rPr>
                <w:rFonts w:ascii="Courier New" w:cs="Courier New" w:eastAsia="Courier New" w:hAnsi="Courier New"/>
                <w:sz w:val="15"/>
                <w:szCs w:val="15"/>
                <w:color w:val="auto"/>
              </w:rPr>
              <w:t>Co-Syndication Agents</w:t>
            </w:r>
          </w:p>
        </w:tc>
      </w:tr>
      <w:tr>
        <w:trPr>
          <w:trHeight w:val="347"/>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BNP PARIBAS</w:t>
            </w:r>
          </w:p>
        </w:tc>
        <w:tc>
          <w:tcPr>
            <w:tcW w:w="3520" w:type="dxa"/>
            <w:vAlign w:val="bottom"/>
          </w:tcPr>
          <w:p>
            <w:pPr>
              <w:spacing w:after="0"/>
              <w:rPr>
                <w:sz w:val="24"/>
                <w:szCs w:val="24"/>
                <w:color w:val="auto"/>
              </w:rPr>
            </w:pPr>
          </w:p>
        </w:tc>
      </w:tr>
      <w:tr>
        <w:trPr>
          <w:trHeight w:val="520"/>
        </w:trPr>
        <w:tc>
          <w:tcPr>
            <w:tcW w:w="28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6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 Christine L. Howatt</w:t>
            </w:r>
          </w:p>
        </w:tc>
      </w:tr>
      <w:tr>
        <w:trPr>
          <w:trHeight w:val="173"/>
        </w:trPr>
        <w:tc>
          <w:tcPr>
            <w:tcW w:w="280" w:type="dxa"/>
            <w:vAlign w:val="bottom"/>
          </w:tcPr>
          <w:p>
            <w:pPr>
              <w:spacing w:after="0"/>
              <w:rPr>
                <w:sz w:val="15"/>
                <w:szCs w:val="15"/>
                <w:color w:val="auto"/>
              </w:rPr>
            </w:pPr>
          </w:p>
        </w:tc>
        <w:tc>
          <w:tcPr>
            <w:tcW w:w="46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280" w:type="dxa"/>
            <w:vAlign w:val="bottom"/>
          </w:tcPr>
          <w:p>
            <w:pPr>
              <w:spacing w:after="0"/>
              <w:rPr>
                <w:sz w:val="15"/>
                <w:szCs w:val="15"/>
                <w:color w:val="auto"/>
              </w:rPr>
            </w:pPr>
          </w:p>
        </w:tc>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Name:</w:t>
            </w: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Christine L. Howatt</w:t>
            </w:r>
          </w:p>
        </w:tc>
      </w:tr>
      <w:tr>
        <w:trPr>
          <w:trHeight w:val="173"/>
        </w:trPr>
        <w:tc>
          <w:tcPr>
            <w:tcW w:w="280" w:type="dxa"/>
            <w:vAlign w:val="bottom"/>
          </w:tcPr>
          <w:p>
            <w:pPr>
              <w:spacing w:after="0"/>
              <w:rPr>
                <w:sz w:val="15"/>
                <w:szCs w:val="15"/>
                <w:color w:val="auto"/>
              </w:rPr>
            </w:pPr>
          </w:p>
        </w:tc>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Title:</w:t>
            </w:r>
          </w:p>
        </w:tc>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r>
        <w:trPr>
          <w:trHeight w:val="347"/>
        </w:trPr>
        <w:tc>
          <w:tcPr>
            <w:tcW w:w="28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6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 Peter Labrie</w:t>
            </w:r>
          </w:p>
        </w:tc>
      </w:tr>
      <w:tr>
        <w:trPr>
          <w:trHeight w:val="173"/>
        </w:trPr>
        <w:tc>
          <w:tcPr>
            <w:tcW w:w="280" w:type="dxa"/>
            <w:vAlign w:val="bottom"/>
          </w:tcPr>
          <w:p>
            <w:pPr>
              <w:spacing w:after="0"/>
              <w:rPr>
                <w:sz w:val="15"/>
                <w:szCs w:val="15"/>
                <w:color w:val="auto"/>
              </w:rPr>
            </w:pPr>
          </w:p>
        </w:tc>
        <w:tc>
          <w:tcPr>
            <w:tcW w:w="46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280" w:type="dxa"/>
            <w:vAlign w:val="bottom"/>
          </w:tcPr>
          <w:p>
            <w:pPr>
              <w:spacing w:after="0"/>
              <w:rPr>
                <w:sz w:val="15"/>
                <w:szCs w:val="15"/>
                <w:color w:val="auto"/>
              </w:rPr>
            </w:pPr>
          </w:p>
        </w:tc>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Name:</w:t>
            </w: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Peter Labrie</w:t>
            </w:r>
          </w:p>
        </w:tc>
      </w:tr>
      <w:tr>
        <w:trPr>
          <w:trHeight w:val="173"/>
        </w:trPr>
        <w:tc>
          <w:tcPr>
            <w:tcW w:w="280" w:type="dxa"/>
            <w:vAlign w:val="bottom"/>
          </w:tcPr>
          <w:p>
            <w:pPr>
              <w:spacing w:after="0"/>
              <w:rPr>
                <w:sz w:val="15"/>
                <w:szCs w:val="15"/>
                <w:color w:val="auto"/>
              </w:rPr>
            </w:pPr>
          </w:p>
        </w:tc>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Title:</w:t>
            </w:r>
          </w:p>
        </w:tc>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Central Region Manager</w:t>
            </w:r>
          </w:p>
        </w:tc>
      </w:tr>
      <w:tr>
        <w:trPr>
          <w:trHeight w:val="520"/>
        </w:trPr>
        <w:tc>
          <w:tcPr>
            <w:tcW w:w="4880" w:type="dxa"/>
            <w:vAlign w:val="bottom"/>
            <w:gridSpan w:val="3"/>
          </w:tcPr>
          <w:p>
            <w:pPr>
              <w:spacing w:after="0"/>
              <w:rPr>
                <w:sz w:val="20"/>
                <w:szCs w:val="20"/>
                <w:color w:val="auto"/>
              </w:rPr>
            </w:pPr>
            <w:r>
              <w:rPr>
                <w:rFonts w:ascii="Courier New" w:cs="Courier New" w:eastAsia="Courier New" w:hAnsi="Courier New"/>
                <w:sz w:val="15"/>
                <w:szCs w:val="15"/>
                <w:color w:val="auto"/>
              </w:rPr>
              <w:t>WACHOVIA BANK, NATIONAL ASSOCIATION</w:t>
            </w:r>
          </w:p>
        </w:tc>
      </w:tr>
      <w:tr>
        <w:trPr>
          <w:trHeight w:val="520"/>
        </w:trPr>
        <w:tc>
          <w:tcPr>
            <w:tcW w:w="28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6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 Karin G. Samuel</w:t>
            </w:r>
          </w:p>
        </w:tc>
      </w:tr>
      <w:tr>
        <w:trPr>
          <w:trHeight w:val="173"/>
        </w:trPr>
        <w:tc>
          <w:tcPr>
            <w:tcW w:w="280" w:type="dxa"/>
            <w:vAlign w:val="bottom"/>
          </w:tcPr>
          <w:p>
            <w:pPr>
              <w:spacing w:after="0"/>
              <w:rPr>
                <w:sz w:val="15"/>
                <w:szCs w:val="15"/>
                <w:color w:val="auto"/>
              </w:rPr>
            </w:pPr>
          </w:p>
        </w:tc>
        <w:tc>
          <w:tcPr>
            <w:tcW w:w="46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280" w:type="dxa"/>
            <w:vAlign w:val="bottom"/>
          </w:tcPr>
          <w:p>
            <w:pPr>
              <w:spacing w:after="0"/>
              <w:rPr>
                <w:sz w:val="15"/>
                <w:szCs w:val="15"/>
                <w:color w:val="auto"/>
              </w:rPr>
            </w:pPr>
          </w:p>
        </w:tc>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Title:</w:t>
            </w:r>
          </w:p>
        </w:tc>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Vice President</w:t>
            </w:r>
          </w:p>
        </w:tc>
      </w:tr>
    </w:tbl>
    <w:p>
      <w:pPr>
        <w:spacing w:after="0" w:line="35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Managing Agents</w:t>
      </w:r>
    </w:p>
    <w:p>
      <w:pPr>
        <w:spacing w:after="0" w:line="177"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5"/>
          <w:szCs w:val="15"/>
          <w:color w:val="auto"/>
        </w:rPr>
        <w:t>ABN AMRO BANK N.V.</w:t>
      </w:r>
    </w:p>
    <w:p>
      <w:pPr>
        <w:sectPr>
          <w:pgSz w:w="11900" w:h="16838" w:orient="portrait"/>
          <w:cols w:equalWidth="0" w:num="1">
            <w:col w:w="10219"/>
          </w:cols>
          <w:pgMar w:left="240" w:top="638" w:right="1440" w:bottom="1440" w:gutter="0" w:footer="0" w:header="0"/>
        </w:sect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Kathleen L. Ross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Kathleen L. Ross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Edward John Hill III</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Edward John Hill III</w:t>
      </w:r>
    </w:p>
    <w:p>
      <w:pPr>
        <w:spacing w:after="0" w:line="3" w:lineRule="exact"/>
        <w:rPr>
          <w:sz w:val="20"/>
          <w:szCs w:val="20"/>
          <w:color w:val="auto"/>
        </w:rPr>
      </w:pPr>
    </w:p>
    <w:p>
      <w:pPr>
        <w:ind w:left="100"/>
        <w:spacing w:after="0"/>
        <w:tabs>
          <w:tab w:leader="none" w:pos="8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Assistant Vice President</w:t>
      </w:r>
    </w:p>
    <w:p>
      <w:pPr>
        <w:spacing w:after="0" w:line="177" w:lineRule="exact"/>
        <w:rPr>
          <w:sz w:val="20"/>
          <w:szCs w:val="20"/>
          <w:color w:val="auto"/>
        </w:rPr>
      </w:pPr>
    </w:p>
    <w:p>
      <w:pPr>
        <w:sectPr>
          <w:pgSz w:w="11900" w:h="16838" w:orient="portrait"/>
          <w:cols w:equalWidth="0" w:num="3">
            <w:col w:w="3060" w:space="260"/>
            <w:col w:w="180" w:space="360"/>
            <w:col w:w="6359"/>
          </w:cols>
          <w:pgMar w:left="240" w:top="638" w:right="1440" w:bottom="1440" w:gutter="0" w:footer="0" w:header="0"/>
          <w:type w:val="continuous"/>
        </w:sectPr>
      </w:pPr>
    </w:p>
    <w:p>
      <w:pPr>
        <w:ind w:left="3320"/>
        <w:spacing w:after="0"/>
        <w:rPr>
          <w:sz w:val="20"/>
          <w:szCs w:val="20"/>
          <w:color w:val="auto"/>
        </w:rPr>
      </w:pPr>
      <w:r>
        <w:rPr>
          <w:rFonts w:ascii="Courier New" w:cs="Courier New" w:eastAsia="Courier New" w:hAnsi="Courier New"/>
          <w:sz w:val="15"/>
          <w:szCs w:val="15"/>
          <w:color w:val="auto"/>
        </w:rPr>
        <w:t>BANK ONE, NA</w:t>
      </w:r>
    </w:p>
    <w:p>
      <w:pPr>
        <w:sectPr>
          <w:pgSz w:w="11900" w:h="16838" w:orient="portrait"/>
          <w:cols w:equalWidth="0" w:num="1">
            <w:col w:w="10219"/>
          </w:cols>
          <w:pgMar w:left="240" w:top="638" w:right="1440" w:bottom="1440" w:gutter="0" w:footer="0" w:header="0"/>
          <w:type w:val="continuous"/>
        </w:sectPr>
      </w:pPr>
    </w:p>
    <w:p>
      <w:pPr>
        <w:spacing w:after="0" w:line="35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 Jenny Gilpin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Jenny A. Gilpin</w:t>
      </w:r>
    </w:p>
    <w:p>
      <w:pPr>
        <w:spacing w:after="0" w:line="3" w:lineRule="exact"/>
        <w:rPr>
          <w:sz w:val="20"/>
          <w:szCs w:val="20"/>
          <w:color w:val="auto"/>
        </w:rPr>
      </w:pPr>
    </w:p>
    <w:p>
      <w:pPr>
        <w:ind w:left="100"/>
        <w:spacing w:after="0"/>
        <w:tabs>
          <w:tab w:leader="none" w:pos="800" w:val="left"/>
        </w:tabs>
        <w:rPr>
          <w:sz w:val="20"/>
          <w:szCs w:val="20"/>
          <w:color w:val="auto"/>
        </w:rPr>
      </w:pPr>
      <w:r>
        <w:rPr>
          <w:rFonts w:ascii="Courier New" w:cs="Courier New" w:eastAsia="Courier New" w:hAnsi="Courier New"/>
          <w:sz w:val="15"/>
          <w:szCs w:val="15"/>
          <w:color w:val="auto"/>
        </w:rPr>
        <w:t>Title:</w:t>
        <w:tab/>
        <w:t>Director, Capital Markets</w:t>
      </w:r>
    </w:p>
    <w:p>
      <w:pPr>
        <w:sectPr>
          <w:pgSz w:w="11900" w:h="16838" w:orient="portrait"/>
          <w:cols w:equalWidth="0" w:num="2">
            <w:col w:w="3500" w:space="360"/>
            <w:col w:w="6359"/>
          </w:cols>
          <w:pgMar w:left="240" w:top="638" w:right="1440" w:bottom="1440" w:gutter="0" w:footer="0" w:header="0"/>
          <w:type w:val="continuous"/>
        </w:sectPr>
      </w:pPr>
    </w:p>
    <w:bookmarkStart w:id="26" w:name="page27"/>
    <w:bookmarkEnd w:id="26"/>
    <w:p>
      <w:pPr>
        <w:ind w:left="2300"/>
        <w:spacing w:after="0"/>
        <w:rPr>
          <w:sz w:val="20"/>
          <w:szCs w:val="20"/>
          <w:color w:val="auto"/>
        </w:rPr>
      </w:pPr>
      <w:r>
        <w:rPr>
          <w:rFonts w:ascii="Courier New" w:cs="Courier New" w:eastAsia="Courier New" w:hAnsi="Courier New"/>
          <w:sz w:val="15"/>
          <w:szCs w:val="15"/>
          <w:color w:val="auto"/>
        </w:rPr>
        <w:t>5</w:t>
      </w:r>
    </w:p>
    <w:p>
      <w:pPr>
        <w:spacing w:after="0" w:line="350"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CREDIT LYONNAIS [New York Branch]</w:t>
      </w:r>
    </w:p>
    <w:p>
      <w:pPr>
        <w:spacing w:after="0" w:line="177" w:lineRule="exact"/>
        <w:rPr>
          <w:sz w:val="20"/>
          <w:szCs w:val="20"/>
          <w:color w:val="auto"/>
        </w:rPr>
      </w:pPr>
    </w:p>
    <w:p>
      <w:pPr>
        <w:ind w:left="860"/>
        <w:spacing w:after="0"/>
        <w:tabs>
          <w:tab w:leader="none" w:pos="1200" w:val="left"/>
        </w:tabs>
        <w:rPr>
          <w:sz w:val="20"/>
          <w:szCs w:val="20"/>
          <w:color w:val="auto"/>
        </w:rPr>
      </w:pPr>
      <w:r>
        <w:rPr>
          <w:rFonts w:ascii="Courier New" w:cs="Courier New" w:eastAsia="Courier New" w:hAnsi="Courier New"/>
          <w:sz w:val="15"/>
          <w:szCs w:val="15"/>
          <w:color w:val="auto"/>
        </w:rPr>
        <w:t>By</w:t>
        <w:tab/>
        <w:t>/s/ Lee E. Greve</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220"/>
        <w:spacing w:after="0"/>
        <w:tabs>
          <w:tab w:leader="none" w:pos="1920" w:val="left"/>
        </w:tabs>
        <w:rPr>
          <w:sz w:val="20"/>
          <w:szCs w:val="20"/>
          <w:color w:val="auto"/>
        </w:rPr>
      </w:pPr>
      <w:r>
        <w:rPr>
          <w:rFonts w:ascii="Courier New" w:cs="Courier New" w:eastAsia="Courier New" w:hAnsi="Courier New"/>
          <w:sz w:val="15"/>
          <w:szCs w:val="15"/>
          <w:color w:val="auto"/>
        </w:rPr>
        <w:t>Title:</w:t>
        <w:tab/>
        <w:t>Lee E. Greeve</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First Vice President</w:t>
      </w:r>
    </w:p>
    <w:p>
      <w:pPr>
        <w:spacing w:after="0" w:line="350"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FLEET NATIONAL BANK</w:t>
      </w:r>
    </w:p>
    <w:p>
      <w:pPr>
        <w:spacing w:after="0" w:line="177" w:lineRule="exact"/>
        <w:rPr>
          <w:sz w:val="20"/>
          <w:szCs w:val="20"/>
          <w:color w:val="auto"/>
        </w:rPr>
      </w:pPr>
    </w:p>
    <w:p>
      <w:pPr>
        <w:ind w:left="860"/>
        <w:spacing w:after="0"/>
        <w:tabs>
          <w:tab w:leader="none" w:pos="1200" w:val="left"/>
        </w:tabs>
        <w:rPr>
          <w:sz w:val="20"/>
          <w:szCs w:val="20"/>
          <w:color w:val="auto"/>
        </w:rPr>
      </w:pPr>
      <w:r>
        <w:rPr>
          <w:rFonts w:ascii="Courier New" w:cs="Courier New" w:eastAsia="Courier New" w:hAnsi="Courier New"/>
          <w:sz w:val="15"/>
          <w:szCs w:val="15"/>
          <w:color w:val="auto"/>
        </w:rPr>
        <w:t>By</w:t>
        <w:tab/>
        <w:t>/s/ Mary M. Barcus</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220"/>
        <w:spacing w:after="0"/>
        <w:tabs>
          <w:tab w:leader="none" w:pos="1920" w:val="left"/>
        </w:tabs>
        <w:rPr>
          <w:sz w:val="20"/>
          <w:szCs w:val="20"/>
          <w:color w:val="auto"/>
        </w:rPr>
      </w:pPr>
      <w:r>
        <w:rPr>
          <w:rFonts w:ascii="Courier New" w:cs="Courier New" w:eastAsia="Courier New" w:hAnsi="Courier New"/>
          <w:sz w:val="15"/>
          <w:szCs w:val="15"/>
          <w:color w:val="auto"/>
        </w:rPr>
        <w:t>Title:</w:t>
        <w:tab/>
        <w:t>Senior Vice President</w:t>
      </w:r>
    </w:p>
    <w:p>
      <w:pPr>
        <w:spacing w:after="0" w:line="350"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THE ROYAL BANK OF SCOTLAND PLC</w:t>
      </w:r>
    </w:p>
    <w:p>
      <w:pPr>
        <w:spacing w:after="0" w:line="350" w:lineRule="exact"/>
        <w:rPr>
          <w:sz w:val="20"/>
          <w:szCs w:val="20"/>
          <w:color w:val="auto"/>
        </w:rPr>
      </w:pPr>
    </w:p>
    <w:p>
      <w:pPr>
        <w:ind w:left="860"/>
        <w:spacing w:after="0"/>
        <w:tabs>
          <w:tab w:leader="none" w:pos="1200" w:val="left"/>
        </w:tabs>
        <w:rPr>
          <w:sz w:val="20"/>
          <w:szCs w:val="20"/>
          <w:color w:val="auto"/>
        </w:rPr>
      </w:pPr>
      <w:r>
        <w:rPr>
          <w:rFonts w:ascii="Courier New" w:cs="Courier New" w:eastAsia="Courier New" w:hAnsi="Courier New"/>
          <w:sz w:val="15"/>
          <w:szCs w:val="15"/>
          <w:color w:val="auto"/>
        </w:rPr>
        <w:t>By</w:t>
        <w:tab/>
        <w:t>/s/ Julian Dakin</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220"/>
        <w:spacing w:after="0"/>
        <w:tabs>
          <w:tab w:leader="none" w:pos="1920" w:val="left"/>
        </w:tabs>
        <w:rPr>
          <w:sz w:val="20"/>
          <w:szCs w:val="20"/>
          <w:color w:val="auto"/>
        </w:rPr>
      </w:pPr>
      <w:r>
        <w:rPr>
          <w:rFonts w:ascii="Courier New" w:cs="Courier New" w:eastAsia="Courier New" w:hAnsi="Courier New"/>
          <w:sz w:val="15"/>
          <w:szCs w:val="15"/>
          <w:color w:val="auto"/>
        </w:rPr>
        <w:t>Title:</w:t>
        <w:tab/>
        <w:t>Senior Vice President</w:t>
      </w:r>
    </w:p>
    <w:p>
      <w:pPr>
        <w:spacing w:after="0" w:line="350"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Lenders</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BANCA NAZIONALE DEL LAVORO S.p.A</w:t>
      </w:r>
    </w:p>
    <w:p>
      <w:pPr>
        <w:spacing w:after="0" w:line="350"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/s/ Francesco Di Mario</w:t>
      </w:r>
    </w:p>
    <w:p>
      <w:pPr>
        <w:spacing w:after="0" w:line="3" w:lineRule="exact"/>
        <w:rPr>
          <w:sz w:val="20"/>
          <w:szCs w:val="20"/>
          <w:color w:val="auto"/>
        </w:rPr>
      </w:pPr>
    </w:p>
    <w:p>
      <w:pPr>
        <w:ind w:left="860"/>
        <w:spacing w:after="0"/>
        <w:tabs>
          <w:tab w:leader="none" w:pos="1200" w:val="left"/>
        </w:tabs>
        <w:rPr>
          <w:sz w:val="20"/>
          <w:szCs w:val="20"/>
          <w:color w:val="auto"/>
        </w:rPr>
      </w:pPr>
      <w:r>
        <w:rPr>
          <w:rFonts w:ascii="Courier New" w:cs="Courier New" w:eastAsia="Courier New" w:hAnsi="Courier New"/>
          <w:sz w:val="15"/>
          <w:szCs w:val="15"/>
          <w:color w:val="auto"/>
        </w:rPr>
        <w:t>By</w:t>
        <w:tab/>
        <w:t>Francesco Di Mario</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220"/>
        <w:spacing w:after="0"/>
        <w:tabs>
          <w:tab w:leader="none" w:pos="1920" w:val="left"/>
        </w:tabs>
        <w:rPr>
          <w:sz w:val="20"/>
          <w:szCs w:val="20"/>
          <w:color w:val="auto"/>
        </w:rPr>
      </w:pPr>
      <w:r>
        <w:rPr>
          <w:rFonts w:ascii="Courier New" w:cs="Courier New" w:eastAsia="Courier New" w:hAnsi="Courier New"/>
          <w:sz w:val="15"/>
          <w:szCs w:val="15"/>
          <w:color w:val="auto"/>
        </w:rPr>
        <w:t>Title:</w:t>
        <w:tab/>
        <w:t>Vice President</w:t>
      </w:r>
    </w:p>
    <w:p>
      <w:pPr>
        <w:spacing w:after="0" w:line="350"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/s/ Leonardo Valentini</w:t>
      </w:r>
    </w:p>
    <w:p>
      <w:pPr>
        <w:spacing w:after="0" w:line="3" w:lineRule="exact"/>
        <w:rPr>
          <w:sz w:val="20"/>
          <w:szCs w:val="20"/>
          <w:color w:val="auto"/>
        </w:rPr>
      </w:pPr>
    </w:p>
    <w:p>
      <w:pPr>
        <w:ind w:left="860"/>
        <w:spacing w:after="0"/>
        <w:tabs>
          <w:tab w:leader="none" w:pos="1200" w:val="left"/>
        </w:tabs>
        <w:rPr>
          <w:sz w:val="20"/>
          <w:szCs w:val="20"/>
          <w:color w:val="auto"/>
        </w:rPr>
      </w:pPr>
      <w:r>
        <w:rPr>
          <w:rFonts w:ascii="Courier New" w:cs="Courier New" w:eastAsia="Courier New" w:hAnsi="Courier New"/>
          <w:sz w:val="15"/>
          <w:szCs w:val="15"/>
          <w:color w:val="auto"/>
        </w:rPr>
        <w:t>By</w:t>
        <w:tab/>
        <w:t>Leonardo Valentini</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220"/>
        <w:spacing w:after="0"/>
        <w:tabs>
          <w:tab w:leader="none" w:pos="1920" w:val="left"/>
        </w:tabs>
        <w:rPr>
          <w:sz w:val="20"/>
          <w:szCs w:val="20"/>
          <w:color w:val="auto"/>
        </w:rPr>
      </w:pPr>
      <w:r>
        <w:rPr>
          <w:rFonts w:ascii="Courier New" w:cs="Courier New" w:eastAsia="Courier New" w:hAnsi="Courier New"/>
          <w:sz w:val="15"/>
          <w:szCs w:val="15"/>
          <w:color w:val="auto"/>
        </w:rPr>
        <w:t>Title:</w:t>
        <w:tab/>
        <w:t>First Vice President</w:t>
      </w:r>
    </w:p>
    <w:p>
      <w:pPr>
        <w:spacing w:after="0" w:line="350"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BANK OF TOKYO-MITSUBISHI, LTD.,</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CHICAGO BRANCH</w:t>
      </w:r>
    </w:p>
    <w:p>
      <w:pPr>
        <w:spacing w:after="0" w:line="350" w:lineRule="exact"/>
        <w:rPr>
          <w:sz w:val="20"/>
          <w:szCs w:val="20"/>
          <w:color w:val="auto"/>
        </w:rPr>
      </w:pPr>
    </w:p>
    <w:p>
      <w:pPr>
        <w:ind w:left="860"/>
        <w:spacing w:after="0"/>
        <w:tabs>
          <w:tab w:leader="none" w:pos="1200" w:val="left"/>
        </w:tabs>
        <w:rPr>
          <w:sz w:val="20"/>
          <w:szCs w:val="20"/>
          <w:color w:val="auto"/>
        </w:rPr>
      </w:pPr>
      <w:r>
        <w:rPr>
          <w:rFonts w:ascii="Courier New" w:cs="Courier New" w:eastAsia="Courier New" w:hAnsi="Courier New"/>
          <w:sz w:val="15"/>
          <w:szCs w:val="15"/>
          <w:color w:val="auto"/>
        </w:rPr>
        <w:t>By</w:t>
        <w:tab/>
        <w:t>/s/ Shinichiro Munechika</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220"/>
        <w:spacing w:after="0"/>
        <w:tabs>
          <w:tab w:leader="none" w:pos="1920" w:val="left"/>
        </w:tabs>
        <w:rPr>
          <w:sz w:val="20"/>
          <w:szCs w:val="20"/>
          <w:color w:val="auto"/>
        </w:rPr>
      </w:pPr>
      <w:r>
        <w:rPr>
          <w:rFonts w:ascii="Courier New" w:cs="Courier New" w:eastAsia="Courier New" w:hAnsi="Courier New"/>
          <w:sz w:val="15"/>
          <w:szCs w:val="15"/>
          <w:color w:val="auto"/>
        </w:rPr>
        <w:t>Title:</w:t>
        <w:tab/>
        <w:t>Shinichiro Munechika</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Deputy General Manager</w:t>
      </w:r>
    </w:p>
    <w:p>
      <w:pPr>
        <w:spacing w:after="0" w:line="350"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DRESDNER BANK AG, NEW YORK AND GRAND CAYMAN</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BRANCHES</w:t>
      </w:r>
    </w:p>
    <w:p>
      <w:pPr>
        <w:spacing w:after="0" w:line="350" w:lineRule="exact"/>
        <w:rPr>
          <w:sz w:val="20"/>
          <w:szCs w:val="20"/>
          <w:color w:val="auto"/>
        </w:rPr>
      </w:pPr>
    </w:p>
    <w:p>
      <w:pPr>
        <w:ind w:left="860"/>
        <w:spacing w:after="0"/>
        <w:tabs>
          <w:tab w:leader="none" w:pos="1200" w:val="left"/>
        </w:tabs>
        <w:rPr>
          <w:sz w:val="20"/>
          <w:szCs w:val="20"/>
          <w:color w:val="auto"/>
        </w:rPr>
      </w:pPr>
      <w:r>
        <w:rPr>
          <w:rFonts w:ascii="Courier New" w:cs="Courier New" w:eastAsia="Courier New" w:hAnsi="Courier New"/>
          <w:sz w:val="15"/>
          <w:szCs w:val="15"/>
          <w:color w:val="auto"/>
        </w:rPr>
        <w:t>By</w:t>
        <w:tab/>
        <w:t>/s/ Frau Mai</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220"/>
        <w:spacing w:after="0"/>
        <w:tabs>
          <w:tab w:leader="none" w:pos="1920" w:val="left"/>
        </w:tabs>
        <w:rPr>
          <w:sz w:val="20"/>
          <w:szCs w:val="20"/>
          <w:color w:val="auto"/>
        </w:rPr>
      </w:pPr>
      <w:r>
        <w:rPr>
          <w:rFonts w:ascii="Courier New" w:cs="Courier New" w:eastAsia="Courier New" w:hAnsi="Courier New"/>
          <w:sz w:val="15"/>
          <w:szCs w:val="15"/>
          <w:color w:val="auto"/>
        </w:rPr>
        <w:t>Title:</w:t>
        <w:tab/>
        <w:t>Frau Mai</w:t>
      </w:r>
    </w:p>
    <w:p>
      <w:pPr>
        <w:spacing w:after="0" w:line="350" w:lineRule="exact"/>
        <w:rPr>
          <w:sz w:val="20"/>
          <w:szCs w:val="20"/>
          <w:color w:val="auto"/>
        </w:rPr>
      </w:pPr>
    </w:p>
    <w:p>
      <w:pPr>
        <w:ind w:left="860"/>
        <w:spacing w:after="0"/>
        <w:tabs>
          <w:tab w:leader="none" w:pos="1200" w:val="left"/>
        </w:tabs>
        <w:rPr>
          <w:sz w:val="20"/>
          <w:szCs w:val="20"/>
          <w:color w:val="auto"/>
        </w:rPr>
      </w:pPr>
      <w:r>
        <w:rPr>
          <w:rFonts w:ascii="Courier New" w:cs="Courier New" w:eastAsia="Courier New" w:hAnsi="Courier New"/>
          <w:sz w:val="15"/>
          <w:szCs w:val="15"/>
          <w:color w:val="auto"/>
        </w:rPr>
        <w:t>By</w:t>
        <w:tab/>
        <w:t>/s/ Zierold</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220"/>
        <w:spacing w:after="0"/>
        <w:tabs>
          <w:tab w:leader="none" w:pos="1920" w:val="left"/>
        </w:tabs>
        <w:rPr>
          <w:sz w:val="20"/>
          <w:szCs w:val="20"/>
          <w:color w:val="auto"/>
        </w:rPr>
      </w:pPr>
      <w:r>
        <w:rPr>
          <w:rFonts w:ascii="Courier New" w:cs="Courier New" w:eastAsia="Courier New" w:hAnsi="Courier New"/>
          <w:sz w:val="15"/>
          <w:szCs w:val="15"/>
          <w:color w:val="auto"/>
        </w:rPr>
        <w:t>Title:</w:t>
        <w:tab/>
        <w:t>Zierold</w:t>
      </w:r>
    </w:p>
    <w:p>
      <w:pPr>
        <w:sectPr>
          <w:pgSz w:w="11900" w:h="16838" w:orient="portrait"/>
          <w:cols w:equalWidth="0" w:num="1">
            <w:col w:w="9019"/>
          </w:cols>
          <w:pgMar w:left="1440" w:top="464" w:right="1440" w:bottom="1440" w:gutter="0" w:footer="0" w:header="0"/>
        </w:sectPr>
      </w:pPr>
    </w:p>
    <w:bookmarkStart w:id="27" w:name="page28"/>
    <w:bookmarkEnd w:id="27"/>
    <w:tbl>
      <w:tblPr>
        <w:tblLayout w:type="fixed"/>
        <w:tblInd w:w="860" w:type="dxa"/>
        <w:tblCellMar>
          <w:top w:w="0" w:type="dxa"/>
          <w:left w:w="0" w:type="dxa"/>
          <w:bottom w:w="0" w:type="dxa"/>
          <w:right w:w="0" w:type="dxa"/>
        </w:tblCellMar>
      </w:tblPr>
      <w:tr>
        <w:trPr>
          <w:trHeight w:val="170"/>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20" w:type="dxa"/>
            <w:vAlign w:val="bottom"/>
          </w:tcPr>
          <w:p>
            <w:pPr>
              <w:ind w:left="100"/>
              <w:spacing w:after="0"/>
              <w:rPr>
                <w:sz w:val="20"/>
                <w:szCs w:val="20"/>
                <w:color w:val="auto"/>
              </w:rPr>
            </w:pPr>
            <w:r>
              <w:rPr>
                <w:rFonts w:ascii="Courier New" w:cs="Courier New" w:eastAsia="Courier New" w:hAnsi="Courier New"/>
                <w:sz w:val="15"/>
                <w:szCs w:val="15"/>
                <w:color w:val="auto"/>
              </w:rPr>
              <w:t>6</w:t>
            </w:r>
          </w:p>
        </w:tc>
      </w:tr>
      <w:tr>
        <w:trPr>
          <w:trHeight w:val="347"/>
        </w:trPr>
        <w:tc>
          <w:tcPr>
            <w:tcW w:w="4060" w:type="dxa"/>
            <w:vAlign w:val="bottom"/>
            <w:gridSpan w:val="3"/>
          </w:tcPr>
          <w:p>
            <w:pPr>
              <w:spacing w:after="0"/>
              <w:rPr>
                <w:sz w:val="20"/>
                <w:szCs w:val="20"/>
                <w:color w:val="auto"/>
              </w:rPr>
            </w:pPr>
            <w:r>
              <w:rPr>
                <w:rFonts w:ascii="Courier New" w:cs="Courier New" w:eastAsia="Courier New" w:hAnsi="Courier New"/>
                <w:sz w:val="15"/>
                <w:szCs w:val="15"/>
                <w:color w:val="auto"/>
              </w:rPr>
              <w:t>U.S. BANK NATIONAL ASSOCIATION</w:t>
            </w:r>
          </w:p>
        </w:tc>
      </w:tr>
      <w:tr>
        <w:trPr>
          <w:trHeight w:val="520"/>
        </w:trPr>
        <w:tc>
          <w:tcPr>
            <w:tcW w:w="68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3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 Caroline V. Krider</w:t>
            </w:r>
          </w:p>
        </w:tc>
      </w:tr>
      <w:tr>
        <w:trPr>
          <w:trHeight w:val="173"/>
        </w:trPr>
        <w:tc>
          <w:tcPr>
            <w:tcW w:w="680" w:type="dxa"/>
            <w:vAlign w:val="bottom"/>
          </w:tcPr>
          <w:p>
            <w:pPr>
              <w:spacing w:after="0"/>
              <w:rPr>
                <w:sz w:val="15"/>
                <w:szCs w:val="15"/>
                <w:color w:val="auto"/>
              </w:rPr>
            </w:pPr>
          </w:p>
        </w:tc>
        <w:tc>
          <w:tcPr>
            <w:tcW w:w="3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8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Title:</w:t>
            </w:r>
          </w:p>
        </w:tc>
        <w:tc>
          <w:tcPr>
            <w:tcW w:w="2620" w:type="dxa"/>
            <w:vAlign w:val="bottom"/>
          </w:tcPr>
          <w:p>
            <w:pPr>
              <w:spacing w:after="0"/>
              <w:rPr>
                <w:sz w:val="20"/>
                <w:szCs w:val="20"/>
                <w:color w:val="auto"/>
              </w:rPr>
            </w:pPr>
            <w:r>
              <w:rPr>
                <w:rFonts w:ascii="Courier New" w:cs="Courier New" w:eastAsia="Courier New" w:hAnsi="Courier New"/>
                <w:sz w:val="15"/>
                <w:szCs w:val="15"/>
                <w:color w:val="auto"/>
              </w:rPr>
              <w:t>Caroline V. Krider</w:t>
            </w:r>
          </w:p>
        </w:tc>
      </w:tr>
      <w:tr>
        <w:trPr>
          <w:trHeight w:val="173"/>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20" w:type="dxa"/>
            <w:vAlign w:val="bottom"/>
          </w:tcPr>
          <w:p>
            <w:pPr>
              <w:spacing w:after="0"/>
              <w:rPr>
                <w:sz w:val="20"/>
                <w:szCs w:val="20"/>
                <w:color w:val="auto"/>
              </w:rPr>
            </w:pPr>
            <w:r>
              <w:rPr>
                <w:rFonts w:ascii="Courier New" w:cs="Courier New" w:eastAsia="Courier New" w:hAnsi="Courier New"/>
                <w:sz w:val="15"/>
                <w:szCs w:val="15"/>
                <w:color w:val="auto"/>
              </w:rPr>
              <w:t>Vice President &amp; Sr. Lender</w:t>
            </w:r>
          </w:p>
        </w:tc>
      </w:tr>
      <w:tr>
        <w:trPr>
          <w:trHeight w:val="694"/>
        </w:trPr>
        <w:tc>
          <w:tcPr>
            <w:tcW w:w="4060" w:type="dxa"/>
            <w:vAlign w:val="bottom"/>
            <w:gridSpan w:val="3"/>
          </w:tcPr>
          <w:p>
            <w:pPr>
              <w:spacing w:after="0"/>
              <w:rPr>
                <w:sz w:val="20"/>
                <w:szCs w:val="20"/>
                <w:color w:val="auto"/>
              </w:rPr>
            </w:pPr>
            <w:r>
              <w:rPr>
                <w:rFonts w:ascii="Courier New" w:cs="Courier New" w:eastAsia="Courier New" w:hAnsi="Courier New"/>
                <w:sz w:val="15"/>
                <w:szCs w:val="15"/>
                <w:color w:val="auto"/>
              </w:rPr>
              <w:t>M&amp;I MARSHALL AND ILSLEY BANK</w:t>
            </w:r>
          </w:p>
        </w:tc>
      </w:tr>
      <w:tr>
        <w:trPr>
          <w:trHeight w:val="520"/>
        </w:trPr>
        <w:tc>
          <w:tcPr>
            <w:tcW w:w="68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3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 Thomas F. Bickelhaupt</w:t>
            </w:r>
          </w:p>
        </w:tc>
      </w:tr>
      <w:tr>
        <w:trPr>
          <w:trHeight w:val="173"/>
        </w:trPr>
        <w:tc>
          <w:tcPr>
            <w:tcW w:w="680" w:type="dxa"/>
            <w:vAlign w:val="bottom"/>
          </w:tcPr>
          <w:p>
            <w:pPr>
              <w:spacing w:after="0"/>
              <w:rPr>
                <w:sz w:val="15"/>
                <w:szCs w:val="15"/>
                <w:color w:val="auto"/>
              </w:rPr>
            </w:pPr>
          </w:p>
        </w:tc>
        <w:tc>
          <w:tcPr>
            <w:tcW w:w="3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8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Title:</w:t>
            </w:r>
          </w:p>
        </w:tc>
        <w:tc>
          <w:tcPr>
            <w:tcW w:w="2620" w:type="dxa"/>
            <w:vAlign w:val="bottom"/>
          </w:tcPr>
          <w:p>
            <w:pPr>
              <w:spacing w:after="0"/>
              <w:rPr>
                <w:sz w:val="20"/>
                <w:szCs w:val="20"/>
                <w:color w:val="auto"/>
              </w:rPr>
            </w:pPr>
            <w:r>
              <w:rPr>
                <w:rFonts w:ascii="Courier New" w:cs="Courier New" w:eastAsia="Courier New" w:hAnsi="Courier New"/>
                <w:sz w:val="15"/>
                <w:szCs w:val="15"/>
                <w:color w:val="auto"/>
              </w:rPr>
              <w:t>VP</w:t>
            </w:r>
          </w:p>
        </w:tc>
      </w:tr>
      <w:tr>
        <w:trPr>
          <w:trHeight w:val="520"/>
        </w:trPr>
        <w:tc>
          <w:tcPr>
            <w:tcW w:w="68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3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 Ronald J. Carey</w:t>
            </w:r>
          </w:p>
        </w:tc>
      </w:tr>
      <w:tr>
        <w:trPr>
          <w:trHeight w:val="173"/>
        </w:trPr>
        <w:tc>
          <w:tcPr>
            <w:tcW w:w="680" w:type="dxa"/>
            <w:vAlign w:val="bottom"/>
          </w:tcPr>
          <w:p>
            <w:pPr>
              <w:spacing w:after="0"/>
              <w:rPr>
                <w:sz w:val="15"/>
                <w:szCs w:val="15"/>
                <w:color w:val="auto"/>
              </w:rPr>
            </w:pPr>
          </w:p>
        </w:tc>
        <w:tc>
          <w:tcPr>
            <w:tcW w:w="3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8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Title:</w:t>
            </w:r>
          </w:p>
        </w:tc>
        <w:tc>
          <w:tcPr>
            <w:tcW w:w="2620" w:type="dxa"/>
            <w:vAlign w:val="bottom"/>
          </w:tcPr>
          <w:p>
            <w:pPr>
              <w:spacing w:after="0"/>
              <w:rPr>
                <w:sz w:val="20"/>
                <w:szCs w:val="20"/>
                <w:color w:val="auto"/>
              </w:rPr>
            </w:pPr>
            <w:r>
              <w:rPr>
                <w:rFonts w:ascii="Courier New" w:cs="Courier New" w:eastAsia="Courier New" w:hAnsi="Courier New"/>
                <w:sz w:val="15"/>
                <w:szCs w:val="15"/>
                <w:color w:val="auto"/>
              </w:rPr>
              <w:t>VP</w:t>
            </w:r>
          </w:p>
        </w:tc>
      </w:tr>
      <w:tr>
        <w:trPr>
          <w:trHeight w:val="520"/>
        </w:trPr>
        <w:tc>
          <w:tcPr>
            <w:tcW w:w="680" w:type="dxa"/>
            <w:vAlign w:val="bottom"/>
          </w:tcPr>
          <w:p>
            <w:pPr>
              <w:spacing w:after="0"/>
              <w:rPr>
                <w:sz w:val="20"/>
                <w:szCs w:val="20"/>
                <w:color w:val="auto"/>
              </w:rPr>
            </w:pPr>
            <w:r>
              <w:rPr>
                <w:rFonts w:ascii="Courier New" w:cs="Courier New" w:eastAsia="Courier New" w:hAnsi="Courier New"/>
                <w:sz w:val="15"/>
                <w:szCs w:val="15"/>
                <w:color w:val="auto"/>
              </w:rPr>
              <w:t>SOCIETE</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GENERALE</w:t>
            </w:r>
          </w:p>
        </w:tc>
        <w:tc>
          <w:tcPr>
            <w:tcW w:w="2620" w:type="dxa"/>
            <w:vAlign w:val="bottom"/>
          </w:tcPr>
          <w:p>
            <w:pPr>
              <w:spacing w:after="0"/>
              <w:rPr>
                <w:sz w:val="24"/>
                <w:szCs w:val="24"/>
                <w:color w:val="auto"/>
              </w:rPr>
            </w:pPr>
          </w:p>
        </w:tc>
      </w:tr>
      <w:tr>
        <w:trPr>
          <w:trHeight w:val="520"/>
        </w:trPr>
        <w:tc>
          <w:tcPr>
            <w:tcW w:w="68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3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 Elizabeth R. Peck</w:t>
            </w:r>
          </w:p>
        </w:tc>
      </w:tr>
      <w:tr>
        <w:trPr>
          <w:trHeight w:val="173"/>
        </w:trPr>
        <w:tc>
          <w:tcPr>
            <w:tcW w:w="680" w:type="dxa"/>
            <w:vAlign w:val="bottom"/>
          </w:tcPr>
          <w:p>
            <w:pPr>
              <w:spacing w:after="0"/>
              <w:rPr>
                <w:sz w:val="15"/>
                <w:szCs w:val="15"/>
                <w:color w:val="auto"/>
              </w:rPr>
            </w:pPr>
          </w:p>
        </w:tc>
        <w:tc>
          <w:tcPr>
            <w:tcW w:w="3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8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Title:</w:t>
            </w:r>
          </w:p>
        </w:tc>
        <w:tc>
          <w:tcPr>
            <w:tcW w:w="2620" w:type="dxa"/>
            <w:vAlign w:val="bottom"/>
          </w:tcPr>
          <w:p>
            <w:pPr>
              <w:spacing w:after="0"/>
              <w:rPr>
                <w:sz w:val="20"/>
                <w:szCs w:val="20"/>
                <w:color w:val="auto"/>
              </w:rPr>
            </w:pPr>
            <w:r>
              <w:rPr>
                <w:rFonts w:ascii="Courier New" w:cs="Courier New" w:eastAsia="Courier New" w:hAnsi="Courier New"/>
                <w:sz w:val="15"/>
                <w:szCs w:val="15"/>
                <w:color w:val="auto"/>
              </w:rPr>
              <w:t>Director</w:t>
            </w:r>
          </w:p>
        </w:tc>
      </w:tr>
    </w:tbl>
    <w:p>
      <w:pPr>
        <w:spacing w:after="0" w:line="350"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UNICREDITO ITALIANO</w:t>
      </w:r>
    </w:p>
    <w:p>
      <w:pPr>
        <w:sectPr>
          <w:pgSz w:w="11900" w:h="16838" w:orient="portrait"/>
          <w:cols w:equalWidth="0" w:num="1">
            <w:col w:w="9019"/>
          </w:cols>
          <w:pgMar w:left="1440" w:top="464" w:right="1440" w:bottom="1440" w:gutter="0" w:footer="0" w:header="0"/>
        </w:sectPr>
      </w:pPr>
    </w:p>
    <w:p>
      <w:pPr>
        <w:spacing w:after="0" w:line="350"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tabs>
          <w:tab w:leader="none" w:pos="2240" w:val="left"/>
        </w:tabs>
        <w:rPr>
          <w:sz w:val="20"/>
          <w:szCs w:val="20"/>
          <w:color w:val="auto"/>
        </w:rPr>
      </w:pPr>
      <w:r>
        <w:rPr>
          <w:rFonts w:ascii="Courier New" w:cs="Courier New" w:eastAsia="Courier New" w:hAnsi="Courier New"/>
          <w:sz w:val="15"/>
          <w:szCs w:val="15"/>
          <w:color w:val="auto"/>
        </w:rPr>
        <w:t>/s/ Charles Michael</w:t>
      </w:r>
      <w:r>
        <w:rPr>
          <w:sz w:val="20"/>
          <w:szCs w:val="20"/>
          <w:color w:val="auto"/>
        </w:rPr>
        <w:tab/>
      </w:r>
      <w:r>
        <w:rPr>
          <w:rFonts w:ascii="Courier New" w:cs="Courier New" w:eastAsia="Courier New" w:hAnsi="Courier New"/>
          <w:sz w:val="15"/>
          <w:szCs w:val="15"/>
          <w:color w:val="auto"/>
        </w:rPr>
        <w:t>/s/ Saiyed A. Abbas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tabs>
          <w:tab w:leader="none" w:pos="2240" w:val="left"/>
        </w:tabs>
        <w:rPr>
          <w:sz w:val="20"/>
          <w:szCs w:val="20"/>
          <w:color w:val="auto"/>
        </w:rPr>
      </w:pPr>
      <w:r>
        <w:rPr>
          <w:rFonts w:ascii="Courier New" w:cs="Courier New" w:eastAsia="Courier New" w:hAnsi="Courier New"/>
          <w:sz w:val="15"/>
          <w:szCs w:val="15"/>
          <w:color w:val="auto"/>
        </w:rPr>
        <w:t>Title: Charles Michael</w:t>
        <w:tab/>
        <w:t>Saiyed A. Abbas</w:t>
      </w:r>
    </w:p>
    <w:p>
      <w:pPr>
        <w:spacing w:after="0" w:line="3" w:lineRule="exact"/>
        <w:rPr>
          <w:sz w:val="20"/>
          <w:szCs w:val="20"/>
          <w:color w:val="auto"/>
        </w:rPr>
      </w:pPr>
    </w:p>
    <w:p>
      <w:pPr>
        <w:ind w:left="640"/>
        <w:spacing w:after="0"/>
        <w:tabs>
          <w:tab w:leader="none" w:pos="2240" w:val="left"/>
        </w:tabs>
        <w:rPr>
          <w:sz w:val="20"/>
          <w:szCs w:val="20"/>
          <w:color w:val="auto"/>
        </w:rPr>
      </w:pPr>
      <w:r>
        <w:rPr>
          <w:rFonts w:ascii="Courier New" w:cs="Courier New" w:eastAsia="Courier New" w:hAnsi="Courier New"/>
          <w:sz w:val="15"/>
          <w:szCs w:val="15"/>
          <w:color w:val="auto"/>
        </w:rPr>
        <w:t>Vice President</w:t>
      </w:r>
      <w:r>
        <w:rPr>
          <w:sz w:val="20"/>
          <w:szCs w:val="20"/>
          <w:color w:val="auto"/>
        </w:rPr>
        <w:tab/>
      </w:r>
      <w:r>
        <w:rPr>
          <w:rFonts w:ascii="Courier New" w:cs="Courier New" w:eastAsia="Courier New" w:hAnsi="Courier New"/>
          <w:sz w:val="14"/>
          <w:szCs w:val="14"/>
          <w:color w:val="auto"/>
        </w:rPr>
        <w:t>Vice President</w:t>
      </w:r>
    </w:p>
    <w:p>
      <w:pPr>
        <w:sectPr>
          <w:pgSz w:w="11900" w:h="16838" w:orient="portrait"/>
          <w:cols w:equalWidth="0" w:num="2">
            <w:col w:w="1040" w:space="360"/>
            <w:col w:w="7619"/>
          </w:cols>
          <w:pgMar w:left="1440" w:top="464" w:right="1440" w:bottom="1440" w:gutter="0" w:footer="0" w:header="0"/>
          <w:type w:val="continuous"/>
        </w:sectPr>
      </w:pPr>
    </w:p>
    <w:bookmarkStart w:id="28" w:name="page29"/>
    <w:bookmarkEnd w:id="28"/>
    <w:p>
      <w:pPr>
        <w:ind w:left="1708"/>
        <w:spacing w:after="0"/>
        <w:rPr>
          <w:sz w:val="20"/>
          <w:szCs w:val="20"/>
          <w:color w:val="auto"/>
        </w:rPr>
      </w:pPr>
      <w:r>
        <w:rPr>
          <w:rFonts w:ascii="Courier New" w:cs="Courier New" w:eastAsia="Courier New" w:hAnsi="Courier New"/>
          <w:sz w:val="15"/>
          <w:szCs w:val="15"/>
          <w:color w:val="auto"/>
        </w:rPr>
        <w:t>SCHEDULE I TO THE AMENDMENT AND RESTATEMENT</w:t>
      </w:r>
    </w:p>
    <w:p>
      <w:pPr>
        <w:spacing w:after="0" w:line="350" w:lineRule="exact"/>
        <w:rPr>
          <w:sz w:val="20"/>
          <w:szCs w:val="20"/>
          <w:color w:val="auto"/>
        </w:rPr>
      </w:pPr>
    </w:p>
    <w:p>
      <w:pPr>
        <w:jc w:val="center"/>
        <w:ind w:right="4312"/>
        <w:spacing w:after="0"/>
        <w:rPr>
          <w:sz w:val="20"/>
          <w:szCs w:val="20"/>
          <w:color w:val="auto"/>
        </w:rPr>
      </w:pPr>
      <w:r>
        <w:rPr>
          <w:rFonts w:ascii="Courier New" w:cs="Courier New" w:eastAsia="Courier New" w:hAnsi="Courier New"/>
          <w:sz w:val="15"/>
          <w:szCs w:val="15"/>
          <w:color w:val="auto"/>
        </w:rPr>
        <w:t>SCHEDULE I</w:t>
      </w:r>
    </w:p>
    <w:p>
      <w:pPr>
        <w:spacing w:after="0" w:line="3" w:lineRule="exact"/>
        <w:rPr>
          <w:sz w:val="20"/>
          <w:szCs w:val="20"/>
          <w:color w:val="auto"/>
        </w:rPr>
      </w:pPr>
    </w:p>
    <w:p>
      <w:pPr>
        <w:jc w:val="center"/>
        <w:ind w:right="4312"/>
        <w:spacing w:after="0"/>
        <w:rPr>
          <w:sz w:val="20"/>
          <w:szCs w:val="20"/>
          <w:color w:val="auto"/>
        </w:rPr>
      </w:pPr>
      <w:r>
        <w:rPr>
          <w:rFonts w:ascii="Courier New" w:cs="Courier New" w:eastAsia="Courier New" w:hAnsi="Courier New"/>
          <w:sz w:val="15"/>
          <w:szCs w:val="15"/>
          <w:color w:val="auto"/>
        </w:rPr>
        <w:t>APPLICABLE LENDING OFFICES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 ------------------------------------ ----------------------------------</w:t>
      </w:r>
    </w:p>
    <w:p>
      <w:pPr>
        <w:spacing w:after="0" w:line="14" w:lineRule="exact"/>
        <w:rPr>
          <w:sz w:val="20"/>
          <w:szCs w:val="20"/>
          <w:color w:val="auto"/>
        </w:rPr>
      </w:pPr>
    </w:p>
    <w:p>
      <w:pPr>
        <w:ind w:left="548"/>
        <w:spacing w:after="0"/>
        <w:tabs>
          <w:tab w:leader="none" w:pos="3487" w:val="left"/>
          <w:tab w:leader="none" w:pos="5487" w:val="left"/>
          <w:tab w:leader="none" w:pos="8627" w:val="left"/>
        </w:tabs>
        <w:rPr>
          <w:sz w:val="20"/>
          <w:szCs w:val="20"/>
          <w:color w:val="auto"/>
        </w:rPr>
      </w:pPr>
      <w:r>
        <w:rPr>
          <w:rFonts w:ascii="Courier New" w:cs="Courier New" w:eastAsia="Courier New" w:hAnsi="Courier New"/>
          <w:sz w:val="15"/>
          <w:szCs w:val="15"/>
          <w:color w:val="auto"/>
        </w:rPr>
        <w:t>Name of Initial Lender</w:t>
      </w:r>
      <w:r>
        <w:rPr>
          <w:sz w:val="20"/>
          <w:szCs w:val="20"/>
          <w:color w:val="auto"/>
        </w:rPr>
        <w:tab/>
      </w:r>
      <w:r>
        <w:rPr>
          <w:rFonts w:ascii="Courier New" w:cs="Courier New" w:eastAsia="Courier New" w:hAnsi="Courier New"/>
          <w:sz w:val="15"/>
          <w:szCs w:val="15"/>
          <w:color w:val="auto"/>
        </w:rPr>
        <w:t>Commitment</w:t>
      </w:r>
      <w:r>
        <w:rPr>
          <w:sz w:val="20"/>
          <w:szCs w:val="20"/>
          <w:color w:val="auto"/>
        </w:rPr>
        <w:tab/>
      </w:r>
      <w:r>
        <w:rPr>
          <w:rFonts w:ascii="Courier New" w:cs="Courier New" w:eastAsia="Courier New" w:hAnsi="Courier New"/>
          <w:sz w:val="15"/>
          <w:szCs w:val="15"/>
          <w:color w:val="auto"/>
        </w:rPr>
        <w:t>Domestic Lending Office</w:t>
      </w:r>
      <w:r>
        <w:rPr>
          <w:sz w:val="20"/>
          <w:szCs w:val="20"/>
          <w:color w:val="auto"/>
        </w:rPr>
        <w:tab/>
      </w:r>
      <w:r>
        <w:rPr>
          <w:rFonts w:ascii="Courier New" w:cs="Courier New" w:eastAsia="Courier New" w:hAnsi="Courier New"/>
          <w:sz w:val="15"/>
          <w:szCs w:val="15"/>
          <w:color w:val="auto"/>
        </w:rPr>
        <w:t>Eurodollar Lending Office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 ------------------------------------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ABN AMRO Bank N.V.</w:t>
            </w:r>
          </w:p>
        </w:tc>
        <w:tc>
          <w:tcPr>
            <w:tcW w:w="218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$20,000,000</w:t>
            </w:r>
          </w:p>
        </w:tc>
        <w:tc>
          <w:tcPr>
            <w:tcW w:w="328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208 South LaSalle Street,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208</w:t>
            </w:r>
          </w:p>
        </w:tc>
        <w:tc>
          <w:tcPr>
            <w:tcW w:w="2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South LaSalle Street</w:t>
            </w:r>
          </w:p>
        </w:tc>
      </w:tr>
      <w:tr>
        <w:trPr>
          <w:trHeight w:val="173"/>
        </w:trPr>
        <w:tc>
          <w:tcPr>
            <w:tcW w:w="24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Suite 1500</w:t>
            </w:r>
          </w:p>
        </w:tc>
        <w:tc>
          <w:tcPr>
            <w:tcW w:w="2020" w:type="dxa"/>
            <w:vAlign w:val="bottom"/>
          </w:tcPr>
          <w:p>
            <w:pPr>
              <w:spacing w:after="0"/>
              <w:rPr>
                <w:sz w:val="15"/>
                <w:szCs w:val="15"/>
                <w:color w:val="auto"/>
              </w:rPr>
            </w:pPr>
          </w:p>
        </w:tc>
        <w:tc>
          <w:tcPr>
            <w:tcW w:w="130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7"/>
              </w:rPr>
              <w:t>Suite 1500</w:t>
            </w:r>
          </w:p>
        </w:tc>
        <w:tc>
          <w:tcPr>
            <w:tcW w:w="1640" w:type="dxa"/>
            <w:vAlign w:val="bottom"/>
          </w:tcPr>
          <w:p>
            <w:pPr>
              <w:spacing w:after="0"/>
              <w:rPr>
                <w:sz w:val="15"/>
                <w:szCs w:val="15"/>
                <w:color w:val="auto"/>
              </w:rPr>
            </w:pPr>
          </w:p>
        </w:tc>
      </w:tr>
      <w:tr>
        <w:trPr>
          <w:trHeight w:val="173"/>
        </w:trPr>
        <w:tc>
          <w:tcPr>
            <w:tcW w:w="24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28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Chicago, IL 60604-1003</w:t>
            </w:r>
          </w:p>
        </w:tc>
        <w:tc>
          <w:tcPr>
            <w:tcW w:w="294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Chicago, IL 60604-1003</w:t>
            </w:r>
          </w:p>
        </w:tc>
      </w:tr>
      <w:tr>
        <w:trPr>
          <w:trHeight w:val="173"/>
        </w:trPr>
        <w:tc>
          <w:tcPr>
            <w:tcW w:w="24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28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Attn:  Credit Administration</w:t>
            </w:r>
          </w:p>
        </w:tc>
        <w:tc>
          <w:tcPr>
            <w:tcW w:w="2940" w:type="dxa"/>
            <w:vAlign w:val="bottom"/>
            <w:gridSpan w:val="3"/>
          </w:tcPr>
          <w:p>
            <w:pPr>
              <w:ind w:left="400"/>
              <w:spacing w:after="0"/>
              <w:rPr>
                <w:sz w:val="20"/>
                <w:szCs w:val="20"/>
                <w:color w:val="auto"/>
              </w:rPr>
            </w:pPr>
            <w:r>
              <w:rPr>
                <w:rFonts w:ascii="Courier New" w:cs="Courier New" w:eastAsia="Courier New" w:hAnsi="Courier New"/>
                <w:sz w:val="15"/>
                <w:szCs w:val="15"/>
                <w:color w:val="auto"/>
                <w:w w:val="99"/>
              </w:rPr>
              <w:t>Attn:  Credit Administration</w:t>
            </w:r>
          </w:p>
        </w:tc>
      </w:tr>
      <w:tr>
        <w:trPr>
          <w:trHeight w:val="173"/>
        </w:trPr>
        <w:tc>
          <w:tcPr>
            <w:tcW w:w="24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(312)</w:t>
            </w:r>
          </w:p>
        </w:tc>
        <w:tc>
          <w:tcPr>
            <w:tcW w:w="2020" w:type="dxa"/>
            <w:vAlign w:val="bottom"/>
          </w:tcPr>
          <w:p>
            <w:pPr>
              <w:jc w:val="right"/>
              <w:ind w:right="1225"/>
              <w:spacing w:after="0"/>
              <w:rPr>
                <w:sz w:val="20"/>
                <w:szCs w:val="20"/>
                <w:color w:val="auto"/>
              </w:rPr>
            </w:pPr>
            <w:r>
              <w:rPr>
                <w:rFonts w:ascii="Courier New" w:cs="Courier New" w:eastAsia="Courier New" w:hAnsi="Courier New"/>
                <w:sz w:val="15"/>
                <w:szCs w:val="15"/>
                <w:color w:val="auto"/>
                <w:w w:val="97"/>
              </w:rPr>
              <w:t>992-5110</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(312)</w:t>
            </w:r>
          </w:p>
        </w:tc>
        <w:tc>
          <w:tcPr>
            <w:tcW w:w="1640" w:type="dxa"/>
            <w:vAlign w:val="bottom"/>
          </w:tcPr>
          <w:p>
            <w:pPr>
              <w:jc w:val="right"/>
              <w:ind w:right="845"/>
              <w:spacing w:after="0"/>
              <w:rPr>
                <w:sz w:val="20"/>
                <w:szCs w:val="20"/>
                <w:color w:val="auto"/>
              </w:rPr>
            </w:pPr>
            <w:r>
              <w:rPr>
                <w:rFonts w:ascii="Courier New" w:cs="Courier New" w:eastAsia="Courier New" w:hAnsi="Courier New"/>
                <w:sz w:val="15"/>
                <w:szCs w:val="15"/>
                <w:color w:val="auto"/>
                <w:w w:val="97"/>
              </w:rPr>
              <w:t>992-5110</w:t>
            </w:r>
          </w:p>
        </w:tc>
      </w:tr>
      <w:tr>
        <w:trPr>
          <w:trHeight w:val="173"/>
        </w:trPr>
        <w:tc>
          <w:tcPr>
            <w:tcW w:w="24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F:</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(312)</w:t>
            </w:r>
          </w:p>
        </w:tc>
        <w:tc>
          <w:tcPr>
            <w:tcW w:w="2020" w:type="dxa"/>
            <w:vAlign w:val="bottom"/>
          </w:tcPr>
          <w:p>
            <w:pPr>
              <w:jc w:val="right"/>
              <w:ind w:right="1225"/>
              <w:spacing w:after="0"/>
              <w:rPr>
                <w:sz w:val="20"/>
                <w:szCs w:val="20"/>
                <w:color w:val="auto"/>
              </w:rPr>
            </w:pPr>
            <w:r>
              <w:rPr>
                <w:rFonts w:ascii="Courier New" w:cs="Courier New" w:eastAsia="Courier New" w:hAnsi="Courier New"/>
                <w:sz w:val="15"/>
                <w:szCs w:val="15"/>
                <w:color w:val="auto"/>
                <w:w w:val="97"/>
              </w:rPr>
              <w:t>992-5111</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F:</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(312)</w:t>
            </w:r>
          </w:p>
        </w:tc>
        <w:tc>
          <w:tcPr>
            <w:tcW w:w="1640" w:type="dxa"/>
            <w:vAlign w:val="bottom"/>
          </w:tcPr>
          <w:p>
            <w:pPr>
              <w:jc w:val="right"/>
              <w:ind w:right="845"/>
              <w:spacing w:after="0"/>
              <w:rPr>
                <w:sz w:val="20"/>
                <w:szCs w:val="20"/>
                <w:color w:val="auto"/>
              </w:rPr>
            </w:pPr>
            <w:r>
              <w:rPr>
                <w:rFonts w:ascii="Courier New" w:cs="Courier New" w:eastAsia="Courier New" w:hAnsi="Courier New"/>
                <w:sz w:val="15"/>
                <w:szCs w:val="15"/>
                <w:color w:val="auto"/>
                <w:w w:val="97"/>
              </w:rPr>
              <w:t>992-5111</w:t>
            </w:r>
          </w:p>
        </w:tc>
      </w:tr>
    </w:tbl>
    <w:p>
      <w:pPr>
        <w:spacing w:after="0" w:line="4" w:lineRule="exact"/>
        <w:rPr>
          <w:sz w:val="20"/>
          <w:szCs w:val="20"/>
          <w:color w:val="auto"/>
        </w:rPr>
      </w:pPr>
    </w:p>
    <w:p>
      <w:pPr>
        <w:ind w:left="188" w:hanging="188"/>
        <w:spacing w:after="0"/>
        <w:tabs>
          <w:tab w:leader="none" w:pos="188"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4"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Banca Nazionale del Lavoro S.p.A.   $10,000,000Banca  Nazionale  Del Lavoro S.p.A.  Banca Nazionale Del Lavoro</w:t>
      </w:r>
    </w:p>
    <w:p>
      <w:pPr>
        <w:spacing w:after="0" w:line="3" w:lineRule="exact"/>
        <w:rPr>
          <w:sz w:val="20"/>
          <w:szCs w:val="20"/>
          <w:color w:val="auto"/>
        </w:rPr>
      </w:pPr>
    </w:p>
    <w:tbl>
      <w:tblPr>
        <w:tblLayout w:type="fixed"/>
        <w:tblInd w:w="4968" w:type="dxa"/>
        <w:tblCellMar>
          <w:top w:w="0" w:type="dxa"/>
          <w:left w:w="0" w:type="dxa"/>
          <w:bottom w:w="0" w:type="dxa"/>
          <w:right w:w="0" w:type="dxa"/>
        </w:tblCellMar>
      </w:tblP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New</w:t>
            </w:r>
          </w:p>
        </w:tc>
        <w:tc>
          <w:tcPr>
            <w:tcW w:w="24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York Branch</w:t>
            </w:r>
          </w:p>
        </w:tc>
        <w:tc>
          <w:tcPr>
            <w:tcW w:w="2660" w:type="dxa"/>
            <w:vAlign w:val="bottom"/>
            <w:gridSpan w:val="3"/>
          </w:tcPr>
          <w:p>
            <w:pPr>
              <w:ind w:left="660"/>
              <w:spacing w:after="0"/>
              <w:rPr>
                <w:sz w:val="20"/>
                <w:szCs w:val="20"/>
                <w:color w:val="auto"/>
              </w:rPr>
            </w:pPr>
            <w:r>
              <w:rPr>
                <w:rFonts w:ascii="Courier New" w:cs="Courier New" w:eastAsia="Courier New" w:hAnsi="Courier New"/>
                <w:sz w:val="15"/>
                <w:szCs w:val="15"/>
                <w:color w:val="auto"/>
                <w:w w:val="99"/>
              </w:rPr>
              <w:t>S.p.A. New York Branch</w:t>
            </w: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rPr>
              <w:t>25</w:t>
            </w:r>
          </w:p>
        </w:tc>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West 51st Street</w:t>
            </w:r>
          </w:p>
        </w:tc>
        <w:tc>
          <w:tcPr>
            <w:tcW w:w="900" w:type="dxa"/>
            <w:vAlign w:val="bottom"/>
          </w:tcPr>
          <w:p>
            <w:pPr>
              <w:ind w:left="660"/>
              <w:spacing w:after="0"/>
              <w:rPr>
                <w:sz w:val="20"/>
                <w:szCs w:val="20"/>
                <w:color w:val="auto"/>
              </w:rPr>
            </w:pPr>
            <w:r>
              <w:rPr>
                <w:rFonts w:ascii="Courier New" w:cs="Courier New" w:eastAsia="Courier New" w:hAnsi="Courier New"/>
                <w:sz w:val="15"/>
                <w:szCs w:val="15"/>
                <w:color w:val="auto"/>
              </w:rPr>
              <w:t>25</w:t>
            </w:r>
          </w:p>
        </w:tc>
        <w:tc>
          <w:tcPr>
            <w:tcW w:w="17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West 51st Street</w:t>
            </w: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New</w:t>
            </w:r>
          </w:p>
        </w:tc>
        <w:tc>
          <w:tcPr>
            <w:tcW w:w="24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York, NY 10019</w:t>
            </w:r>
          </w:p>
        </w:tc>
        <w:tc>
          <w:tcPr>
            <w:tcW w:w="266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New York, NY 10019</w:t>
            </w:r>
          </w:p>
        </w:tc>
      </w:tr>
      <w:tr>
        <w:trPr>
          <w:trHeight w:val="173"/>
        </w:trPr>
        <w:tc>
          <w:tcPr>
            <w:tcW w:w="2660" w:type="dxa"/>
            <w:vAlign w:val="bottom"/>
            <w:gridSpan w:val="3"/>
          </w:tcPr>
          <w:p>
            <w:pPr>
              <w:spacing w:after="0"/>
              <w:rPr>
                <w:sz w:val="20"/>
                <w:szCs w:val="20"/>
                <w:color w:val="auto"/>
              </w:rPr>
            </w:pPr>
            <w:r>
              <w:rPr>
                <w:rFonts w:ascii="Courier New" w:cs="Courier New" w:eastAsia="Courier New" w:hAnsi="Courier New"/>
                <w:sz w:val="15"/>
                <w:szCs w:val="15"/>
                <w:color w:val="auto"/>
              </w:rPr>
              <w:t>Attn:  Juan Cortes, VP</w:t>
            </w:r>
          </w:p>
        </w:tc>
        <w:tc>
          <w:tcPr>
            <w:tcW w:w="2660" w:type="dxa"/>
            <w:vAlign w:val="bottom"/>
            <w:gridSpan w:val="3"/>
          </w:tcPr>
          <w:p>
            <w:pPr>
              <w:ind w:left="660"/>
              <w:spacing w:after="0"/>
              <w:rPr>
                <w:sz w:val="20"/>
                <w:szCs w:val="20"/>
                <w:color w:val="auto"/>
              </w:rPr>
            </w:pPr>
            <w:r>
              <w:rPr>
                <w:rFonts w:ascii="Courier New" w:cs="Courier New" w:eastAsia="Courier New" w:hAnsi="Courier New"/>
                <w:sz w:val="15"/>
                <w:szCs w:val="15"/>
                <w:color w:val="auto"/>
                <w:w w:val="99"/>
              </w:rPr>
              <w:t>Attn:  Juan Cortes, VP</w:t>
            </w: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rPr>
              <w:t>T:</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(212)</w:t>
            </w:r>
          </w:p>
        </w:tc>
        <w:tc>
          <w:tcPr>
            <w:tcW w:w="182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314-0295</w:t>
            </w:r>
          </w:p>
        </w:tc>
        <w:tc>
          <w:tcPr>
            <w:tcW w:w="900" w:type="dxa"/>
            <w:vAlign w:val="bottom"/>
          </w:tcPr>
          <w:p>
            <w:pPr>
              <w:ind w:left="660"/>
              <w:spacing w:after="0"/>
              <w:rPr>
                <w:sz w:val="20"/>
                <w:szCs w:val="20"/>
                <w:color w:val="auto"/>
              </w:rPr>
            </w:pPr>
            <w:r>
              <w:rPr>
                <w:rFonts w:ascii="Courier New" w:cs="Courier New" w:eastAsia="Courier New" w:hAnsi="Courier New"/>
                <w:sz w:val="15"/>
                <w:szCs w:val="15"/>
                <w:color w:val="auto"/>
              </w:rPr>
              <w:t>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11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314-0295</w:t>
            </w: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rPr>
              <w:t>F:</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(212)</w:t>
            </w:r>
          </w:p>
        </w:tc>
        <w:tc>
          <w:tcPr>
            <w:tcW w:w="182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765-2978</w:t>
            </w:r>
          </w:p>
        </w:tc>
        <w:tc>
          <w:tcPr>
            <w:tcW w:w="900" w:type="dxa"/>
            <w:vAlign w:val="bottom"/>
          </w:tcPr>
          <w:p>
            <w:pPr>
              <w:ind w:left="660"/>
              <w:spacing w:after="0"/>
              <w:rPr>
                <w:sz w:val="20"/>
                <w:szCs w:val="20"/>
                <w:color w:val="auto"/>
              </w:rPr>
            </w:pPr>
            <w:r>
              <w:rPr>
                <w:rFonts w:ascii="Courier New" w:cs="Courier New" w:eastAsia="Courier New" w:hAnsi="Courier New"/>
                <w:sz w:val="15"/>
                <w:szCs w:val="15"/>
                <w:color w:val="auto"/>
              </w:rPr>
              <w:t>F:</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11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765-2978</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 ------------------------------------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Courier New" w:cs="Courier New" w:eastAsia="Courier New" w:hAnsi="Courier New"/>
                <w:sz w:val="15"/>
                <w:szCs w:val="15"/>
                <w:color w:val="auto"/>
              </w:rPr>
              <w:t>Bank of Tokyo-Mitsubishi, LTD.,</w:t>
            </w:r>
          </w:p>
        </w:tc>
        <w:tc>
          <w:tcPr>
            <w:tcW w:w="158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$12,000,000</w:t>
            </w: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227</w:t>
            </w:r>
          </w:p>
        </w:tc>
        <w:tc>
          <w:tcPr>
            <w:tcW w:w="23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 Monroe Street,</w:t>
            </w:r>
          </w:p>
        </w:tc>
        <w:tc>
          <w:tcPr>
            <w:tcW w:w="1040" w:type="dxa"/>
            <w:vAlign w:val="bottom"/>
          </w:tcPr>
          <w:p>
            <w:pPr>
              <w:ind w:left="720"/>
              <w:spacing w:after="0"/>
              <w:rPr>
                <w:sz w:val="20"/>
                <w:szCs w:val="20"/>
                <w:color w:val="auto"/>
              </w:rPr>
            </w:pPr>
            <w:r>
              <w:rPr>
                <w:rFonts w:ascii="Courier New" w:cs="Courier New" w:eastAsia="Courier New" w:hAnsi="Courier New"/>
                <w:sz w:val="15"/>
                <w:szCs w:val="15"/>
                <w:color w:val="auto"/>
              </w:rPr>
              <w:t>227</w:t>
            </w:r>
          </w:p>
        </w:tc>
        <w:tc>
          <w:tcPr>
            <w:tcW w:w="15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 Monroe Street,</w:t>
            </w:r>
          </w:p>
        </w:tc>
      </w:tr>
      <w:tr>
        <w:trPr>
          <w:trHeight w:val="173"/>
        </w:trPr>
        <w:tc>
          <w:tcPr>
            <w:tcW w:w="3020" w:type="dxa"/>
            <w:vAlign w:val="bottom"/>
          </w:tcPr>
          <w:p>
            <w:pPr>
              <w:spacing w:after="0"/>
              <w:rPr>
                <w:sz w:val="20"/>
                <w:szCs w:val="20"/>
                <w:color w:val="auto"/>
              </w:rPr>
            </w:pPr>
            <w:r>
              <w:rPr>
                <w:rFonts w:ascii="Courier New" w:cs="Courier New" w:eastAsia="Courier New" w:hAnsi="Courier New"/>
                <w:sz w:val="15"/>
                <w:szCs w:val="15"/>
                <w:color w:val="auto"/>
              </w:rPr>
              <w:t>Chicago Branch</w:t>
            </w:r>
          </w:p>
        </w:tc>
        <w:tc>
          <w:tcPr>
            <w:tcW w:w="1580" w:type="dxa"/>
            <w:vAlign w:val="bottom"/>
          </w:tcPr>
          <w:p>
            <w:pPr>
              <w:spacing w:after="0"/>
              <w:rPr>
                <w:sz w:val="15"/>
                <w:szCs w:val="15"/>
                <w:color w:val="auto"/>
              </w:rPr>
            </w:pPr>
          </w:p>
        </w:tc>
        <w:tc>
          <w:tcPr>
            <w:tcW w:w="12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Suite 2300</w:t>
            </w:r>
          </w:p>
        </w:tc>
        <w:tc>
          <w:tcPr>
            <w:tcW w:w="1700" w:type="dxa"/>
            <w:vAlign w:val="bottom"/>
          </w:tcPr>
          <w:p>
            <w:pPr>
              <w:spacing w:after="0"/>
              <w:rPr>
                <w:sz w:val="15"/>
                <w:szCs w:val="15"/>
                <w:color w:val="auto"/>
              </w:rPr>
            </w:pPr>
          </w:p>
        </w:tc>
        <w:tc>
          <w:tcPr>
            <w:tcW w:w="1620" w:type="dxa"/>
            <w:vAlign w:val="bottom"/>
            <w:gridSpan w:val="2"/>
          </w:tcPr>
          <w:p>
            <w:pPr>
              <w:ind w:left="720"/>
              <w:spacing w:after="0"/>
              <w:rPr>
                <w:sz w:val="20"/>
                <w:szCs w:val="20"/>
                <w:color w:val="auto"/>
              </w:rPr>
            </w:pPr>
            <w:r>
              <w:rPr>
                <w:rFonts w:ascii="Courier New" w:cs="Courier New" w:eastAsia="Courier New" w:hAnsi="Courier New"/>
                <w:sz w:val="15"/>
                <w:szCs w:val="15"/>
                <w:color w:val="auto"/>
                <w:w w:val="97"/>
              </w:rPr>
              <w:t>Suite 2300</w:t>
            </w:r>
          </w:p>
        </w:tc>
        <w:tc>
          <w:tcPr>
            <w:tcW w:w="1000" w:type="dxa"/>
            <w:vAlign w:val="bottom"/>
          </w:tcPr>
          <w:p>
            <w:pPr>
              <w:spacing w:after="0"/>
              <w:rPr>
                <w:sz w:val="15"/>
                <w:szCs w:val="15"/>
                <w:color w:val="auto"/>
              </w:rPr>
            </w:pPr>
          </w:p>
        </w:tc>
      </w:tr>
      <w:tr>
        <w:trPr>
          <w:trHeight w:val="173"/>
        </w:trPr>
        <w:tc>
          <w:tcPr>
            <w:tcW w:w="30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9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Chicago, IL 60606</w:t>
            </w:r>
          </w:p>
        </w:tc>
        <w:tc>
          <w:tcPr>
            <w:tcW w:w="2620" w:type="dxa"/>
            <w:vAlign w:val="bottom"/>
            <w:gridSpan w:val="3"/>
          </w:tcPr>
          <w:p>
            <w:pPr>
              <w:ind w:left="720"/>
              <w:spacing w:after="0"/>
              <w:rPr>
                <w:sz w:val="20"/>
                <w:szCs w:val="20"/>
                <w:color w:val="auto"/>
              </w:rPr>
            </w:pPr>
            <w:r>
              <w:rPr>
                <w:rFonts w:ascii="Courier New" w:cs="Courier New" w:eastAsia="Courier New" w:hAnsi="Courier New"/>
                <w:sz w:val="15"/>
                <w:szCs w:val="15"/>
                <w:color w:val="auto"/>
              </w:rPr>
              <w:t>Chicago, IL 60606</w:t>
            </w:r>
          </w:p>
        </w:tc>
      </w:tr>
      <w:tr>
        <w:trPr>
          <w:trHeight w:val="173"/>
        </w:trPr>
        <w:tc>
          <w:tcPr>
            <w:tcW w:w="30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9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Attn:  Janice Hennig</w:t>
            </w:r>
          </w:p>
        </w:tc>
        <w:tc>
          <w:tcPr>
            <w:tcW w:w="2620" w:type="dxa"/>
            <w:vAlign w:val="bottom"/>
            <w:gridSpan w:val="3"/>
          </w:tcPr>
          <w:p>
            <w:pPr>
              <w:ind w:left="720"/>
              <w:spacing w:after="0"/>
              <w:rPr>
                <w:sz w:val="20"/>
                <w:szCs w:val="20"/>
                <w:color w:val="auto"/>
              </w:rPr>
            </w:pPr>
            <w:r>
              <w:rPr>
                <w:rFonts w:ascii="Courier New" w:cs="Courier New" w:eastAsia="Courier New" w:hAnsi="Courier New"/>
                <w:sz w:val="15"/>
                <w:szCs w:val="15"/>
                <w:color w:val="auto"/>
              </w:rPr>
              <w:t>Attn:  Janice Hennig</w:t>
            </w:r>
          </w:p>
        </w:tc>
      </w:tr>
      <w:tr>
        <w:trPr>
          <w:trHeight w:val="173"/>
        </w:trPr>
        <w:tc>
          <w:tcPr>
            <w:tcW w:w="30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T:</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(312)</w:t>
            </w:r>
          </w:p>
        </w:tc>
        <w:tc>
          <w:tcPr>
            <w:tcW w:w="1700" w:type="dxa"/>
            <w:vAlign w:val="bottom"/>
          </w:tcPr>
          <w:p>
            <w:pPr>
              <w:jc w:val="right"/>
              <w:ind w:right="905"/>
              <w:spacing w:after="0"/>
              <w:rPr>
                <w:sz w:val="20"/>
                <w:szCs w:val="20"/>
                <w:color w:val="auto"/>
              </w:rPr>
            </w:pPr>
            <w:r>
              <w:rPr>
                <w:rFonts w:ascii="Courier New" w:cs="Courier New" w:eastAsia="Courier New" w:hAnsi="Courier New"/>
                <w:sz w:val="15"/>
                <w:szCs w:val="15"/>
                <w:color w:val="auto"/>
                <w:w w:val="97"/>
              </w:rPr>
              <w:t>696-4710</w:t>
            </w:r>
          </w:p>
        </w:tc>
        <w:tc>
          <w:tcPr>
            <w:tcW w:w="1040" w:type="dxa"/>
            <w:vAlign w:val="bottom"/>
          </w:tcPr>
          <w:p>
            <w:pPr>
              <w:ind w:left="720"/>
              <w:spacing w:after="0"/>
              <w:rPr>
                <w:sz w:val="20"/>
                <w:szCs w:val="20"/>
                <w:color w:val="auto"/>
              </w:rPr>
            </w:pPr>
            <w:r>
              <w:rPr>
                <w:rFonts w:ascii="Courier New" w:cs="Courier New" w:eastAsia="Courier New" w:hAnsi="Courier New"/>
                <w:sz w:val="15"/>
                <w:szCs w:val="15"/>
                <w:color w:val="auto"/>
              </w:rPr>
              <w:t>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(312)</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696-4710</w:t>
            </w:r>
          </w:p>
        </w:tc>
      </w:tr>
      <w:tr>
        <w:trPr>
          <w:trHeight w:val="173"/>
        </w:trPr>
        <w:tc>
          <w:tcPr>
            <w:tcW w:w="30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F:</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(312)</w:t>
            </w:r>
          </w:p>
        </w:tc>
        <w:tc>
          <w:tcPr>
            <w:tcW w:w="1700" w:type="dxa"/>
            <w:vAlign w:val="bottom"/>
          </w:tcPr>
          <w:p>
            <w:pPr>
              <w:jc w:val="right"/>
              <w:ind w:right="905"/>
              <w:spacing w:after="0"/>
              <w:rPr>
                <w:sz w:val="20"/>
                <w:szCs w:val="20"/>
                <w:color w:val="auto"/>
              </w:rPr>
            </w:pPr>
            <w:r>
              <w:rPr>
                <w:rFonts w:ascii="Courier New" w:cs="Courier New" w:eastAsia="Courier New" w:hAnsi="Courier New"/>
                <w:sz w:val="15"/>
                <w:szCs w:val="15"/>
                <w:color w:val="auto"/>
                <w:w w:val="97"/>
              </w:rPr>
              <w:t>696-4532</w:t>
            </w:r>
          </w:p>
        </w:tc>
        <w:tc>
          <w:tcPr>
            <w:tcW w:w="1040" w:type="dxa"/>
            <w:vAlign w:val="bottom"/>
          </w:tcPr>
          <w:p>
            <w:pPr>
              <w:ind w:left="720"/>
              <w:spacing w:after="0"/>
              <w:rPr>
                <w:sz w:val="20"/>
                <w:szCs w:val="20"/>
                <w:color w:val="auto"/>
              </w:rPr>
            </w:pPr>
            <w:r>
              <w:rPr>
                <w:rFonts w:ascii="Courier New" w:cs="Courier New" w:eastAsia="Courier New" w:hAnsi="Courier New"/>
                <w:sz w:val="15"/>
                <w:szCs w:val="15"/>
                <w:color w:val="auto"/>
              </w:rPr>
              <w:t>F:</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(312)</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696-4532</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 ------------------------------------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Bank One, NA</w:t>
            </w:r>
          </w:p>
        </w:tc>
        <w:tc>
          <w:tcPr>
            <w:tcW w:w="24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$20,000,000</w:t>
            </w:r>
          </w:p>
        </w:tc>
        <w:tc>
          <w:tcPr>
            <w:tcW w:w="9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 Bank</w:t>
            </w:r>
          </w:p>
        </w:tc>
        <w:tc>
          <w:tcPr>
            <w:tcW w:w="1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One Plaza</w:t>
            </w:r>
          </w:p>
        </w:tc>
        <w:tc>
          <w:tcPr>
            <w:tcW w:w="14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1 Bank</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One Plaza</w:t>
            </w:r>
          </w:p>
        </w:tc>
      </w:tr>
      <w:tr>
        <w:trPr>
          <w:trHeight w:val="173"/>
        </w:trPr>
        <w:tc>
          <w:tcPr>
            <w:tcW w:w="21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88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Chicago, IL 60670</w:t>
            </w:r>
          </w:p>
        </w:tc>
        <w:tc>
          <w:tcPr>
            <w:tcW w:w="2520" w:type="dxa"/>
            <w:vAlign w:val="bottom"/>
            <w:gridSpan w:val="4"/>
          </w:tcPr>
          <w:p>
            <w:pPr>
              <w:ind w:left="800"/>
              <w:spacing w:after="0"/>
              <w:rPr>
                <w:sz w:val="20"/>
                <w:szCs w:val="20"/>
                <w:color w:val="auto"/>
              </w:rPr>
            </w:pPr>
            <w:r>
              <w:rPr>
                <w:rFonts w:ascii="Courier New" w:cs="Courier New" w:eastAsia="Courier New" w:hAnsi="Courier New"/>
                <w:sz w:val="15"/>
                <w:szCs w:val="15"/>
                <w:color w:val="auto"/>
              </w:rPr>
              <w:t>Chicago, IL 60670</w:t>
            </w:r>
          </w:p>
        </w:tc>
      </w:tr>
      <w:tr>
        <w:trPr>
          <w:trHeight w:val="173"/>
        </w:trPr>
        <w:tc>
          <w:tcPr>
            <w:tcW w:w="21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9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Attn:</w:t>
            </w:r>
          </w:p>
        </w:tc>
        <w:tc>
          <w:tcPr>
            <w:tcW w:w="1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Jenny Gilpin</w:t>
            </w:r>
          </w:p>
        </w:tc>
        <w:tc>
          <w:tcPr>
            <w:tcW w:w="14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Attn:</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Jenny Gilpin</w:t>
            </w:r>
          </w:p>
        </w:tc>
      </w:tr>
      <w:tr>
        <w:trPr>
          <w:trHeight w:val="173"/>
        </w:trPr>
        <w:tc>
          <w:tcPr>
            <w:tcW w:w="21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T:</w:t>
            </w: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(312)</w:t>
            </w:r>
          </w:p>
        </w:tc>
        <w:tc>
          <w:tcPr>
            <w:tcW w:w="16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732-5867</w:t>
            </w:r>
          </w:p>
        </w:tc>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rPr>
              <w:t>T:</w:t>
            </w: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(312)</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732-5867</w:t>
            </w:r>
          </w:p>
        </w:tc>
      </w:tr>
      <w:tr>
        <w:trPr>
          <w:trHeight w:val="173"/>
        </w:trPr>
        <w:tc>
          <w:tcPr>
            <w:tcW w:w="21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F:</w:t>
            </w: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(312)</w:t>
            </w:r>
          </w:p>
        </w:tc>
        <w:tc>
          <w:tcPr>
            <w:tcW w:w="16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732-3888</w:t>
            </w:r>
          </w:p>
        </w:tc>
        <w:tc>
          <w:tcPr>
            <w:tcW w:w="1080" w:type="dxa"/>
            <w:vAlign w:val="bottom"/>
          </w:tcPr>
          <w:p>
            <w:pPr>
              <w:ind w:left="800"/>
              <w:spacing w:after="0"/>
              <w:rPr>
                <w:sz w:val="20"/>
                <w:szCs w:val="20"/>
                <w:color w:val="auto"/>
              </w:rPr>
            </w:pPr>
            <w:r>
              <w:rPr>
                <w:rFonts w:ascii="Courier New" w:cs="Courier New" w:eastAsia="Courier New" w:hAnsi="Courier New"/>
                <w:sz w:val="15"/>
                <w:szCs w:val="15"/>
                <w:color w:val="auto"/>
              </w:rPr>
              <w:t>F:</w:t>
            </w: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(312)</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732-3888</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 ------------------------------------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BNP Paribas</w:t>
            </w:r>
          </w:p>
        </w:tc>
        <w:tc>
          <w:tcPr>
            <w:tcW w:w="248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$30,000,000</w:t>
            </w: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209</w:t>
            </w:r>
          </w:p>
        </w:tc>
        <w:tc>
          <w:tcPr>
            <w:tcW w:w="24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 LaSalle, Suite 500</w:t>
            </w:r>
          </w:p>
        </w:tc>
        <w:tc>
          <w:tcPr>
            <w:tcW w:w="860" w:type="dxa"/>
            <w:vAlign w:val="bottom"/>
          </w:tcPr>
          <w:p>
            <w:pPr>
              <w:ind w:left="540"/>
              <w:spacing w:after="0"/>
              <w:rPr>
                <w:sz w:val="20"/>
                <w:szCs w:val="20"/>
                <w:color w:val="auto"/>
              </w:rPr>
            </w:pPr>
            <w:r>
              <w:rPr>
                <w:rFonts w:ascii="Courier New" w:cs="Courier New" w:eastAsia="Courier New" w:hAnsi="Courier New"/>
                <w:sz w:val="15"/>
                <w:szCs w:val="15"/>
                <w:color w:val="auto"/>
              </w:rPr>
              <w:t>209</w:t>
            </w:r>
          </w:p>
        </w:tc>
        <w:tc>
          <w:tcPr>
            <w:tcW w:w="19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S. LaSalle, Suite 500</w:t>
            </w:r>
          </w:p>
        </w:tc>
      </w:tr>
      <w:tr>
        <w:trPr>
          <w:trHeight w:val="173"/>
        </w:trPr>
        <w:tc>
          <w:tcPr>
            <w:tcW w:w="21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1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Chicago, IL 60604</w:t>
            </w:r>
          </w:p>
        </w:tc>
        <w:tc>
          <w:tcPr>
            <w:tcW w:w="280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Chicago, IL 60604</w:t>
            </w:r>
          </w:p>
        </w:tc>
      </w:tr>
      <w:tr>
        <w:trPr>
          <w:trHeight w:val="173"/>
        </w:trPr>
        <w:tc>
          <w:tcPr>
            <w:tcW w:w="21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Attn:</w:t>
            </w:r>
          </w:p>
        </w:tc>
        <w:tc>
          <w:tcPr>
            <w:tcW w:w="1940" w:type="dxa"/>
            <w:vAlign w:val="bottom"/>
          </w:tcPr>
          <w:p>
            <w:pPr>
              <w:spacing w:after="0"/>
              <w:rPr>
                <w:sz w:val="15"/>
                <w:szCs w:val="15"/>
                <w:color w:val="auto"/>
              </w:rPr>
            </w:pPr>
          </w:p>
        </w:tc>
        <w:tc>
          <w:tcPr>
            <w:tcW w:w="14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Attn:</w:t>
            </w:r>
          </w:p>
        </w:tc>
        <w:tc>
          <w:tcPr>
            <w:tcW w:w="1400" w:type="dxa"/>
            <w:vAlign w:val="bottom"/>
          </w:tcPr>
          <w:p>
            <w:pPr>
              <w:spacing w:after="0"/>
              <w:rPr>
                <w:sz w:val="15"/>
                <w:szCs w:val="15"/>
                <w:color w:val="auto"/>
              </w:rPr>
            </w:pPr>
          </w:p>
        </w:tc>
      </w:tr>
      <w:tr>
        <w:trPr>
          <w:trHeight w:val="173"/>
        </w:trPr>
        <w:tc>
          <w:tcPr>
            <w:tcW w:w="21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T:</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(312)</w:t>
            </w:r>
          </w:p>
        </w:tc>
        <w:tc>
          <w:tcPr>
            <w:tcW w:w="194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977-2200</w:t>
            </w:r>
          </w:p>
        </w:tc>
        <w:tc>
          <w:tcPr>
            <w:tcW w:w="860" w:type="dxa"/>
            <w:vAlign w:val="bottom"/>
          </w:tcPr>
          <w:p>
            <w:pPr>
              <w:ind w:left="540"/>
              <w:spacing w:after="0"/>
              <w:rPr>
                <w:sz w:val="20"/>
                <w:szCs w:val="20"/>
                <w:color w:val="auto"/>
              </w:rPr>
            </w:pPr>
            <w:r>
              <w:rPr>
                <w:rFonts w:ascii="Courier New" w:cs="Courier New" w:eastAsia="Courier New" w:hAnsi="Courier New"/>
                <w:sz w:val="15"/>
                <w:szCs w:val="15"/>
                <w:color w:val="auto"/>
              </w:rPr>
              <w:t>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(312)</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977-2200</w:t>
            </w:r>
          </w:p>
        </w:tc>
      </w:tr>
      <w:tr>
        <w:trPr>
          <w:trHeight w:val="173"/>
        </w:trPr>
        <w:tc>
          <w:tcPr>
            <w:tcW w:w="21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F:</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(312)</w:t>
            </w:r>
          </w:p>
        </w:tc>
        <w:tc>
          <w:tcPr>
            <w:tcW w:w="194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977-1380</w:t>
            </w:r>
          </w:p>
        </w:tc>
        <w:tc>
          <w:tcPr>
            <w:tcW w:w="860" w:type="dxa"/>
            <w:vAlign w:val="bottom"/>
          </w:tcPr>
          <w:p>
            <w:pPr>
              <w:ind w:left="540"/>
              <w:spacing w:after="0"/>
              <w:rPr>
                <w:sz w:val="20"/>
                <w:szCs w:val="20"/>
                <w:color w:val="auto"/>
              </w:rPr>
            </w:pPr>
            <w:r>
              <w:rPr>
                <w:rFonts w:ascii="Courier New" w:cs="Courier New" w:eastAsia="Courier New" w:hAnsi="Courier New"/>
                <w:sz w:val="15"/>
                <w:szCs w:val="15"/>
                <w:color w:val="auto"/>
              </w:rPr>
              <w:t>F:</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(312)</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977-1380</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 ------------------------------------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Citibank, N.A.</w:t>
            </w:r>
          </w:p>
        </w:tc>
        <w:tc>
          <w:tcPr>
            <w:tcW w:w="23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$34,000,000</w:t>
            </w: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Two</w:t>
            </w:r>
          </w:p>
        </w:tc>
        <w:tc>
          <w:tcPr>
            <w:tcW w:w="23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Penns Way</w:t>
            </w:r>
          </w:p>
        </w:tc>
        <w:tc>
          <w:tcPr>
            <w:tcW w:w="1040" w:type="dxa"/>
            <w:vAlign w:val="bottom"/>
          </w:tcPr>
          <w:p>
            <w:pPr>
              <w:ind w:left="720"/>
              <w:spacing w:after="0"/>
              <w:rPr>
                <w:sz w:val="20"/>
                <w:szCs w:val="20"/>
                <w:color w:val="auto"/>
              </w:rPr>
            </w:pPr>
            <w:r>
              <w:rPr>
                <w:rFonts w:ascii="Courier New" w:cs="Courier New" w:eastAsia="Courier New" w:hAnsi="Courier New"/>
                <w:sz w:val="15"/>
                <w:szCs w:val="15"/>
                <w:color w:val="auto"/>
              </w:rPr>
              <w:t>Two</w:t>
            </w:r>
          </w:p>
        </w:tc>
        <w:tc>
          <w:tcPr>
            <w:tcW w:w="1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Penns Way</w:t>
            </w:r>
          </w:p>
        </w:tc>
      </w:tr>
      <w:tr>
        <w:trPr>
          <w:trHeight w:val="173"/>
        </w:trPr>
        <w:tc>
          <w:tcPr>
            <w:tcW w:w="22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New</w:t>
            </w:r>
          </w:p>
        </w:tc>
        <w:tc>
          <w:tcPr>
            <w:tcW w:w="23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Castle, DE  19720</w:t>
            </w:r>
          </w:p>
        </w:tc>
        <w:tc>
          <w:tcPr>
            <w:tcW w:w="1040" w:type="dxa"/>
            <w:vAlign w:val="bottom"/>
          </w:tcPr>
          <w:p>
            <w:pPr>
              <w:ind w:left="720"/>
              <w:spacing w:after="0"/>
              <w:rPr>
                <w:sz w:val="20"/>
                <w:szCs w:val="20"/>
                <w:color w:val="auto"/>
              </w:rPr>
            </w:pPr>
            <w:r>
              <w:rPr>
                <w:rFonts w:ascii="Courier New" w:cs="Courier New" w:eastAsia="Courier New" w:hAnsi="Courier New"/>
                <w:sz w:val="15"/>
                <w:szCs w:val="15"/>
                <w:color w:val="auto"/>
              </w:rPr>
              <w:t>New</w:t>
            </w:r>
          </w:p>
        </w:tc>
        <w:tc>
          <w:tcPr>
            <w:tcW w:w="15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Castle, DE  19720</w:t>
            </w:r>
          </w:p>
        </w:tc>
      </w:tr>
      <w:tr>
        <w:trPr>
          <w:trHeight w:val="173"/>
        </w:trPr>
        <w:tc>
          <w:tcPr>
            <w:tcW w:w="22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9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Attn:  David Graber</w:t>
            </w:r>
          </w:p>
        </w:tc>
        <w:tc>
          <w:tcPr>
            <w:tcW w:w="2620" w:type="dxa"/>
            <w:vAlign w:val="bottom"/>
            <w:gridSpan w:val="3"/>
          </w:tcPr>
          <w:p>
            <w:pPr>
              <w:ind w:left="720"/>
              <w:spacing w:after="0"/>
              <w:rPr>
                <w:sz w:val="20"/>
                <w:szCs w:val="20"/>
                <w:color w:val="auto"/>
              </w:rPr>
            </w:pPr>
            <w:r>
              <w:rPr>
                <w:rFonts w:ascii="Courier New" w:cs="Courier New" w:eastAsia="Courier New" w:hAnsi="Courier New"/>
                <w:sz w:val="15"/>
                <w:szCs w:val="15"/>
                <w:color w:val="auto"/>
              </w:rPr>
              <w:t>Attn:  David Graber</w:t>
            </w:r>
          </w:p>
        </w:tc>
      </w:tr>
      <w:tr>
        <w:trPr>
          <w:trHeight w:val="173"/>
        </w:trPr>
        <w:tc>
          <w:tcPr>
            <w:tcW w:w="22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T:</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(302)</w:t>
            </w:r>
          </w:p>
        </w:tc>
        <w:tc>
          <w:tcPr>
            <w:tcW w:w="17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894-6034</w:t>
            </w:r>
          </w:p>
        </w:tc>
        <w:tc>
          <w:tcPr>
            <w:tcW w:w="1040" w:type="dxa"/>
            <w:vAlign w:val="bottom"/>
          </w:tcPr>
          <w:p>
            <w:pPr>
              <w:ind w:left="720"/>
              <w:spacing w:after="0"/>
              <w:rPr>
                <w:sz w:val="20"/>
                <w:szCs w:val="20"/>
                <w:color w:val="auto"/>
              </w:rPr>
            </w:pPr>
            <w:r>
              <w:rPr>
                <w:rFonts w:ascii="Courier New" w:cs="Courier New" w:eastAsia="Courier New" w:hAnsi="Courier New"/>
                <w:sz w:val="15"/>
                <w:szCs w:val="15"/>
                <w:color w:val="auto"/>
              </w:rPr>
              <w:t>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(302)</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894-6034</w:t>
            </w:r>
          </w:p>
        </w:tc>
      </w:tr>
      <w:tr>
        <w:trPr>
          <w:trHeight w:val="173"/>
        </w:trPr>
        <w:tc>
          <w:tcPr>
            <w:tcW w:w="22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F:</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(302)</w:t>
            </w:r>
          </w:p>
        </w:tc>
        <w:tc>
          <w:tcPr>
            <w:tcW w:w="17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894-6120</w:t>
            </w:r>
          </w:p>
        </w:tc>
        <w:tc>
          <w:tcPr>
            <w:tcW w:w="1040" w:type="dxa"/>
            <w:vAlign w:val="bottom"/>
          </w:tcPr>
          <w:p>
            <w:pPr>
              <w:ind w:left="720"/>
              <w:spacing w:after="0"/>
              <w:rPr>
                <w:sz w:val="20"/>
                <w:szCs w:val="20"/>
                <w:color w:val="auto"/>
              </w:rPr>
            </w:pPr>
            <w:r>
              <w:rPr>
                <w:rFonts w:ascii="Courier New" w:cs="Courier New" w:eastAsia="Courier New" w:hAnsi="Courier New"/>
                <w:sz w:val="15"/>
                <w:szCs w:val="15"/>
                <w:color w:val="auto"/>
              </w:rPr>
              <w:t>F:</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(302)</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894-6120</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 ------------------------------------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300" w:type="dxa"/>
            <w:vAlign w:val="bottom"/>
          </w:tcPr>
          <w:p>
            <w:pPr>
              <w:spacing w:after="0"/>
              <w:rPr>
                <w:sz w:val="20"/>
                <w:szCs w:val="20"/>
                <w:color w:val="auto"/>
              </w:rPr>
            </w:pPr>
            <w:r>
              <w:rPr>
                <w:rFonts w:ascii="Courier New" w:cs="Courier New" w:eastAsia="Courier New" w:hAnsi="Courier New"/>
                <w:sz w:val="15"/>
                <w:szCs w:val="15"/>
                <w:color w:val="auto"/>
              </w:rPr>
              <w:t>Credit Lyonnais</w:t>
            </w:r>
          </w:p>
        </w:tc>
        <w:tc>
          <w:tcPr>
            <w:tcW w:w="23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$20,000,000</w:t>
            </w: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227</w:t>
            </w:r>
          </w:p>
        </w:tc>
        <w:tc>
          <w:tcPr>
            <w:tcW w:w="24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 Monroe Street,</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227</w:t>
            </w:r>
          </w:p>
        </w:tc>
        <w:tc>
          <w:tcPr>
            <w:tcW w:w="1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 Monroe Street,</w:t>
            </w:r>
          </w:p>
        </w:tc>
      </w:tr>
      <w:tr>
        <w:trPr>
          <w:trHeight w:val="173"/>
        </w:trPr>
        <w:tc>
          <w:tcPr>
            <w:tcW w:w="2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Suite 3800</w:t>
            </w:r>
          </w:p>
        </w:tc>
        <w:tc>
          <w:tcPr>
            <w:tcW w:w="1800" w:type="dxa"/>
            <w:vAlign w:val="bottom"/>
          </w:tcPr>
          <w:p>
            <w:pPr>
              <w:spacing w:after="0"/>
              <w:rPr>
                <w:sz w:val="15"/>
                <w:szCs w:val="15"/>
                <w:color w:val="auto"/>
              </w:rPr>
            </w:pPr>
          </w:p>
        </w:tc>
        <w:tc>
          <w:tcPr>
            <w:tcW w:w="15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7"/>
              </w:rPr>
              <w:t>Suite 3800</w:t>
            </w:r>
          </w:p>
        </w:tc>
        <w:tc>
          <w:tcPr>
            <w:tcW w:w="1180" w:type="dxa"/>
            <w:vAlign w:val="bottom"/>
          </w:tcPr>
          <w:p>
            <w:pPr>
              <w:spacing w:after="0"/>
              <w:rPr>
                <w:sz w:val="15"/>
                <w:szCs w:val="15"/>
                <w:color w:val="auto"/>
              </w:rPr>
            </w:pPr>
          </w:p>
        </w:tc>
      </w:tr>
      <w:tr>
        <w:trPr>
          <w:trHeight w:val="173"/>
        </w:trPr>
        <w:tc>
          <w:tcPr>
            <w:tcW w:w="2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0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Chicago, IL 60606</w:t>
            </w:r>
          </w:p>
        </w:tc>
        <w:tc>
          <w:tcPr>
            <w:tcW w:w="270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Chicago, IL 60606</w:t>
            </w:r>
          </w:p>
        </w:tc>
      </w:tr>
      <w:tr>
        <w:trPr>
          <w:trHeight w:val="173"/>
        </w:trPr>
        <w:tc>
          <w:tcPr>
            <w:tcW w:w="2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0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Attn:  Diego Sanfilippo</w:t>
            </w:r>
          </w:p>
        </w:tc>
        <w:tc>
          <w:tcPr>
            <w:tcW w:w="2700" w:type="dxa"/>
            <w:vAlign w:val="bottom"/>
            <w:gridSpan w:val="3"/>
          </w:tcPr>
          <w:p>
            <w:pPr>
              <w:ind w:left="620"/>
              <w:spacing w:after="0"/>
              <w:rPr>
                <w:sz w:val="20"/>
                <w:szCs w:val="20"/>
                <w:color w:val="auto"/>
              </w:rPr>
            </w:pPr>
            <w:r>
              <w:rPr>
                <w:rFonts w:ascii="Courier New" w:cs="Courier New" w:eastAsia="Courier New" w:hAnsi="Courier New"/>
                <w:sz w:val="15"/>
                <w:szCs w:val="15"/>
                <w:color w:val="auto"/>
                <w:w w:val="99"/>
              </w:rPr>
              <w:t>Attn:  Diego Sanfilippo</w:t>
            </w:r>
          </w:p>
        </w:tc>
      </w:tr>
      <w:tr>
        <w:trPr>
          <w:trHeight w:val="173"/>
        </w:trPr>
        <w:tc>
          <w:tcPr>
            <w:tcW w:w="2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T:</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(312)</w:t>
            </w:r>
          </w:p>
        </w:tc>
        <w:tc>
          <w:tcPr>
            <w:tcW w:w="1800" w:type="dxa"/>
            <w:vAlign w:val="bottom"/>
          </w:tcPr>
          <w:p>
            <w:pPr>
              <w:jc w:val="right"/>
              <w:ind w:right="1005"/>
              <w:spacing w:after="0"/>
              <w:rPr>
                <w:sz w:val="20"/>
                <w:szCs w:val="20"/>
                <w:color w:val="auto"/>
              </w:rPr>
            </w:pPr>
            <w:r>
              <w:rPr>
                <w:rFonts w:ascii="Courier New" w:cs="Courier New" w:eastAsia="Courier New" w:hAnsi="Courier New"/>
                <w:sz w:val="15"/>
                <w:szCs w:val="15"/>
                <w:color w:val="auto"/>
                <w:w w:val="97"/>
              </w:rPr>
              <w:t>220-7313</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(312)</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7"/>
              </w:rPr>
              <w:t>220-7313</w:t>
            </w:r>
          </w:p>
        </w:tc>
      </w:tr>
      <w:tr>
        <w:trPr>
          <w:trHeight w:val="173"/>
        </w:trPr>
        <w:tc>
          <w:tcPr>
            <w:tcW w:w="2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F:</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(312)</w:t>
            </w:r>
          </w:p>
        </w:tc>
        <w:tc>
          <w:tcPr>
            <w:tcW w:w="1800" w:type="dxa"/>
            <w:vAlign w:val="bottom"/>
          </w:tcPr>
          <w:p>
            <w:pPr>
              <w:jc w:val="right"/>
              <w:ind w:right="1005"/>
              <w:spacing w:after="0"/>
              <w:rPr>
                <w:sz w:val="20"/>
                <w:szCs w:val="20"/>
                <w:color w:val="auto"/>
              </w:rPr>
            </w:pPr>
            <w:r>
              <w:rPr>
                <w:rFonts w:ascii="Courier New" w:cs="Courier New" w:eastAsia="Courier New" w:hAnsi="Courier New"/>
                <w:sz w:val="15"/>
                <w:szCs w:val="15"/>
                <w:color w:val="auto"/>
                <w:w w:val="97"/>
              </w:rPr>
              <w:t>641-0527</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F:</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(312)</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7"/>
              </w:rPr>
              <w:t>641-0527</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 ------------------------------------ ----------------------------------</w:t>
      </w:r>
    </w:p>
    <w:p>
      <w:pPr>
        <w:sectPr>
          <w:pgSz w:w="11900" w:h="16838" w:orient="portrait"/>
          <w:cols w:equalWidth="0" w:num="1">
            <w:col w:w="11528"/>
          </w:cols>
          <w:pgMar w:left="232" w:top="464" w:right="139" w:bottom="1440" w:gutter="0" w:footer="0" w:header="0"/>
        </w:sectPr>
      </w:pPr>
    </w:p>
    <w:bookmarkStart w:id="29" w:name="page30"/>
    <w:bookmarkEnd w:id="29"/>
    <w:p>
      <w:pPr>
        <w:ind w:left="350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4" w:lineRule="exact"/>
        <w:rPr>
          <w:sz w:val="20"/>
          <w:szCs w:val="20"/>
          <w:color w:val="auto"/>
        </w:rPr>
      </w:pPr>
    </w:p>
    <w:p>
      <w:pPr>
        <w:ind w:left="540"/>
        <w:spacing w:after="0"/>
        <w:tabs>
          <w:tab w:leader="none" w:pos="3480" w:val="left"/>
          <w:tab w:leader="none" w:pos="5480" w:val="left"/>
          <w:tab w:leader="none" w:pos="8620" w:val="left"/>
        </w:tabs>
        <w:rPr>
          <w:sz w:val="20"/>
          <w:szCs w:val="20"/>
          <w:color w:val="auto"/>
        </w:rPr>
      </w:pPr>
      <w:r>
        <w:rPr>
          <w:rFonts w:ascii="Courier New" w:cs="Courier New" w:eastAsia="Courier New" w:hAnsi="Courier New"/>
          <w:sz w:val="15"/>
          <w:szCs w:val="15"/>
          <w:color w:val="auto"/>
        </w:rPr>
        <w:t>Name of Initial Lender</w:t>
      </w:r>
      <w:r>
        <w:rPr>
          <w:sz w:val="20"/>
          <w:szCs w:val="20"/>
          <w:color w:val="auto"/>
        </w:rPr>
        <w:tab/>
      </w:r>
      <w:r>
        <w:rPr>
          <w:rFonts w:ascii="Courier New" w:cs="Courier New" w:eastAsia="Courier New" w:hAnsi="Courier New"/>
          <w:sz w:val="15"/>
          <w:szCs w:val="15"/>
          <w:color w:val="auto"/>
        </w:rPr>
        <w:t>Commitment</w:t>
      </w:r>
      <w:r>
        <w:rPr>
          <w:sz w:val="20"/>
          <w:szCs w:val="20"/>
          <w:color w:val="auto"/>
        </w:rPr>
        <w:tab/>
      </w:r>
      <w:r>
        <w:rPr>
          <w:rFonts w:ascii="Courier New" w:cs="Courier New" w:eastAsia="Courier New" w:hAnsi="Courier New"/>
          <w:sz w:val="15"/>
          <w:szCs w:val="15"/>
          <w:color w:val="auto"/>
        </w:rPr>
        <w:t>Domestic Lending Office</w:t>
      </w:r>
      <w:r>
        <w:rPr>
          <w:sz w:val="20"/>
          <w:szCs w:val="20"/>
          <w:color w:val="auto"/>
        </w:rPr>
        <w:tab/>
      </w:r>
      <w:r>
        <w:rPr>
          <w:rFonts w:ascii="Courier New" w:cs="Courier New" w:eastAsia="Courier New" w:hAnsi="Courier New"/>
          <w:sz w:val="15"/>
          <w:szCs w:val="15"/>
          <w:color w:val="auto"/>
        </w:rPr>
        <w:t>Eurodollar Lending Office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Dresdner Bank AG, New</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York and</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$12,000,000</w:t>
            </w:r>
          </w:p>
        </w:tc>
      </w:tr>
      <w:tr>
        <w:trPr>
          <w:trHeight w:val="173"/>
        </w:trPr>
        <w:tc>
          <w:tcPr>
            <w:tcW w:w="1940" w:type="dxa"/>
            <w:vAlign w:val="bottom"/>
          </w:tcPr>
          <w:p>
            <w:pPr>
              <w:spacing w:after="0"/>
              <w:rPr>
                <w:sz w:val="20"/>
                <w:szCs w:val="20"/>
                <w:color w:val="auto"/>
              </w:rPr>
            </w:pPr>
            <w:r>
              <w:rPr>
                <w:rFonts w:ascii="Courier New" w:cs="Courier New" w:eastAsia="Courier New" w:hAnsi="Courier New"/>
                <w:sz w:val="15"/>
                <w:szCs w:val="15"/>
                <w:color w:val="auto"/>
              </w:rPr>
              <w:t>Grand Cayman Branches</w:t>
            </w: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60" w:type="dxa"/>
            <w:vAlign w:val="bottom"/>
          </w:tcPr>
          <w:p>
            <w:pPr>
              <w:spacing w:after="0"/>
              <w:rPr>
                <w:sz w:val="20"/>
                <w:szCs w:val="20"/>
                <w:color w:val="auto"/>
              </w:rPr>
            </w:pPr>
            <w:r>
              <w:rPr>
                <w:rFonts w:ascii="Courier New" w:cs="Courier New" w:eastAsia="Courier New" w:hAnsi="Courier New"/>
                <w:sz w:val="15"/>
                <w:szCs w:val="15"/>
                <w:color w:val="auto"/>
              </w:rPr>
              <w:t>U.S. Bank National Association</w:t>
            </w:r>
          </w:p>
        </w:tc>
        <w:tc>
          <w:tcPr>
            <w:tcW w:w="16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$12,000,000</w:t>
            </w: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777</w:t>
            </w:r>
          </w:p>
        </w:tc>
        <w:tc>
          <w:tcPr>
            <w:tcW w:w="24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 Wisconsin Avenue</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777</w:t>
            </w:r>
          </w:p>
        </w:tc>
        <w:tc>
          <w:tcPr>
            <w:tcW w:w="17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E. Wisconsin Avenue</w:t>
            </w:r>
          </w:p>
        </w:tc>
      </w:tr>
      <w:tr>
        <w:trPr>
          <w:trHeight w:val="173"/>
        </w:trPr>
        <w:tc>
          <w:tcPr>
            <w:tcW w:w="29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MK-FC-GLCB</w:t>
            </w:r>
          </w:p>
        </w:tc>
        <w:tc>
          <w:tcPr>
            <w:tcW w:w="1800" w:type="dxa"/>
            <w:vAlign w:val="bottom"/>
          </w:tcPr>
          <w:p>
            <w:pPr>
              <w:spacing w:after="0"/>
              <w:rPr>
                <w:sz w:val="15"/>
                <w:szCs w:val="15"/>
                <w:color w:val="auto"/>
              </w:rPr>
            </w:pPr>
          </w:p>
        </w:tc>
        <w:tc>
          <w:tcPr>
            <w:tcW w:w="15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7"/>
              </w:rPr>
              <w:t>MK-FC-GLCB</w:t>
            </w:r>
          </w:p>
        </w:tc>
        <w:tc>
          <w:tcPr>
            <w:tcW w:w="1180" w:type="dxa"/>
            <w:vAlign w:val="bottom"/>
          </w:tcPr>
          <w:p>
            <w:pPr>
              <w:spacing w:after="0"/>
              <w:rPr>
                <w:sz w:val="15"/>
                <w:szCs w:val="15"/>
                <w:color w:val="auto"/>
              </w:rPr>
            </w:pPr>
          </w:p>
        </w:tc>
      </w:tr>
      <w:tr>
        <w:trPr>
          <w:trHeight w:val="173"/>
        </w:trPr>
        <w:tc>
          <w:tcPr>
            <w:tcW w:w="29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Milwaukee, WI 53202</w:t>
            </w:r>
          </w:p>
        </w:tc>
        <w:tc>
          <w:tcPr>
            <w:tcW w:w="270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Milwaukee, WI 53202</w:t>
            </w:r>
          </w:p>
        </w:tc>
      </w:tr>
      <w:tr>
        <w:trPr>
          <w:trHeight w:val="173"/>
        </w:trPr>
        <w:tc>
          <w:tcPr>
            <w:tcW w:w="29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Attn:  Matt Jaworski</w:t>
            </w:r>
          </w:p>
        </w:tc>
        <w:tc>
          <w:tcPr>
            <w:tcW w:w="270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Attn:  Matt Jaworski</w:t>
            </w:r>
          </w:p>
        </w:tc>
      </w:tr>
      <w:tr>
        <w:trPr>
          <w:trHeight w:val="173"/>
        </w:trPr>
        <w:tc>
          <w:tcPr>
            <w:tcW w:w="29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T:</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(414)</w:t>
            </w:r>
          </w:p>
        </w:tc>
        <w:tc>
          <w:tcPr>
            <w:tcW w:w="1800" w:type="dxa"/>
            <w:vAlign w:val="bottom"/>
          </w:tcPr>
          <w:p>
            <w:pPr>
              <w:jc w:val="right"/>
              <w:ind w:right="1005"/>
              <w:spacing w:after="0"/>
              <w:rPr>
                <w:sz w:val="20"/>
                <w:szCs w:val="20"/>
                <w:color w:val="auto"/>
              </w:rPr>
            </w:pPr>
            <w:r>
              <w:rPr>
                <w:rFonts w:ascii="Courier New" w:cs="Courier New" w:eastAsia="Courier New" w:hAnsi="Courier New"/>
                <w:sz w:val="15"/>
                <w:szCs w:val="15"/>
                <w:color w:val="auto"/>
                <w:w w:val="97"/>
              </w:rPr>
              <w:t>765-4478</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(414)</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7"/>
              </w:rPr>
              <w:t>765-4478</w:t>
            </w:r>
          </w:p>
        </w:tc>
      </w:tr>
      <w:tr>
        <w:trPr>
          <w:trHeight w:val="173"/>
        </w:trPr>
        <w:tc>
          <w:tcPr>
            <w:tcW w:w="29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F:</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(414)</w:t>
            </w:r>
          </w:p>
        </w:tc>
        <w:tc>
          <w:tcPr>
            <w:tcW w:w="1800" w:type="dxa"/>
            <w:vAlign w:val="bottom"/>
          </w:tcPr>
          <w:p>
            <w:pPr>
              <w:jc w:val="right"/>
              <w:ind w:right="1005"/>
              <w:spacing w:after="0"/>
              <w:rPr>
                <w:sz w:val="20"/>
                <w:szCs w:val="20"/>
                <w:color w:val="auto"/>
              </w:rPr>
            </w:pPr>
            <w:r>
              <w:rPr>
                <w:rFonts w:ascii="Courier New" w:cs="Courier New" w:eastAsia="Courier New" w:hAnsi="Courier New"/>
                <w:sz w:val="15"/>
                <w:szCs w:val="15"/>
                <w:color w:val="auto"/>
                <w:w w:val="97"/>
              </w:rPr>
              <w:t>765-5367</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F:</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(414)</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7"/>
              </w:rPr>
              <w:t>765-5367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Fleet National Bank</w:t>
            </w:r>
          </w:p>
        </w:tc>
        <w:tc>
          <w:tcPr>
            <w:tcW w:w="212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$15,000,000</w:t>
            </w: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100</w:t>
            </w:r>
          </w:p>
        </w:tc>
        <w:tc>
          <w:tcPr>
            <w:tcW w:w="24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Federal Street MADE</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100</w:t>
            </w:r>
          </w:p>
        </w:tc>
        <w:tc>
          <w:tcPr>
            <w:tcW w:w="17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Federal Street MADE</w:t>
            </w:r>
          </w:p>
        </w:tc>
      </w:tr>
      <w:tr>
        <w:trPr>
          <w:trHeight w:val="173"/>
        </w:trPr>
        <w:tc>
          <w:tcPr>
            <w:tcW w:w="2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10007F</w:t>
            </w:r>
          </w:p>
        </w:tc>
        <w:tc>
          <w:tcPr>
            <w:tcW w:w="1860" w:type="dxa"/>
            <w:vAlign w:val="bottom"/>
          </w:tcPr>
          <w:p>
            <w:pPr>
              <w:spacing w:after="0"/>
              <w:rPr>
                <w:sz w:val="15"/>
                <w:szCs w:val="15"/>
                <w:color w:val="auto"/>
              </w:rPr>
            </w:pPr>
          </w:p>
        </w:tc>
        <w:tc>
          <w:tcPr>
            <w:tcW w:w="14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10007G</w:t>
            </w:r>
          </w:p>
        </w:tc>
        <w:tc>
          <w:tcPr>
            <w:tcW w:w="1220" w:type="dxa"/>
            <w:vAlign w:val="bottom"/>
          </w:tcPr>
          <w:p>
            <w:pPr>
              <w:spacing w:after="0"/>
              <w:rPr>
                <w:sz w:val="15"/>
                <w:szCs w:val="15"/>
                <w:color w:val="auto"/>
              </w:rPr>
            </w:pPr>
          </w:p>
        </w:tc>
      </w:tr>
      <w:tr>
        <w:trPr>
          <w:trHeight w:val="173"/>
        </w:trPr>
        <w:tc>
          <w:tcPr>
            <w:tcW w:w="2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0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Boston, MA 02110</w:t>
            </w:r>
          </w:p>
        </w:tc>
        <w:tc>
          <w:tcPr>
            <w:tcW w:w="270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Boston, MA 02110</w:t>
            </w:r>
          </w:p>
        </w:tc>
      </w:tr>
      <w:tr>
        <w:trPr>
          <w:trHeight w:val="173"/>
        </w:trPr>
        <w:tc>
          <w:tcPr>
            <w:tcW w:w="2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0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Attn:  Dan Johnson</w:t>
            </w:r>
          </w:p>
        </w:tc>
        <w:tc>
          <w:tcPr>
            <w:tcW w:w="270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Attn:  Richard DeNutte</w:t>
            </w:r>
          </w:p>
        </w:tc>
      </w:tr>
      <w:tr>
        <w:trPr>
          <w:trHeight w:val="173"/>
        </w:trPr>
        <w:tc>
          <w:tcPr>
            <w:tcW w:w="2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T:</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(617)</w:t>
            </w:r>
          </w:p>
        </w:tc>
        <w:tc>
          <w:tcPr>
            <w:tcW w:w="18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434-4544</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(617)</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434-5351</w:t>
            </w:r>
          </w:p>
        </w:tc>
      </w:tr>
      <w:tr>
        <w:trPr>
          <w:trHeight w:val="173"/>
        </w:trPr>
        <w:tc>
          <w:tcPr>
            <w:tcW w:w="2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F:</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(617)</w:t>
            </w:r>
          </w:p>
        </w:tc>
        <w:tc>
          <w:tcPr>
            <w:tcW w:w="18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434-8102</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F:</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(617)</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434-1279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80" w:type="dxa"/>
            <w:vAlign w:val="bottom"/>
          </w:tcPr>
          <w:p>
            <w:pPr>
              <w:spacing w:after="0"/>
              <w:rPr>
                <w:sz w:val="20"/>
                <w:szCs w:val="20"/>
                <w:color w:val="auto"/>
              </w:rPr>
            </w:pPr>
            <w:r>
              <w:rPr>
                <w:rFonts w:ascii="Courier New" w:cs="Courier New" w:eastAsia="Courier New" w:hAnsi="Courier New"/>
                <w:sz w:val="15"/>
                <w:szCs w:val="15"/>
                <w:color w:val="auto"/>
              </w:rPr>
              <w:t>M&amp;I Marshall and Ilsley Bank</w:t>
            </w:r>
          </w:p>
        </w:tc>
        <w:tc>
          <w:tcPr>
            <w:tcW w:w="172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$20,000,000</w:t>
            </w:r>
          </w:p>
        </w:tc>
        <w:tc>
          <w:tcPr>
            <w:tcW w:w="342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770 North Water Street</w:t>
            </w:r>
          </w:p>
        </w:tc>
        <w:tc>
          <w:tcPr>
            <w:tcW w:w="30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770 North Water Street</w:t>
            </w:r>
          </w:p>
        </w:tc>
      </w:tr>
      <w:tr>
        <w:trPr>
          <w:trHeight w:val="173"/>
        </w:trPr>
        <w:tc>
          <w:tcPr>
            <w:tcW w:w="28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20" w:type="dxa"/>
            <w:vAlign w:val="bottom"/>
          </w:tcPr>
          <w:p>
            <w:pPr>
              <w:ind w:left="360"/>
              <w:spacing w:after="0"/>
              <w:rPr>
                <w:sz w:val="20"/>
                <w:szCs w:val="20"/>
                <w:color w:val="auto"/>
              </w:rPr>
            </w:pPr>
            <w:r>
              <w:rPr>
                <w:rFonts w:ascii="Courier New" w:cs="Courier New" w:eastAsia="Courier New" w:hAnsi="Courier New"/>
                <w:sz w:val="15"/>
                <w:szCs w:val="15"/>
                <w:color w:val="auto"/>
                <w:w w:val="94"/>
              </w:rPr>
              <w:t>NW18</w:t>
            </w:r>
          </w:p>
        </w:tc>
        <w:tc>
          <w:tcPr>
            <w:tcW w:w="4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w w:val="94"/>
              </w:rPr>
              <w:t>NW18</w:t>
            </w:r>
          </w:p>
        </w:tc>
        <w:tc>
          <w:tcPr>
            <w:tcW w:w="5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73"/>
        </w:trPr>
        <w:tc>
          <w:tcPr>
            <w:tcW w:w="28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42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Milwaukee, WI 53202</w:t>
            </w:r>
          </w:p>
        </w:tc>
        <w:tc>
          <w:tcPr>
            <w:tcW w:w="30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Milwaukee, WI 53202</w:t>
            </w:r>
          </w:p>
        </w:tc>
      </w:tr>
      <w:tr>
        <w:trPr>
          <w:trHeight w:val="173"/>
        </w:trPr>
        <w:tc>
          <w:tcPr>
            <w:tcW w:w="28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42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Attn:  Leo D. Freeman or Thomas</w:t>
            </w:r>
          </w:p>
        </w:tc>
        <w:tc>
          <w:tcPr>
            <w:tcW w:w="306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9"/>
              </w:rPr>
              <w:t>Attn:  Leo D. Freeman or Thomas</w:t>
            </w:r>
          </w:p>
        </w:tc>
      </w:tr>
      <w:tr>
        <w:trPr>
          <w:trHeight w:val="173"/>
        </w:trPr>
        <w:tc>
          <w:tcPr>
            <w:tcW w:w="28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42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Bickelhaupt</w:t>
            </w:r>
          </w:p>
        </w:tc>
        <w:tc>
          <w:tcPr>
            <w:tcW w:w="30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Bickelhaupt</w:t>
            </w:r>
          </w:p>
        </w:tc>
      </w:tr>
      <w:tr>
        <w:trPr>
          <w:trHeight w:val="173"/>
        </w:trPr>
        <w:tc>
          <w:tcPr>
            <w:tcW w:w="28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20" w:type="dxa"/>
            <w:vAlign w:val="bottom"/>
          </w:tcPr>
          <w:p>
            <w:pPr>
              <w:ind w:left="360"/>
              <w:spacing w:after="0"/>
              <w:rPr>
                <w:sz w:val="20"/>
                <w:szCs w:val="20"/>
                <w:color w:val="auto"/>
              </w:rPr>
            </w:pPr>
            <w:r>
              <w:rPr>
                <w:rFonts w:ascii="Courier New" w:cs="Courier New" w:eastAsia="Courier New" w:hAnsi="Courier New"/>
                <w:sz w:val="15"/>
                <w:szCs w:val="15"/>
                <w:color w:val="auto"/>
              </w:rPr>
              <w:t>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(414)</w:t>
            </w:r>
          </w:p>
        </w:tc>
        <w:tc>
          <w:tcPr>
            <w:tcW w:w="2220" w:type="dxa"/>
            <w:vAlign w:val="bottom"/>
          </w:tcPr>
          <w:p>
            <w:pPr>
              <w:ind w:left="60"/>
              <w:spacing w:after="0"/>
              <w:rPr>
                <w:sz w:val="20"/>
                <w:szCs w:val="20"/>
                <w:color w:val="auto"/>
              </w:rPr>
            </w:pPr>
            <w:r>
              <w:rPr>
                <w:rFonts w:ascii="Courier New" w:cs="Courier New" w:eastAsia="Courier New" w:hAnsi="Courier New"/>
                <w:sz w:val="15"/>
                <w:szCs w:val="15"/>
                <w:color w:val="auto"/>
              </w:rPr>
              <w:t>765-7943/7944</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(414)</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765-7943/7944</w:t>
            </w:r>
          </w:p>
        </w:tc>
      </w:tr>
      <w:tr>
        <w:trPr>
          <w:trHeight w:val="173"/>
        </w:trPr>
        <w:tc>
          <w:tcPr>
            <w:tcW w:w="28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20" w:type="dxa"/>
            <w:vAlign w:val="bottom"/>
          </w:tcPr>
          <w:p>
            <w:pPr>
              <w:ind w:left="360"/>
              <w:spacing w:after="0"/>
              <w:rPr>
                <w:sz w:val="20"/>
                <w:szCs w:val="20"/>
                <w:color w:val="auto"/>
              </w:rPr>
            </w:pPr>
            <w:r>
              <w:rPr>
                <w:rFonts w:ascii="Courier New" w:cs="Courier New" w:eastAsia="Courier New" w:hAnsi="Courier New"/>
                <w:sz w:val="15"/>
                <w:szCs w:val="15"/>
                <w:color w:val="auto"/>
              </w:rPr>
              <w:t>F:</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(414)</w:t>
            </w:r>
          </w:p>
        </w:tc>
        <w:tc>
          <w:tcPr>
            <w:tcW w:w="2220" w:type="dxa"/>
            <w:vAlign w:val="bottom"/>
          </w:tcPr>
          <w:p>
            <w:pPr>
              <w:ind w:left="60"/>
              <w:spacing w:after="0"/>
              <w:rPr>
                <w:sz w:val="20"/>
                <w:szCs w:val="20"/>
                <w:color w:val="auto"/>
              </w:rPr>
            </w:pPr>
            <w:r>
              <w:rPr>
                <w:rFonts w:ascii="Courier New" w:cs="Courier New" w:eastAsia="Courier New" w:hAnsi="Courier New"/>
                <w:sz w:val="15"/>
                <w:szCs w:val="15"/>
                <w:color w:val="auto"/>
              </w:rPr>
              <w:t>765-7625</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F:</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(414)</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765-7625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60" w:type="dxa"/>
            <w:vAlign w:val="bottom"/>
          </w:tcPr>
          <w:p>
            <w:pPr>
              <w:spacing w:after="0"/>
              <w:rPr>
                <w:sz w:val="20"/>
                <w:szCs w:val="20"/>
                <w:color w:val="auto"/>
              </w:rPr>
            </w:pPr>
            <w:r>
              <w:rPr>
                <w:rFonts w:ascii="Courier New" w:cs="Courier New" w:eastAsia="Courier New" w:hAnsi="Courier New"/>
                <w:sz w:val="15"/>
                <w:szCs w:val="15"/>
                <w:color w:val="auto"/>
              </w:rPr>
              <w:t>The Royal Bank of Scotland plc</w:t>
            </w:r>
          </w:p>
        </w:tc>
        <w:tc>
          <w:tcPr>
            <w:tcW w:w="16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$20,000,000</w:t>
            </w: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101</w:t>
            </w:r>
          </w:p>
        </w:tc>
        <w:tc>
          <w:tcPr>
            <w:tcW w:w="25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Park Avenue, 12th floor</w:t>
            </w:r>
          </w:p>
        </w:tc>
        <w:tc>
          <w:tcPr>
            <w:tcW w:w="760" w:type="dxa"/>
            <w:vAlign w:val="bottom"/>
          </w:tcPr>
          <w:p>
            <w:pPr>
              <w:ind w:left="440"/>
              <w:spacing w:after="0"/>
              <w:rPr>
                <w:sz w:val="20"/>
                <w:szCs w:val="20"/>
                <w:color w:val="auto"/>
              </w:rPr>
            </w:pPr>
            <w:r>
              <w:rPr>
                <w:rFonts w:ascii="Courier New" w:cs="Courier New" w:eastAsia="Courier New" w:hAnsi="Courier New"/>
                <w:sz w:val="15"/>
                <w:szCs w:val="15"/>
                <w:color w:val="auto"/>
              </w:rPr>
              <w:t>101</w:t>
            </w:r>
          </w:p>
        </w:tc>
        <w:tc>
          <w:tcPr>
            <w:tcW w:w="21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Park Avenue, 12th floor</w:t>
            </w:r>
          </w:p>
        </w:tc>
      </w:tr>
      <w:tr>
        <w:trPr>
          <w:trHeight w:val="173"/>
        </w:trPr>
        <w:tc>
          <w:tcPr>
            <w:tcW w:w="29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New</w:t>
            </w:r>
          </w:p>
        </w:tc>
        <w:tc>
          <w:tcPr>
            <w:tcW w:w="25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York, NY, 10178</w:t>
            </w:r>
          </w:p>
        </w:tc>
        <w:tc>
          <w:tcPr>
            <w:tcW w:w="760" w:type="dxa"/>
            <w:vAlign w:val="bottom"/>
          </w:tcPr>
          <w:p>
            <w:pPr>
              <w:ind w:left="440"/>
              <w:spacing w:after="0"/>
              <w:rPr>
                <w:sz w:val="20"/>
                <w:szCs w:val="20"/>
                <w:color w:val="auto"/>
              </w:rPr>
            </w:pPr>
            <w:r>
              <w:rPr>
                <w:rFonts w:ascii="Courier New" w:cs="Courier New" w:eastAsia="Courier New" w:hAnsi="Courier New"/>
                <w:sz w:val="15"/>
                <w:szCs w:val="15"/>
                <w:color w:val="auto"/>
              </w:rPr>
              <w:t>New</w:t>
            </w:r>
          </w:p>
        </w:tc>
        <w:tc>
          <w:tcPr>
            <w:tcW w:w="21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York, NY, 10178</w:t>
            </w:r>
          </w:p>
        </w:tc>
      </w:tr>
      <w:tr>
        <w:trPr>
          <w:trHeight w:val="173"/>
        </w:trPr>
        <w:tc>
          <w:tcPr>
            <w:tcW w:w="29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24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Attn: Sheila Shaw</w:t>
            </w:r>
          </w:p>
        </w:tc>
        <w:tc>
          <w:tcPr>
            <w:tcW w:w="288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Attn: Sheila Shaw</w:t>
            </w:r>
          </w:p>
        </w:tc>
      </w:tr>
      <w:tr>
        <w:trPr>
          <w:trHeight w:val="173"/>
        </w:trPr>
        <w:tc>
          <w:tcPr>
            <w:tcW w:w="29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T:</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212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401</w:t>
            </w:r>
          </w:p>
        </w:tc>
        <w:tc>
          <w:tcPr>
            <w:tcW w:w="1860" w:type="dxa"/>
            <w:vAlign w:val="bottom"/>
          </w:tcPr>
          <w:p>
            <w:pPr>
              <w:jc w:val="right"/>
              <w:ind w:right="1365"/>
              <w:spacing w:after="0"/>
              <w:rPr>
                <w:sz w:val="20"/>
                <w:szCs w:val="20"/>
                <w:color w:val="auto"/>
              </w:rPr>
            </w:pPr>
            <w:r>
              <w:rPr>
                <w:rFonts w:ascii="Courier New" w:cs="Courier New" w:eastAsia="Courier New" w:hAnsi="Courier New"/>
                <w:sz w:val="15"/>
                <w:szCs w:val="15"/>
                <w:color w:val="auto"/>
              </w:rPr>
              <w:t>1406</w:t>
            </w:r>
          </w:p>
        </w:tc>
        <w:tc>
          <w:tcPr>
            <w:tcW w:w="760" w:type="dxa"/>
            <w:vAlign w:val="bottom"/>
          </w:tcPr>
          <w:p>
            <w:pPr>
              <w:ind w:left="440"/>
              <w:spacing w:after="0"/>
              <w:rPr>
                <w:sz w:val="20"/>
                <w:szCs w:val="20"/>
                <w:color w:val="auto"/>
              </w:rPr>
            </w:pPr>
            <w:r>
              <w:rPr>
                <w:rFonts w:ascii="Courier New" w:cs="Courier New" w:eastAsia="Courier New" w:hAnsi="Courier New"/>
                <w:sz w:val="15"/>
                <w:szCs w:val="15"/>
                <w:color w:val="auto"/>
              </w:rPr>
              <w:t>T:</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212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401</w:t>
            </w:r>
          </w:p>
        </w:tc>
        <w:tc>
          <w:tcPr>
            <w:tcW w:w="140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1406</w:t>
            </w:r>
          </w:p>
        </w:tc>
      </w:tr>
      <w:tr>
        <w:trPr>
          <w:trHeight w:val="173"/>
        </w:trPr>
        <w:tc>
          <w:tcPr>
            <w:tcW w:w="29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F:</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212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401</w:t>
            </w:r>
          </w:p>
        </w:tc>
        <w:tc>
          <w:tcPr>
            <w:tcW w:w="1860" w:type="dxa"/>
            <w:vAlign w:val="bottom"/>
          </w:tcPr>
          <w:p>
            <w:pPr>
              <w:jc w:val="right"/>
              <w:ind w:right="1365"/>
              <w:spacing w:after="0"/>
              <w:rPr>
                <w:sz w:val="20"/>
                <w:szCs w:val="20"/>
                <w:color w:val="auto"/>
              </w:rPr>
            </w:pPr>
            <w:r>
              <w:rPr>
                <w:rFonts w:ascii="Courier New" w:cs="Courier New" w:eastAsia="Courier New" w:hAnsi="Courier New"/>
                <w:sz w:val="15"/>
                <w:szCs w:val="15"/>
                <w:color w:val="auto"/>
              </w:rPr>
              <w:t>1491</w:t>
            </w:r>
          </w:p>
        </w:tc>
        <w:tc>
          <w:tcPr>
            <w:tcW w:w="760" w:type="dxa"/>
            <w:vAlign w:val="bottom"/>
          </w:tcPr>
          <w:p>
            <w:pPr>
              <w:ind w:left="440"/>
              <w:spacing w:after="0"/>
              <w:rPr>
                <w:sz w:val="20"/>
                <w:szCs w:val="20"/>
                <w:color w:val="auto"/>
              </w:rPr>
            </w:pPr>
            <w:r>
              <w:rPr>
                <w:rFonts w:ascii="Courier New" w:cs="Courier New" w:eastAsia="Courier New" w:hAnsi="Courier New"/>
                <w:sz w:val="15"/>
                <w:szCs w:val="15"/>
                <w:color w:val="auto"/>
              </w:rPr>
              <w:t>F:</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212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401</w:t>
            </w:r>
          </w:p>
        </w:tc>
        <w:tc>
          <w:tcPr>
            <w:tcW w:w="140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1491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00" w:type="dxa"/>
            <w:vAlign w:val="bottom"/>
          </w:tcPr>
          <w:p>
            <w:pPr>
              <w:spacing w:after="0"/>
              <w:rPr>
                <w:sz w:val="20"/>
                <w:szCs w:val="20"/>
                <w:color w:val="auto"/>
              </w:rPr>
            </w:pPr>
            <w:r>
              <w:rPr>
                <w:rFonts w:ascii="Courier New" w:cs="Courier New" w:eastAsia="Courier New" w:hAnsi="Courier New"/>
                <w:sz w:val="15"/>
                <w:szCs w:val="15"/>
                <w:color w:val="auto"/>
              </w:rPr>
              <w:t>Societe Generale</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$20,000,000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UniCredito Italiano</w:t>
            </w:r>
          </w:p>
        </w:tc>
        <w:tc>
          <w:tcPr>
            <w:tcW w:w="2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$8,000,000</w:t>
            </w:r>
          </w:p>
        </w:tc>
        <w:tc>
          <w:tcPr>
            <w:tcW w:w="3660" w:type="dxa"/>
            <w:vAlign w:val="bottom"/>
            <w:gridSpan w:val="3"/>
          </w:tcPr>
          <w:p>
            <w:pPr>
              <w:ind w:left="420"/>
              <w:spacing w:after="0"/>
              <w:rPr>
                <w:sz w:val="20"/>
                <w:szCs w:val="20"/>
                <w:color w:val="auto"/>
              </w:rPr>
            </w:pPr>
            <w:r>
              <w:rPr>
                <w:rFonts w:ascii="Courier New" w:cs="Courier New" w:eastAsia="Courier New" w:hAnsi="Courier New"/>
                <w:sz w:val="15"/>
                <w:szCs w:val="15"/>
                <w:color w:val="auto"/>
              </w:rPr>
              <w:t>UniCredito Italiano New York Branch</w:t>
            </w:r>
          </w:p>
        </w:tc>
        <w:tc>
          <w:tcPr>
            <w:tcW w:w="19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UniCredito Italiano</w:t>
            </w:r>
          </w:p>
        </w:tc>
      </w:tr>
      <w:tr>
        <w:trPr>
          <w:trHeight w:val="173"/>
        </w:trPr>
        <w:tc>
          <w:tcPr>
            <w:tcW w:w="2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20" w:type="dxa"/>
            <w:vAlign w:val="bottom"/>
          </w:tcPr>
          <w:p>
            <w:pPr>
              <w:ind w:left="420"/>
              <w:spacing w:after="0"/>
              <w:rPr>
                <w:sz w:val="20"/>
                <w:szCs w:val="20"/>
                <w:color w:val="auto"/>
              </w:rPr>
            </w:pPr>
            <w:r>
              <w:rPr>
                <w:rFonts w:ascii="Courier New" w:cs="Courier New" w:eastAsia="Courier New" w:hAnsi="Courier New"/>
                <w:sz w:val="15"/>
                <w:szCs w:val="15"/>
                <w:color w:val="auto"/>
              </w:rPr>
              <w:t>375</w:t>
            </w:r>
          </w:p>
        </w:tc>
        <w:tc>
          <w:tcPr>
            <w:tcW w:w="29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Park Avenue</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375</w:t>
            </w:r>
          </w:p>
        </w:tc>
        <w:tc>
          <w:tcPr>
            <w:tcW w:w="1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Park Avenue</w:t>
            </w:r>
          </w:p>
        </w:tc>
      </w:tr>
      <w:tr>
        <w:trPr>
          <w:trHeight w:val="173"/>
        </w:trPr>
        <w:tc>
          <w:tcPr>
            <w:tcW w:w="2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20" w:type="dxa"/>
            <w:vAlign w:val="bottom"/>
          </w:tcPr>
          <w:p>
            <w:pPr>
              <w:ind w:left="420"/>
              <w:spacing w:after="0"/>
              <w:rPr>
                <w:sz w:val="20"/>
                <w:szCs w:val="20"/>
                <w:color w:val="auto"/>
              </w:rPr>
            </w:pPr>
            <w:r>
              <w:rPr>
                <w:rFonts w:ascii="Courier New" w:cs="Courier New" w:eastAsia="Courier New" w:hAnsi="Courier New"/>
                <w:sz w:val="15"/>
                <w:szCs w:val="15"/>
                <w:color w:val="auto"/>
              </w:rPr>
              <w:t>New</w:t>
            </w:r>
          </w:p>
        </w:tc>
        <w:tc>
          <w:tcPr>
            <w:tcW w:w="29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York, NY 10152</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New</w:t>
            </w:r>
          </w:p>
        </w:tc>
        <w:tc>
          <w:tcPr>
            <w:tcW w:w="1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York, NY 10152</w:t>
            </w:r>
          </w:p>
        </w:tc>
      </w:tr>
      <w:tr>
        <w:trPr>
          <w:trHeight w:val="173"/>
        </w:trPr>
        <w:tc>
          <w:tcPr>
            <w:tcW w:w="2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660" w:type="dxa"/>
            <w:vAlign w:val="bottom"/>
            <w:gridSpan w:val="3"/>
          </w:tcPr>
          <w:p>
            <w:pPr>
              <w:ind w:left="420"/>
              <w:spacing w:after="0"/>
              <w:rPr>
                <w:sz w:val="20"/>
                <w:szCs w:val="20"/>
                <w:color w:val="auto"/>
              </w:rPr>
            </w:pPr>
            <w:r>
              <w:rPr>
                <w:rFonts w:ascii="Courier New" w:cs="Courier New" w:eastAsia="Courier New" w:hAnsi="Courier New"/>
                <w:sz w:val="15"/>
                <w:szCs w:val="15"/>
                <w:color w:val="auto"/>
              </w:rPr>
              <w:t>Attn: Charles Michael</w:t>
            </w:r>
          </w:p>
        </w:tc>
        <w:tc>
          <w:tcPr>
            <w:tcW w:w="19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Attn: Charles Michael</w:t>
            </w:r>
          </w:p>
        </w:tc>
      </w:tr>
      <w:tr>
        <w:trPr>
          <w:trHeight w:val="173"/>
        </w:trPr>
        <w:tc>
          <w:tcPr>
            <w:tcW w:w="2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20" w:type="dxa"/>
            <w:vAlign w:val="bottom"/>
          </w:tcPr>
          <w:p>
            <w:pPr>
              <w:ind w:left="420"/>
              <w:spacing w:after="0"/>
              <w:rPr>
                <w:sz w:val="20"/>
                <w:szCs w:val="20"/>
                <w:color w:val="auto"/>
              </w:rPr>
            </w:pPr>
            <w:r>
              <w:rPr>
                <w:rFonts w:ascii="Courier New" w:cs="Courier New" w:eastAsia="Courier New" w:hAnsi="Courier New"/>
                <w:sz w:val="15"/>
                <w:szCs w:val="15"/>
                <w:color w:val="auto"/>
              </w:rPr>
              <w:t>T:</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(212)</w:t>
            </w:r>
          </w:p>
        </w:tc>
        <w:tc>
          <w:tcPr>
            <w:tcW w:w="2400" w:type="dxa"/>
            <w:vAlign w:val="bottom"/>
          </w:tcPr>
          <w:p>
            <w:pPr>
              <w:jc w:val="right"/>
              <w:ind w:right="1545"/>
              <w:spacing w:after="0"/>
              <w:rPr>
                <w:sz w:val="20"/>
                <w:szCs w:val="20"/>
                <w:color w:val="auto"/>
              </w:rPr>
            </w:pPr>
            <w:r>
              <w:rPr>
                <w:rFonts w:ascii="Courier New" w:cs="Courier New" w:eastAsia="Courier New" w:hAnsi="Courier New"/>
                <w:sz w:val="15"/>
                <w:szCs w:val="15"/>
                <w:color w:val="auto"/>
              </w:rPr>
              <w:t>546-9604</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(212)</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546-9604</w:t>
            </w:r>
          </w:p>
        </w:tc>
      </w:tr>
      <w:tr>
        <w:trPr>
          <w:trHeight w:val="173"/>
        </w:trPr>
        <w:tc>
          <w:tcPr>
            <w:tcW w:w="2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20" w:type="dxa"/>
            <w:vAlign w:val="bottom"/>
          </w:tcPr>
          <w:p>
            <w:pPr>
              <w:ind w:left="420"/>
              <w:spacing w:after="0"/>
              <w:rPr>
                <w:sz w:val="20"/>
                <w:szCs w:val="20"/>
                <w:color w:val="auto"/>
              </w:rPr>
            </w:pPr>
            <w:r>
              <w:rPr>
                <w:rFonts w:ascii="Courier New" w:cs="Courier New" w:eastAsia="Courier New" w:hAnsi="Courier New"/>
                <w:sz w:val="15"/>
                <w:szCs w:val="15"/>
                <w:color w:val="auto"/>
              </w:rPr>
              <w:t>F:</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(212)</w:t>
            </w:r>
          </w:p>
        </w:tc>
        <w:tc>
          <w:tcPr>
            <w:tcW w:w="2400" w:type="dxa"/>
            <w:vAlign w:val="bottom"/>
          </w:tcPr>
          <w:p>
            <w:pPr>
              <w:jc w:val="right"/>
              <w:ind w:right="1545"/>
              <w:spacing w:after="0"/>
              <w:rPr>
                <w:sz w:val="20"/>
                <w:szCs w:val="20"/>
                <w:color w:val="auto"/>
              </w:rPr>
            </w:pPr>
            <w:r>
              <w:rPr>
                <w:rFonts w:ascii="Courier New" w:cs="Courier New" w:eastAsia="Courier New" w:hAnsi="Courier New"/>
                <w:sz w:val="15"/>
                <w:szCs w:val="15"/>
                <w:color w:val="auto"/>
              </w:rPr>
              <w:t>546-9665</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(212)</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546-9665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spacing w:after="0"/>
              <w:rPr>
                <w:sz w:val="20"/>
                <w:szCs w:val="20"/>
                <w:color w:val="auto"/>
              </w:rPr>
            </w:pPr>
            <w:r>
              <w:rPr>
                <w:rFonts w:ascii="Courier New" w:cs="Courier New" w:eastAsia="Courier New" w:hAnsi="Courier New"/>
                <w:sz w:val="15"/>
                <w:szCs w:val="15"/>
                <w:color w:val="auto"/>
              </w:rPr>
              <w:t>Wachovia Bank, National</w:t>
            </w:r>
          </w:p>
        </w:tc>
        <w:tc>
          <w:tcPr>
            <w:tcW w:w="19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$32,000,000</w:t>
            </w:r>
          </w:p>
        </w:tc>
        <w:tc>
          <w:tcPr>
            <w:tcW w:w="31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Wachovia Securities</w:t>
            </w:r>
          </w:p>
        </w:tc>
        <w:tc>
          <w:tcPr>
            <w:tcW w:w="276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Wachovia Securities</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Association</w:t>
            </w:r>
          </w:p>
        </w:tc>
        <w:tc>
          <w:tcPr>
            <w:tcW w:w="1940" w:type="dxa"/>
            <w:vAlign w:val="bottom"/>
          </w:tcPr>
          <w:p>
            <w:pPr>
              <w:spacing w:after="0"/>
              <w:rPr>
                <w:sz w:val="15"/>
                <w:szCs w:val="15"/>
                <w:color w:val="auto"/>
              </w:rPr>
            </w:pPr>
          </w:p>
        </w:tc>
        <w:tc>
          <w:tcPr>
            <w:tcW w:w="31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201 South College Street</w:t>
            </w:r>
          </w:p>
        </w:tc>
        <w:tc>
          <w:tcPr>
            <w:tcW w:w="2760" w:type="dxa"/>
            <w:vAlign w:val="bottom"/>
            <w:gridSpan w:val="3"/>
          </w:tcPr>
          <w:p>
            <w:pPr>
              <w:ind w:left="580"/>
              <w:spacing w:after="0"/>
              <w:rPr>
                <w:sz w:val="20"/>
                <w:szCs w:val="20"/>
                <w:color w:val="auto"/>
              </w:rPr>
            </w:pPr>
            <w:r>
              <w:rPr>
                <w:rFonts w:ascii="Courier New" w:cs="Courier New" w:eastAsia="Courier New" w:hAnsi="Courier New"/>
                <w:sz w:val="15"/>
                <w:szCs w:val="15"/>
                <w:color w:val="auto"/>
                <w:w w:val="99"/>
              </w:rPr>
              <w:t>201 South College Street</w:t>
            </w:r>
          </w:p>
        </w:tc>
      </w:tr>
      <w:tr>
        <w:trPr>
          <w:trHeight w:val="173"/>
        </w:trPr>
        <w:tc>
          <w:tcPr>
            <w:tcW w:w="26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1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Charlotte, NC 28288-1183</w:t>
            </w:r>
          </w:p>
        </w:tc>
        <w:tc>
          <w:tcPr>
            <w:tcW w:w="2760" w:type="dxa"/>
            <w:vAlign w:val="bottom"/>
            <w:gridSpan w:val="3"/>
          </w:tcPr>
          <w:p>
            <w:pPr>
              <w:ind w:left="580"/>
              <w:spacing w:after="0"/>
              <w:rPr>
                <w:sz w:val="20"/>
                <w:szCs w:val="20"/>
                <w:color w:val="auto"/>
              </w:rPr>
            </w:pPr>
            <w:r>
              <w:rPr>
                <w:rFonts w:ascii="Courier New" w:cs="Courier New" w:eastAsia="Courier New" w:hAnsi="Courier New"/>
                <w:sz w:val="15"/>
                <w:szCs w:val="15"/>
                <w:color w:val="auto"/>
                <w:w w:val="99"/>
              </w:rPr>
              <w:t>Charlotte, NC 28288-1183</w:t>
            </w:r>
          </w:p>
        </w:tc>
      </w:tr>
      <w:tr>
        <w:trPr>
          <w:trHeight w:val="173"/>
        </w:trPr>
        <w:tc>
          <w:tcPr>
            <w:tcW w:w="26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1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Attn:  James F. Heatwole</w:t>
            </w:r>
          </w:p>
        </w:tc>
        <w:tc>
          <w:tcPr>
            <w:tcW w:w="2760" w:type="dxa"/>
            <w:vAlign w:val="bottom"/>
            <w:gridSpan w:val="3"/>
          </w:tcPr>
          <w:p>
            <w:pPr>
              <w:ind w:left="580"/>
              <w:spacing w:after="0"/>
              <w:rPr>
                <w:sz w:val="20"/>
                <w:szCs w:val="20"/>
                <w:color w:val="auto"/>
              </w:rPr>
            </w:pPr>
            <w:r>
              <w:rPr>
                <w:rFonts w:ascii="Courier New" w:cs="Courier New" w:eastAsia="Courier New" w:hAnsi="Courier New"/>
                <w:sz w:val="15"/>
                <w:szCs w:val="15"/>
                <w:color w:val="auto"/>
                <w:w w:val="99"/>
              </w:rPr>
              <w:t>Attn:  James F. Heatwole</w:t>
            </w:r>
          </w:p>
        </w:tc>
      </w:tr>
      <w:tr>
        <w:trPr>
          <w:trHeight w:val="173"/>
        </w:trPr>
        <w:tc>
          <w:tcPr>
            <w:tcW w:w="26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(704)</w:t>
            </w:r>
          </w:p>
        </w:tc>
        <w:tc>
          <w:tcPr>
            <w:tcW w:w="190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715-8099</w:t>
            </w:r>
          </w:p>
        </w:tc>
        <w:tc>
          <w:tcPr>
            <w:tcW w:w="860" w:type="dxa"/>
            <w:vAlign w:val="bottom"/>
          </w:tcPr>
          <w:p>
            <w:pPr>
              <w:ind w:left="580"/>
              <w:spacing w:after="0"/>
              <w:rPr>
                <w:sz w:val="20"/>
                <w:szCs w:val="20"/>
                <w:color w:val="auto"/>
              </w:rPr>
            </w:pPr>
            <w:r>
              <w:rPr>
                <w:rFonts w:ascii="Courier New" w:cs="Courier New" w:eastAsia="Courier New" w:hAnsi="Courier New"/>
                <w:sz w:val="15"/>
                <w:szCs w:val="15"/>
                <w:color w:val="auto"/>
              </w:rPr>
              <w:t>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(704)</w:t>
            </w:r>
          </w:p>
        </w:tc>
        <w:tc>
          <w:tcPr>
            <w:tcW w:w="13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715-8099</w:t>
            </w:r>
          </w:p>
        </w:tc>
      </w:tr>
      <w:tr>
        <w:trPr>
          <w:trHeight w:val="173"/>
        </w:trPr>
        <w:tc>
          <w:tcPr>
            <w:tcW w:w="26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F:</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(704)</w:t>
            </w:r>
          </w:p>
        </w:tc>
        <w:tc>
          <w:tcPr>
            <w:tcW w:w="190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383-7611</w:t>
            </w:r>
          </w:p>
        </w:tc>
        <w:tc>
          <w:tcPr>
            <w:tcW w:w="860" w:type="dxa"/>
            <w:vAlign w:val="bottom"/>
          </w:tcPr>
          <w:p>
            <w:pPr>
              <w:ind w:left="580"/>
              <w:spacing w:after="0"/>
              <w:rPr>
                <w:sz w:val="20"/>
                <w:szCs w:val="20"/>
                <w:color w:val="auto"/>
              </w:rPr>
            </w:pPr>
            <w:r>
              <w:rPr>
                <w:rFonts w:ascii="Courier New" w:cs="Courier New" w:eastAsia="Courier New" w:hAnsi="Courier New"/>
                <w:sz w:val="15"/>
                <w:szCs w:val="15"/>
                <w:color w:val="auto"/>
              </w:rPr>
              <w:t>F:</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(704)</w:t>
            </w:r>
          </w:p>
        </w:tc>
        <w:tc>
          <w:tcPr>
            <w:tcW w:w="13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383-7611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TOTAL OF</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$285,000,000</w:t>
            </w:r>
          </w:p>
        </w:tc>
      </w:tr>
      <w:tr>
        <w:trPr>
          <w:trHeight w:val="173"/>
        </w:trPr>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COMMITMENTS</w:t>
            </w:r>
          </w:p>
        </w:tc>
        <w:tc>
          <w:tcPr>
            <w:tcW w:w="1880" w:type="dxa"/>
            <w:vAlign w:val="bottom"/>
          </w:tcPr>
          <w:p>
            <w:pPr>
              <w:spacing w:after="0"/>
              <w:rPr>
                <w:sz w:val="15"/>
                <w:szCs w:val="15"/>
                <w:color w:val="auto"/>
              </w:rPr>
            </w:pPr>
          </w:p>
        </w:tc>
      </w:tr>
    </w:tbl>
    <w:p>
      <w:pPr>
        <w:sectPr>
          <w:pgSz w:w="11900" w:h="16838" w:orient="portrait"/>
          <w:cols w:equalWidth="0" w:num="1">
            <w:col w:w="11520"/>
          </w:cols>
          <w:pgMar w:left="240" w:top="464" w:right="139" w:bottom="1440" w:gutter="0" w:footer="0" w:header="0"/>
        </w:sectPr>
      </w:pPr>
    </w:p>
    <w:bookmarkStart w:id="30" w:name="page31"/>
    <w:bookmarkEnd w:id="30"/>
    <w:p>
      <w:pPr>
        <w:ind w:left="6120"/>
        <w:spacing w:after="0"/>
        <w:rPr>
          <w:sz w:val="20"/>
          <w:szCs w:val="20"/>
          <w:color w:val="auto"/>
        </w:rPr>
      </w:pPr>
      <w:r>
        <w:rPr>
          <w:rFonts w:ascii="Courier New" w:cs="Courier New" w:eastAsia="Courier New" w:hAnsi="Courier New"/>
          <w:sz w:val="15"/>
          <w:szCs w:val="15"/>
          <w:color w:val="auto"/>
        </w:rPr>
        <w:t>EXHIBIT 12.1</w:t>
      </w:r>
    </w:p>
    <w:p>
      <w:pPr>
        <w:spacing w:after="0" w:line="350"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MANPOWER INC.</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RATIO OF EARNINGS TO FIXED CHARGES</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20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NINE MONTHS ENDED</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3"/>
        </w:trPr>
        <w:tc>
          <w:tcPr>
            <w:tcW w:w="8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20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SEPTEMBER 30, 2002</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8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20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347"/>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Earnings:</w:t>
            </w:r>
          </w:p>
        </w:tc>
        <w:tc>
          <w:tcPr>
            <w:tcW w:w="3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3"/>
        </w:trPr>
        <w:tc>
          <w:tcPr>
            <w:tcW w:w="4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Earnings before income taxes</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$ 118.8</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4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Fixed charges</w:t>
            </w:r>
          </w:p>
        </w:tc>
        <w:tc>
          <w:tcPr>
            <w:tcW w:w="1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86.0</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8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8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$ 204.8</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8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520"/>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Fixed charges:</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3"/>
        </w:trPr>
        <w:tc>
          <w:tcPr>
            <w:tcW w:w="4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Interest (expensed or capitalized)</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31.9</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4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Estimated interest portion of rent expense</w:t>
            </w:r>
          </w:p>
        </w:tc>
        <w:tc>
          <w:tcPr>
            <w:tcW w:w="1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54.1</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8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8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86.0</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8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347"/>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1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3"/>
        </w:trPr>
        <w:tc>
          <w:tcPr>
            <w:tcW w:w="8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867"/>
        </w:trPr>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980" w:type="dxa"/>
            <w:vAlign w:val="bottom"/>
            <w:gridSpan w:val="6"/>
          </w:tcPr>
          <w:p>
            <w:pPr>
              <w:jc w:val="right"/>
              <w:ind w:right="425"/>
              <w:spacing w:after="0"/>
              <w:rPr>
                <w:sz w:val="20"/>
                <w:szCs w:val="20"/>
                <w:color w:val="auto"/>
              </w:rPr>
            </w:pPr>
            <w:r>
              <w:rPr>
                <w:rFonts w:ascii="Courier New" w:cs="Courier New" w:eastAsia="Courier New" w:hAnsi="Courier New"/>
                <w:sz w:val="15"/>
                <w:szCs w:val="15"/>
                <w:color w:val="auto"/>
              </w:rPr>
              <w:t>YEARS ENDED DECEMBER 31,</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3"/>
        </w:trPr>
        <w:tc>
          <w:tcPr>
            <w:tcW w:w="8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4860" w:type="dxa"/>
            <w:vAlign w:val="bottom"/>
            <w:gridSpan w:val="9"/>
          </w:tcPr>
          <w:p>
            <w:pPr>
              <w:ind w:left="360"/>
              <w:spacing w:after="0"/>
              <w:rPr>
                <w:sz w:val="20"/>
                <w:szCs w:val="20"/>
                <w:color w:val="auto"/>
              </w:rPr>
            </w:pPr>
            <w:r>
              <w:rPr>
                <w:rFonts w:ascii="Courier New" w:cs="Courier New" w:eastAsia="Courier New" w:hAnsi="Courier New"/>
                <w:sz w:val="15"/>
                <w:szCs w:val="15"/>
                <w:color w:val="auto"/>
              </w:rPr>
              <w:t>-------------------------------------------------</w:t>
            </w:r>
          </w:p>
        </w:tc>
      </w:tr>
      <w:tr>
        <w:trPr>
          <w:trHeight w:val="173"/>
        </w:trPr>
        <w:tc>
          <w:tcPr>
            <w:tcW w:w="8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2001</w:t>
            </w:r>
          </w:p>
        </w:tc>
        <w:tc>
          <w:tcPr>
            <w:tcW w:w="420" w:type="dxa"/>
            <w:vAlign w:val="bottom"/>
          </w:tcPr>
          <w:p>
            <w:pPr>
              <w:spacing w:after="0"/>
              <w:rPr>
                <w:sz w:val="15"/>
                <w:szCs w:val="15"/>
                <w:color w:val="auto"/>
              </w:rPr>
            </w:pP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2000</w:t>
            </w:r>
          </w:p>
        </w:tc>
        <w:tc>
          <w:tcPr>
            <w:tcW w:w="24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1999</w:t>
            </w:r>
          </w:p>
        </w:tc>
        <w:tc>
          <w:tcPr>
            <w:tcW w:w="260" w:type="dxa"/>
            <w:vAlign w:val="bottom"/>
          </w:tcPr>
          <w:p>
            <w:pPr>
              <w:spacing w:after="0"/>
              <w:rPr>
                <w:sz w:val="15"/>
                <w:szCs w:val="15"/>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1998</w:t>
            </w:r>
          </w:p>
        </w:tc>
        <w:tc>
          <w:tcPr>
            <w:tcW w:w="220" w:type="dxa"/>
            <w:vAlign w:val="bottom"/>
          </w:tcPr>
          <w:p>
            <w:pPr>
              <w:spacing w:after="0"/>
              <w:rPr>
                <w:sz w:val="15"/>
                <w:szCs w:val="15"/>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1997</w:t>
            </w:r>
          </w:p>
        </w:tc>
      </w:tr>
      <w:tr>
        <w:trPr>
          <w:trHeight w:val="173"/>
        </w:trPr>
        <w:tc>
          <w:tcPr>
            <w:tcW w:w="8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347"/>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Earnings:</w:t>
            </w:r>
          </w:p>
        </w:tc>
        <w:tc>
          <w:tcPr>
            <w:tcW w:w="3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3"/>
        </w:trPr>
        <w:tc>
          <w:tcPr>
            <w:tcW w:w="4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Earnings before income taxes</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$ 197.9</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$ 265.2</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$ 205.8</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$ 113.8</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$ 249.2</w:t>
            </w:r>
          </w:p>
        </w:tc>
      </w:tr>
      <w:tr>
        <w:trPr>
          <w:trHeight w:val="173"/>
        </w:trPr>
        <w:tc>
          <w:tcPr>
            <w:tcW w:w="4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Fixed charges</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107.4</w:t>
            </w:r>
          </w:p>
        </w:tc>
        <w:tc>
          <w:tcPr>
            <w:tcW w:w="420" w:type="dxa"/>
            <w:vAlign w:val="bottom"/>
          </w:tcPr>
          <w:p>
            <w:pPr>
              <w:spacing w:after="0"/>
              <w:rPr>
                <w:sz w:val="15"/>
                <w:szCs w:val="15"/>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94.0</w:t>
            </w:r>
          </w:p>
        </w:tc>
        <w:tc>
          <w:tcPr>
            <w:tcW w:w="24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71.6</w:t>
            </w:r>
          </w:p>
        </w:tc>
        <w:tc>
          <w:tcPr>
            <w:tcW w:w="26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65.1</w:t>
            </w: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47.2</w:t>
            </w:r>
          </w:p>
        </w:tc>
      </w:tr>
      <w:tr>
        <w:trPr>
          <w:trHeight w:val="173"/>
        </w:trPr>
        <w:tc>
          <w:tcPr>
            <w:tcW w:w="8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8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$ 305.3</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$ 359.2</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$ 277.4</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$ 178.9</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$ 296.4</w:t>
            </w:r>
          </w:p>
        </w:tc>
      </w:tr>
      <w:tr>
        <w:trPr>
          <w:trHeight w:val="173"/>
        </w:trPr>
        <w:tc>
          <w:tcPr>
            <w:tcW w:w="8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Fixed charges:</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3"/>
        </w:trPr>
        <w:tc>
          <w:tcPr>
            <w:tcW w:w="4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Interest (expensed or capitalized)</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39.1</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35.0</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r>
      <w:tr>
        <w:trPr>
          <w:trHeight w:val="173"/>
        </w:trPr>
        <w:tc>
          <w:tcPr>
            <w:tcW w:w="4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Estimated interest portion of rent expense</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68.3</w:t>
            </w:r>
          </w:p>
        </w:tc>
        <w:tc>
          <w:tcPr>
            <w:tcW w:w="420" w:type="dxa"/>
            <w:vAlign w:val="bottom"/>
          </w:tcPr>
          <w:p>
            <w:pPr>
              <w:spacing w:after="0"/>
              <w:rPr>
                <w:sz w:val="15"/>
                <w:szCs w:val="15"/>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59.0</w:t>
            </w:r>
          </w:p>
        </w:tc>
        <w:tc>
          <w:tcPr>
            <w:tcW w:w="24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54.3</w:t>
            </w:r>
          </w:p>
        </w:tc>
        <w:tc>
          <w:tcPr>
            <w:tcW w:w="26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45.9</w:t>
            </w: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36.1</w:t>
            </w:r>
          </w:p>
        </w:tc>
      </w:tr>
      <w:tr>
        <w:trPr>
          <w:trHeight w:val="173"/>
        </w:trPr>
        <w:tc>
          <w:tcPr>
            <w:tcW w:w="8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8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$ 107.4</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94.0</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47.2</w:t>
            </w:r>
          </w:p>
        </w:tc>
      </w:tr>
      <w:tr>
        <w:trPr>
          <w:trHeight w:val="173"/>
        </w:trPr>
        <w:tc>
          <w:tcPr>
            <w:tcW w:w="8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w:t>
            </w:r>
          </w:p>
        </w:tc>
        <w:tc>
          <w:tcPr>
            <w:tcW w:w="420" w:type="dxa"/>
            <w:vAlign w:val="bottom"/>
          </w:tcPr>
          <w:p>
            <w:pPr>
              <w:spacing w:after="0"/>
              <w:rPr>
                <w:sz w:val="24"/>
                <w:szCs w:val="2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w:t>
            </w:r>
          </w:p>
        </w:tc>
        <w:tc>
          <w:tcPr>
            <w:tcW w:w="240" w:type="dxa"/>
            <w:vAlign w:val="bottom"/>
          </w:tcPr>
          <w:p>
            <w:pPr>
              <w:spacing w:after="0"/>
              <w:rPr>
                <w:sz w:val="24"/>
                <w:szCs w:val="2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w:t>
            </w:r>
          </w:p>
        </w:tc>
        <w:tc>
          <w:tcPr>
            <w:tcW w:w="260" w:type="dxa"/>
            <w:vAlign w:val="bottom"/>
          </w:tcPr>
          <w:p>
            <w:pPr>
              <w:spacing w:after="0"/>
              <w:rPr>
                <w:sz w:val="24"/>
                <w:szCs w:val="2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w:t>
            </w: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3"/>
        </w:trPr>
        <w:tc>
          <w:tcPr>
            <w:tcW w:w="8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694"/>
        </w:trPr>
        <w:tc>
          <w:tcPr>
            <w:tcW w:w="800" w:type="dxa"/>
            <w:vAlign w:val="bottom"/>
          </w:tcPr>
          <w:p>
            <w:pPr>
              <w:spacing w:after="0"/>
              <w:rPr>
                <w:sz w:val="20"/>
                <w:szCs w:val="20"/>
                <w:color w:val="auto"/>
              </w:rPr>
            </w:pPr>
            <w:r>
              <w:rPr>
                <w:rFonts w:ascii="Courier New" w:cs="Courier New" w:eastAsia="Courier New" w:hAnsi="Courier New"/>
                <w:sz w:val="15"/>
                <w:szCs w:val="15"/>
                <w:color w:val="auto"/>
              </w:rPr>
              <w:t>NOTE:</w:t>
            </w:r>
          </w:p>
        </w:tc>
        <w:tc>
          <w:tcPr>
            <w:tcW w:w="6860" w:type="dxa"/>
            <w:vAlign w:val="bottom"/>
            <w:gridSpan w:val="6"/>
          </w:tcPr>
          <w:p>
            <w:pPr>
              <w:spacing w:after="0"/>
              <w:rPr>
                <w:sz w:val="20"/>
                <w:szCs w:val="20"/>
                <w:color w:val="auto"/>
              </w:rPr>
            </w:pPr>
            <w:r>
              <w:rPr>
                <w:rFonts w:ascii="Courier New" w:cs="Courier New" w:eastAsia="Courier New" w:hAnsi="Courier New"/>
                <w:sz w:val="15"/>
                <w:szCs w:val="15"/>
                <w:color w:val="auto"/>
              </w:rPr>
              <w:t>The calculation of Ratio of Earnings to Fixed Charges set forth above</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3"/>
        </w:trPr>
        <w:tc>
          <w:tcPr>
            <w:tcW w:w="800" w:type="dxa"/>
            <w:vAlign w:val="bottom"/>
          </w:tcPr>
          <w:p>
            <w:pPr>
              <w:spacing w:after="0"/>
              <w:rPr>
                <w:sz w:val="15"/>
                <w:szCs w:val="15"/>
                <w:color w:val="auto"/>
              </w:rPr>
            </w:pPr>
          </w:p>
        </w:tc>
        <w:tc>
          <w:tcPr>
            <w:tcW w:w="6860" w:type="dxa"/>
            <w:vAlign w:val="bottom"/>
            <w:gridSpan w:val="6"/>
          </w:tcPr>
          <w:p>
            <w:pPr>
              <w:spacing w:after="0"/>
              <w:rPr>
                <w:sz w:val="20"/>
                <w:szCs w:val="20"/>
                <w:color w:val="auto"/>
              </w:rPr>
            </w:pPr>
            <w:r>
              <w:rPr>
                <w:rFonts w:ascii="Courier New" w:cs="Courier New" w:eastAsia="Courier New" w:hAnsi="Courier New"/>
                <w:sz w:val="15"/>
                <w:szCs w:val="15"/>
                <w:color w:val="auto"/>
              </w:rPr>
              <w:t>is in accordance with Regulation S-K, Item 601(b)(12). This calculation</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800" w:type="dxa"/>
            <w:vAlign w:val="bottom"/>
          </w:tcPr>
          <w:p>
            <w:pPr>
              <w:spacing w:after="0"/>
              <w:rPr>
                <w:sz w:val="15"/>
                <w:szCs w:val="15"/>
                <w:color w:val="auto"/>
              </w:rPr>
            </w:pPr>
          </w:p>
        </w:tc>
        <w:tc>
          <w:tcPr>
            <w:tcW w:w="5900" w:type="dxa"/>
            <w:vAlign w:val="bottom"/>
            <w:gridSpan w:val="4"/>
          </w:tcPr>
          <w:p>
            <w:pPr>
              <w:spacing w:after="0"/>
              <w:rPr>
                <w:sz w:val="20"/>
                <w:szCs w:val="20"/>
                <w:color w:val="auto"/>
              </w:rPr>
            </w:pPr>
            <w:r>
              <w:rPr>
                <w:rFonts w:ascii="Courier New" w:cs="Courier New" w:eastAsia="Courier New" w:hAnsi="Courier New"/>
                <w:sz w:val="15"/>
                <w:szCs w:val="15"/>
                <w:color w:val="auto"/>
              </w:rPr>
              <w:t>is different than the fixed charge ratio that is required by our</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80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Courier New" w:cs="Courier New" w:eastAsia="Courier New" w:hAnsi="Courier New"/>
                <w:sz w:val="15"/>
                <w:szCs w:val="15"/>
                <w:color w:val="auto"/>
              </w:rPr>
              <w:t>various borrowing facilities.</w:t>
            </w: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r>
    </w:tbl>
    <w:p>
      <w:pPr>
        <w:sectPr>
          <w:pgSz w:w="11900" w:h="16838" w:orient="portrait"/>
          <w:cols w:equalWidth="0" w:num="1">
            <w:col w:w="10219"/>
          </w:cols>
          <w:pgMar w:left="240" w:top="487" w:right="1440" w:bottom="1440" w:gutter="0" w:footer="0" w:header="0"/>
        </w:sectPr>
      </w:pPr>
    </w:p>
    <w:bookmarkStart w:id="31" w:name="page32"/>
    <w:bookmarkEnd w:id="31"/>
    <w:p>
      <w:pPr>
        <w:jc w:val="right"/>
        <w:ind w:right="3019"/>
        <w:spacing w:after="0"/>
        <w:rPr>
          <w:sz w:val="20"/>
          <w:szCs w:val="20"/>
          <w:color w:val="auto"/>
        </w:rPr>
      </w:pPr>
      <w:r>
        <w:rPr>
          <w:rFonts w:ascii="Courier New" w:cs="Courier New" w:eastAsia="Courier New" w:hAnsi="Courier New"/>
          <w:sz w:val="15"/>
          <w:szCs w:val="15"/>
          <w:color w:val="auto"/>
        </w:rPr>
        <w:t>EXHIBIT 99.1</w:t>
      </w:r>
    </w:p>
    <w:p>
      <w:pPr>
        <w:spacing w:after="0" w:line="350"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STATEMENT</w:t>
      </w:r>
    </w:p>
    <w:p>
      <w:pPr>
        <w:spacing w:after="0" w:line="351" w:lineRule="exact"/>
        <w:rPr>
          <w:sz w:val="20"/>
          <w:szCs w:val="20"/>
          <w:color w:val="auto"/>
        </w:rPr>
      </w:pPr>
    </w:p>
    <w:p>
      <w:pPr>
        <w:ind w:left="8" w:right="3199"/>
        <w:spacing w:after="0" w:line="278" w:lineRule="auto"/>
        <w:rPr>
          <w:sz w:val="20"/>
          <w:szCs w:val="20"/>
          <w:color w:val="auto"/>
        </w:rPr>
      </w:pPr>
      <w:r>
        <w:rPr>
          <w:rFonts w:ascii="Courier New" w:cs="Courier New" w:eastAsia="Courier New" w:hAnsi="Courier New"/>
          <w:sz w:val="14"/>
          <w:szCs w:val="14"/>
          <w:color w:val="auto"/>
        </w:rPr>
        <w:t>Pursuant to ss. 906 of the Sarbanes-Oxley Act of 2002, 18 U.S.C. ss. 1350, the undersigned officer of Manpower Inc. (the "Company"), hereby certifies that:</w:t>
      </w:r>
    </w:p>
    <w:p>
      <w:pPr>
        <w:spacing w:after="0" w:line="153" w:lineRule="exact"/>
        <w:rPr>
          <w:sz w:val="20"/>
          <w:szCs w:val="20"/>
          <w:color w:val="auto"/>
        </w:rPr>
      </w:pPr>
    </w:p>
    <w:p>
      <w:pPr>
        <w:ind w:left="1628" w:right="3099" w:hanging="816"/>
        <w:spacing w:after="0" w:line="244" w:lineRule="auto"/>
        <w:tabs>
          <w:tab w:leader="none" w:pos="162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Quarterly Report on Form 10-Q for the quarter ended September 30, 2002 fully complies with the requirements of Section 13(a) or 15(d), as applicable, of the Securities Exchange Act of 1934, and</w:t>
      </w:r>
    </w:p>
    <w:p>
      <w:pPr>
        <w:spacing w:after="0" w:line="175" w:lineRule="exact"/>
        <w:rPr>
          <w:rFonts w:ascii="Courier New" w:cs="Courier New" w:eastAsia="Courier New" w:hAnsi="Courier New"/>
          <w:sz w:val="15"/>
          <w:szCs w:val="15"/>
          <w:color w:val="auto"/>
        </w:rPr>
      </w:pPr>
    </w:p>
    <w:p>
      <w:pPr>
        <w:ind w:left="1628" w:right="3099" w:hanging="816"/>
        <w:spacing w:after="0" w:line="244" w:lineRule="auto"/>
        <w:tabs>
          <w:tab w:leader="none" w:pos="162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34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MANPOWER INC.</w:t>
      </w:r>
    </w:p>
    <w:p>
      <w:pPr>
        <w:spacing w:after="0" w:line="177" w:lineRule="exact"/>
        <w:rPr>
          <w:sz w:val="20"/>
          <w:szCs w:val="20"/>
          <w:color w:val="auto"/>
        </w:rPr>
      </w:pPr>
    </w:p>
    <w:p>
      <w:pPr>
        <w:ind w:left="8"/>
        <w:spacing w:after="0"/>
        <w:tabs>
          <w:tab w:leader="none" w:pos="707" w:val="left"/>
        </w:tabs>
        <w:rPr>
          <w:sz w:val="20"/>
          <w:szCs w:val="20"/>
          <w:color w:val="auto"/>
        </w:rPr>
      </w:pPr>
      <w:r>
        <w:rPr>
          <w:rFonts w:ascii="Courier New" w:cs="Courier New" w:eastAsia="Courier New" w:hAnsi="Courier New"/>
          <w:sz w:val="15"/>
          <w:szCs w:val="15"/>
          <w:color w:val="auto"/>
        </w:rPr>
        <w:t>Dated:</w:t>
        <w:tab/>
        <w:t>November 4, 2002</w:t>
      </w:r>
    </w:p>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Jeffrey A. Joerres</w:t>
      </w:r>
    </w:p>
    <w:p>
      <w:pPr>
        <w:spacing w:after="0" w:line="3" w:lineRule="exact"/>
        <w:rPr>
          <w:sz w:val="20"/>
          <w:szCs w:val="20"/>
          <w:color w:val="auto"/>
        </w:rPr>
      </w:pPr>
    </w:p>
    <w:p>
      <w:pPr>
        <w:ind w:left="188" w:hanging="188"/>
        <w:spacing w:after="0"/>
        <w:tabs>
          <w:tab w:leader="none" w:pos="18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Jeffrey A. Joerres</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Chairman, Chief Executive Officer</w:t>
      </w:r>
    </w:p>
    <w:p>
      <w:pPr>
        <w:sectPr>
          <w:pgSz w:w="11900" w:h="16838" w:orient="portrait"/>
          <w:cols w:equalWidth="0" w:num="1">
            <w:col w:w="10227"/>
          </w:cols>
          <w:pgMar w:left="232" w:top="661" w:right="1440" w:bottom="1440" w:gutter="0" w:footer="0" w:header="0"/>
        </w:sectPr>
      </w:pPr>
    </w:p>
    <w:bookmarkStart w:id="32" w:name="page33"/>
    <w:bookmarkEnd w:id="32"/>
    <w:p>
      <w:pPr>
        <w:jc w:val="right"/>
        <w:ind w:right="3019"/>
        <w:spacing w:after="0"/>
        <w:rPr>
          <w:sz w:val="20"/>
          <w:szCs w:val="20"/>
          <w:color w:val="auto"/>
        </w:rPr>
      </w:pPr>
      <w:r>
        <w:rPr>
          <w:rFonts w:ascii="Courier New" w:cs="Courier New" w:eastAsia="Courier New" w:hAnsi="Courier New"/>
          <w:sz w:val="15"/>
          <w:szCs w:val="15"/>
          <w:color w:val="auto"/>
        </w:rPr>
        <w:t>EXHIBIT 99.2</w:t>
      </w:r>
    </w:p>
    <w:p>
      <w:pPr>
        <w:spacing w:after="0" w:line="350"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STATEMENT</w:t>
      </w:r>
    </w:p>
    <w:p>
      <w:pPr>
        <w:spacing w:after="0" w:line="351" w:lineRule="exact"/>
        <w:rPr>
          <w:sz w:val="20"/>
          <w:szCs w:val="20"/>
          <w:color w:val="auto"/>
        </w:rPr>
      </w:pPr>
    </w:p>
    <w:p>
      <w:pPr>
        <w:ind w:left="8" w:right="3199"/>
        <w:spacing w:after="0" w:line="278" w:lineRule="auto"/>
        <w:rPr>
          <w:sz w:val="20"/>
          <w:szCs w:val="20"/>
          <w:color w:val="auto"/>
        </w:rPr>
      </w:pPr>
      <w:r>
        <w:rPr>
          <w:rFonts w:ascii="Courier New" w:cs="Courier New" w:eastAsia="Courier New" w:hAnsi="Courier New"/>
          <w:sz w:val="14"/>
          <w:szCs w:val="14"/>
          <w:color w:val="auto"/>
        </w:rPr>
        <w:t>Pursuant to ss. 906 of the Sarbanes-Oxley Act of 2002, 18 U.S.C. ss. 1350, the undersigned officer of Manpower Inc. (the "Company"), hereby certifies that:</w:t>
      </w:r>
    </w:p>
    <w:p>
      <w:pPr>
        <w:spacing w:after="0" w:line="153" w:lineRule="exact"/>
        <w:rPr>
          <w:sz w:val="20"/>
          <w:szCs w:val="20"/>
          <w:color w:val="auto"/>
        </w:rPr>
      </w:pPr>
    </w:p>
    <w:p>
      <w:pPr>
        <w:ind w:left="1628" w:right="3099" w:hanging="816"/>
        <w:spacing w:after="0" w:line="244" w:lineRule="auto"/>
        <w:tabs>
          <w:tab w:leader="none" w:pos="162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Quarterly Report on Form 10-Q for the quarter ended September 30, 2002 fully complies with the requirements of Section 13(a) or 15(d), as applicable, of the Securities Exchange Act of 1934, and</w:t>
      </w:r>
    </w:p>
    <w:p>
      <w:pPr>
        <w:spacing w:after="0" w:line="175" w:lineRule="exact"/>
        <w:rPr>
          <w:rFonts w:ascii="Courier New" w:cs="Courier New" w:eastAsia="Courier New" w:hAnsi="Courier New"/>
          <w:sz w:val="15"/>
          <w:szCs w:val="15"/>
          <w:color w:val="auto"/>
        </w:rPr>
      </w:pPr>
    </w:p>
    <w:p>
      <w:pPr>
        <w:ind w:left="1628" w:right="3099" w:hanging="816"/>
        <w:spacing w:after="0" w:line="244" w:lineRule="auto"/>
        <w:tabs>
          <w:tab w:leader="none" w:pos="162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34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MANPOWER INC.</w:t>
      </w:r>
    </w:p>
    <w:p>
      <w:pPr>
        <w:spacing w:after="0" w:line="177" w:lineRule="exact"/>
        <w:rPr>
          <w:sz w:val="20"/>
          <w:szCs w:val="20"/>
          <w:color w:val="auto"/>
        </w:rPr>
      </w:pPr>
    </w:p>
    <w:p>
      <w:pPr>
        <w:ind w:left="8"/>
        <w:spacing w:after="0"/>
        <w:tabs>
          <w:tab w:leader="none" w:pos="707" w:val="left"/>
        </w:tabs>
        <w:rPr>
          <w:sz w:val="20"/>
          <w:szCs w:val="20"/>
          <w:color w:val="auto"/>
        </w:rPr>
      </w:pPr>
      <w:r>
        <w:rPr>
          <w:rFonts w:ascii="Courier New" w:cs="Courier New" w:eastAsia="Courier New" w:hAnsi="Courier New"/>
          <w:sz w:val="15"/>
          <w:szCs w:val="15"/>
          <w:color w:val="auto"/>
        </w:rPr>
        <w:t>Dated:</w:t>
        <w:tab/>
        <w:t>November 4, 2002</w:t>
      </w:r>
    </w:p>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Michael J. Van Handel</w:t>
      </w:r>
    </w:p>
    <w:p>
      <w:pPr>
        <w:spacing w:after="0" w:line="3" w:lineRule="exact"/>
        <w:rPr>
          <w:sz w:val="20"/>
          <w:szCs w:val="20"/>
          <w:color w:val="auto"/>
        </w:rPr>
      </w:pPr>
    </w:p>
    <w:p>
      <w:pPr>
        <w:ind w:left="188" w:hanging="188"/>
        <w:spacing w:after="0"/>
        <w:tabs>
          <w:tab w:leader="none" w:pos="18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8" w:right="7979"/>
        <w:spacing w:after="0" w:line="27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Michael J. Van Handel Executive Vice President, Chief Financial Officer</w:t>
      </w:r>
    </w:p>
    <w:sectPr>
      <w:pgSz w:w="11900" w:h="16838" w:orient="portrait"/>
      <w:cols w:equalWidth="0" w:num="1">
        <w:col w:w="10227"/>
      </w:cols>
      <w:pgMar w:left="232"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upperLetter"/>
      <w:start w:val="24"/>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7"/>
    </w:lvl>
  </w:abstractNum>
  <w:abstractNum w:abstractNumId="3">
    <w:nsid w:val="DED7263"/>
    <w:multiLevelType w:val="hybridMultilevel"/>
    <w:lvl w:ilvl="0">
      <w:lvlJc w:val="left"/>
      <w:lvlText w:val="(%1)"/>
      <w:numFmt w:val="decimal"/>
      <w:start w:val="8"/>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lowerLetter"/>
      <w:start w:val="1"/>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8">
    <w:nsid w:val="4E6AFB66"/>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lvl w:ilvl="1">
      <w:lvlJc w:val="left"/>
      <w:lvlText w:val="(%2)"/>
      <w:numFmt w:val="lowerLetter"/>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lowerLetter"/>
      <w:start w:val="2"/>
    </w:lvl>
  </w:abstractNum>
  <w:abstractNum w:abstractNumId="15">
    <w:nsid w:val="62BBD95A"/>
    <w:multiLevelType w:val="hybridMultilevel"/>
    <w:lvl w:ilvl="0">
      <w:lvlJc w:val="left"/>
      <w:lvlText w:val="(%1)"/>
      <w:numFmt w:val="lowerLetter"/>
      <w:start w:val="3"/>
    </w:lvl>
  </w:abstractNum>
  <w:abstractNum w:abstractNumId="16">
    <w:nsid w:val="436C6125"/>
    <w:multiLevelType w:val="hybridMultilevel"/>
    <w:lvl w:ilvl="0">
      <w:lvlJc w:val="left"/>
      <w:lvlText w:val="(%1)"/>
      <w:numFmt w:val="lowerLetter"/>
      <w:start w:val="1"/>
    </w:lvl>
    <w:lvl w:ilvl="1">
      <w:lvlJc w:val="left"/>
      <w:lvlText w:val="(%2)"/>
      <w:numFmt w:val="lowerRoman"/>
      <w:start w:val="1"/>
    </w:lvl>
  </w:abstractNum>
  <w:abstractNum w:abstractNumId="17">
    <w:nsid w:val="628C895D"/>
    <w:multiLevelType w:val="hybridMultilevel"/>
    <w:lvl w:ilvl="0">
      <w:lvlJc w:val="left"/>
      <w:lvlText w:val="(%1)"/>
      <w:numFmt w:val="lowerRoman"/>
      <w:start w:val="4"/>
    </w:lvl>
  </w:abstractNum>
  <w:abstractNum w:abstractNumId="18">
    <w:nsid w:val="333AB105"/>
    <w:multiLevelType w:val="hybridMultilevel"/>
    <w:lvl w:ilvl="0">
      <w:lvlJc w:val="left"/>
      <w:lvlText w:val="(%1)"/>
      <w:numFmt w:val="lowerLetter"/>
      <w:start w:val="2"/>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2019-12-20T04:40:43Z</dcterms:created>
  <dcterms:modified xsi:type="dcterms:W3CDTF">2019-12-20T04:40:43Z</dcterms:modified>
</cp:coreProperties>
</file>