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22"/>
          <w:szCs w:val="22"/>
          <w:color w:val="auto"/>
        </w:rPr>
        <w:t>United States</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540" w:right="5140" w:hanging="492"/>
        <w:spacing w:after="0" w:line="447" w:lineRule="auto"/>
        <w:rPr>
          <w:rFonts w:ascii="MS PGothic" w:cs="MS PGothic" w:eastAsia="MS PGothic" w:hAnsi="MS PGothic"/>
          <w:sz w:val="18"/>
          <w:szCs w:val="18"/>
          <w:color w:val="auto"/>
        </w:rPr>
      </w:pPr>
      <w:r>
        <w:rPr>
          <w:rFonts w:ascii="Arial" w:cs="Arial" w:eastAsia="Arial" w:hAnsi="Arial"/>
          <w:sz w:val="16"/>
          <w:szCs w:val="16"/>
          <w:b w:val="1"/>
          <w:bCs w:val="1"/>
          <w:color w:val="auto"/>
        </w:rPr>
        <w:t xml:space="preserve">June 30, 2020 </w:t>
      </w:r>
      <w:r>
        <w:rPr>
          <w:rFonts w:ascii="Arial" w:cs="Arial" w:eastAsia="Arial" w:hAnsi="Arial"/>
          <w:sz w:val="16"/>
          <w:szCs w:val="16"/>
          <w:color w:val="auto"/>
        </w:rPr>
        <w:t>or</w:t>
      </w:r>
    </w:p>
    <w:p>
      <w:pPr>
        <w:spacing w:after="0" w:line="34"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rPr>
      </w:pPr>
    </w:p>
    <w:p>
      <w:pPr>
        <w:ind w:left="43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-338455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02" w:right="339" w:bottom="1440" w:gutter="0" w:footer="0" w:header="0"/>
        </w:sectPr>
      </w:pPr>
    </w:p>
    <w:p>
      <w:pPr>
        <w:spacing w:after="0" w:line="138" w:lineRule="exact"/>
        <w:rPr>
          <w:sz w:val="24"/>
          <w:szCs w:val="24"/>
          <w:color w:val="auto"/>
        </w:rPr>
      </w:pPr>
    </w:p>
    <w:p>
      <w:pPr>
        <w:ind w:left="21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spacing w:after="0" w:line="179"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240"/>
          </w:cols>
          <w:pgMar w:left="320" w:top="402" w:right="339" w:bottom="1440" w:gutter="0" w:footer="0" w:header="0"/>
          <w:type w:val="continuous"/>
        </w:sectPr>
      </w:pPr>
    </w:p>
    <w:p>
      <w:pPr>
        <w:spacing w:after="0" w:line="100" w:lineRule="exact"/>
        <w:rPr>
          <w:sz w:val="24"/>
          <w:szCs w:val="24"/>
          <w:color w:val="auto"/>
        </w:rPr>
      </w:pPr>
    </w:p>
    <w:p>
      <w:pPr>
        <w:ind w:left="21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115"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ind w:left="21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62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120" w:space="720"/>
            <w:col w:w="3400"/>
          </w:cols>
          <w:pgMar w:left="320" w:top="40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w:t>
      </w:r>
      <w:r>
        <w:rPr>
          <w:rFonts w:ascii="Arial" w:cs="Arial" w:eastAsia="Arial" w:hAnsi="Arial"/>
          <w:sz w:val="18"/>
          <w:szCs w:val="18"/>
          <w:color w:val="auto"/>
        </w:rPr>
        <w:t xml:space="preserve"> 961-1000</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297"/>
        </w:trPr>
        <w:tc>
          <w:tcPr>
            <w:tcW w:w="1300" w:type="dxa"/>
            <w:vAlign w:val="bottom"/>
          </w:tcPr>
          <w:p>
            <w:pPr>
              <w:spacing w:after="0"/>
              <w:rPr>
                <w:sz w:val="24"/>
                <w:szCs w:val="24"/>
                <w:color w:val="auto"/>
              </w:rPr>
            </w:pPr>
          </w:p>
        </w:tc>
        <w:tc>
          <w:tcPr>
            <w:tcW w:w="3400" w:type="dxa"/>
            <w:vAlign w:val="bottom"/>
            <w:gridSpan w:val="2"/>
          </w:tcPr>
          <w:p>
            <w:pPr>
              <w:jc w:val="center"/>
              <w:ind w:right="2080"/>
              <w:spacing w:after="0"/>
              <w:rPr>
                <w:sz w:val="20"/>
                <w:szCs w:val="20"/>
                <w:color w:val="auto"/>
              </w:rPr>
            </w:pPr>
            <w:r>
              <w:rPr>
                <w:rFonts w:ascii="Arial" w:cs="Arial" w:eastAsia="Arial" w:hAnsi="Arial"/>
                <w:sz w:val="18"/>
                <w:szCs w:val="18"/>
                <w:color w:val="auto"/>
                <w:w w:val="88"/>
              </w:rPr>
              <w:t>Title of each class</w:t>
            </w:r>
          </w:p>
        </w:tc>
        <w:tc>
          <w:tcPr>
            <w:tcW w:w="266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18"/>
        </w:trPr>
        <w:tc>
          <w:tcPr>
            <w:tcW w:w="47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$.01 par value</w:t>
            </w:r>
          </w:p>
        </w:tc>
        <w:tc>
          <w:tcPr>
            <w:tcW w:w="2660" w:type="dxa"/>
            <w:vAlign w:val="bottom"/>
            <w:gridSpan w:val="2"/>
          </w:tcPr>
          <w:p>
            <w:pPr>
              <w:jc w:val="center"/>
              <w:ind w:right="1280"/>
              <w:spacing w:after="0"/>
              <w:rPr>
                <w:sz w:val="20"/>
                <w:szCs w:val="20"/>
                <w:color w:val="auto"/>
              </w:rPr>
            </w:pPr>
            <w:r>
              <w:rPr>
                <w:rFonts w:ascii="Arial" w:cs="Arial" w:eastAsia="Arial" w:hAnsi="Arial"/>
                <w:sz w:val="18"/>
                <w:szCs w:val="18"/>
                <w:color w:val="auto"/>
              </w:rPr>
              <w:t>MAN</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19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at August 5, 2020</w:t>
            </w:r>
          </w:p>
        </w:tc>
      </w:tr>
      <w:tr>
        <w:trPr>
          <w:trHeight w:val="224"/>
        </w:trPr>
        <w:tc>
          <w:tcPr>
            <w:tcW w:w="6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6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58,071,017</w:t>
            </w:r>
          </w:p>
        </w:tc>
      </w:tr>
      <w:tr>
        <w:trPr>
          <w:trHeight w:val="1032"/>
        </w:trPr>
        <w:tc>
          <w:tcPr>
            <w:tcW w:w="6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540" w:type="dxa"/>
            <w:vAlign w:val="bottom"/>
            <w:gridSpan w:val="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780" w:type="dxa"/>
            <w:vAlign w:val="bottom"/>
            <w:vMerge w:val="restart"/>
          </w:tcPr>
          <w:p>
            <w:pPr>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PART I</w:t>
              </w:r>
            </w:hyperlink>
          </w:p>
        </w:tc>
        <w:tc>
          <w:tcPr>
            <w:tcW w:w="8540" w:type="dxa"/>
            <w:vAlign w:val="bottom"/>
            <w:gridSpan w:val="3"/>
            <w:vMerge w:val="restart"/>
          </w:tcPr>
          <w:p>
            <w:pPr>
              <w:ind w:left="480"/>
              <w:spacing w:after="0"/>
              <w:rPr>
                <w:rFonts w:ascii="Arial" w:cs="Arial" w:eastAsia="Arial" w:hAnsi="Arial"/>
                <w:sz w:val="20"/>
                <w:szCs w:val="20"/>
                <w:b w:val="1"/>
                <w:bCs w:val="1"/>
                <w:u w:val="single" w:color="auto"/>
                <w:color w:val="0000EE"/>
              </w:rPr>
            </w:pPr>
            <w:hyperlink w:anchor="page3">
              <w:r>
                <w:rPr>
                  <w:rFonts w:ascii="Arial" w:cs="Arial" w:eastAsia="Arial" w:hAnsi="Arial"/>
                  <w:sz w:val="20"/>
                  <w:szCs w:val="20"/>
                  <w:b w:val="1"/>
                  <w:bCs w:val="1"/>
                  <w:u w:val="single" w:color="auto"/>
                  <w:color w:val="0000EE"/>
                </w:rPr>
                <w:t>FINANCIAL INFORMATION</w:t>
              </w:r>
            </w:hyperlink>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6"/>
        </w:trPr>
        <w:tc>
          <w:tcPr>
            <w:tcW w:w="1780" w:type="dxa"/>
            <w:vAlign w:val="bottom"/>
            <w:vMerge w:val="continue"/>
          </w:tcPr>
          <w:p>
            <w:pPr>
              <w:spacing w:after="0"/>
              <w:rPr>
                <w:sz w:val="17"/>
                <w:szCs w:val="17"/>
                <w:color w:val="auto"/>
              </w:rPr>
            </w:pPr>
          </w:p>
        </w:tc>
        <w:tc>
          <w:tcPr>
            <w:tcW w:w="8540" w:type="dxa"/>
            <w:vAlign w:val="bottom"/>
            <w:gridSpan w:val="3"/>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Item 1</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Financial Statements (unaudited)</w:t>
              </w:r>
            </w:hyperlink>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Consolidated Statements of Comprehensive Income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6">
              <w:r>
                <w:rPr>
                  <w:rFonts w:ascii="Arial" w:cs="Arial" w:eastAsia="Arial" w:hAnsi="Arial"/>
                  <w:sz w:val="20"/>
                  <w:szCs w:val="20"/>
                  <w:u w:val="single" w:color="auto"/>
                  <w:color w:val="0000EE"/>
                </w:rPr>
                <w:t>Consolidated Statements of Cash Flows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7">
              <w:r>
                <w:rPr>
                  <w:rFonts w:ascii="Arial" w:cs="Arial" w:eastAsia="Arial" w:hAnsi="Arial"/>
                  <w:sz w:val="20"/>
                  <w:szCs w:val="20"/>
                  <w:u w:val="single" w:color="auto"/>
                  <w:color w:val="0000EE"/>
                </w:rPr>
                <w:t>Consolidated Statements of Shareholders' Equity</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8540" w:type="dxa"/>
            <w:vAlign w:val="bottom"/>
            <w:gridSpan w:val="3"/>
          </w:tcPr>
          <w:p>
            <w:pPr>
              <w:ind w:left="480"/>
              <w:spacing w:after="0"/>
              <w:rPr>
                <w:rFonts w:ascii="Arial" w:cs="Arial" w:eastAsia="Arial" w:hAnsi="Arial"/>
                <w:sz w:val="20"/>
                <w:szCs w:val="20"/>
                <w:u w:val="single" w:color="auto"/>
                <w:color w:val="0000EE"/>
              </w:rPr>
            </w:pPr>
            <w:hyperlink w:anchor="page8">
              <w:r>
                <w:rPr>
                  <w:rFonts w:ascii="Arial" w:cs="Arial" w:eastAsia="Arial" w:hAnsi="Arial"/>
                  <w:sz w:val="20"/>
                  <w:szCs w:val="20"/>
                  <w:u w:val="single" w:color="auto"/>
                  <w:color w:val="0000EE"/>
                </w:rPr>
                <w:t>Notes to Consolidated 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23">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23">
              <w:r>
                <w:rPr>
                  <w:rFonts w:ascii="Arial" w:cs="Arial" w:eastAsia="Arial" w:hAnsi="Arial"/>
                  <w:sz w:val="20"/>
                  <w:szCs w:val="20"/>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Item 3</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Item 4</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25"/>
        </w:trPr>
        <w:tc>
          <w:tcPr>
            <w:tcW w:w="1780" w:type="dxa"/>
            <w:vAlign w:val="bottom"/>
          </w:tcPr>
          <w:p>
            <w:pPr>
              <w:spacing w:after="0"/>
              <w:rPr>
                <w:rFonts w:ascii="Arial" w:cs="Arial" w:eastAsia="Arial" w:hAnsi="Arial"/>
                <w:sz w:val="20"/>
                <w:szCs w:val="20"/>
                <w:b w:val="1"/>
                <w:bCs w:val="1"/>
                <w:u w:val="single" w:color="auto"/>
                <w:color w:val="0000EE"/>
              </w:rPr>
            </w:pPr>
            <w:hyperlink w:anchor="page40">
              <w:r>
                <w:rPr>
                  <w:rFonts w:ascii="Arial" w:cs="Arial" w:eastAsia="Arial" w:hAnsi="Arial"/>
                  <w:sz w:val="20"/>
                  <w:szCs w:val="20"/>
                  <w:b w:val="1"/>
                  <w:bCs w:val="1"/>
                  <w:u w:val="single" w:color="auto"/>
                  <w:color w:val="0000EE"/>
                </w:rPr>
                <w:t>PART II</w:t>
              </w:r>
            </w:hyperlink>
          </w:p>
        </w:tc>
        <w:tc>
          <w:tcPr>
            <w:tcW w:w="8540" w:type="dxa"/>
            <w:vAlign w:val="bottom"/>
            <w:gridSpan w:val="3"/>
          </w:tcPr>
          <w:p>
            <w:pPr>
              <w:ind w:left="480"/>
              <w:spacing w:after="0"/>
              <w:rPr>
                <w:rFonts w:ascii="Arial" w:cs="Arial" w:eastAsia="Arial" w:hAnsi="Arial"/>
                <w:sz w:val="20"/>
                <w:szCs w:val="20"/>
                <w:b w:val="1"/>
                <w:bCs w:val="1"/>
                <w:u w:val="single" w:color="auto"/>
                <w:color w:val="0000EE"/>
              </w:rPr>
            </w:pPr>
            <w:hyperlink w:anchor="page40">
              <w:r>
                <w:rPr>
                  <w:rFonts w:ascii="Arial" w:cs="Arial" w:eastAsia="Arial" w:hAnsi="Arial"/>
                  <w:sz w:val="20"/>
                  <w:szCs w:val="20"/>
                  <w:b w:val="1"/>
                  <w:bCs w:val="1"/>
                  <w:u w:val="single" w:color="auto"/>
                  <w:color w:val="0000EE"/>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40">
              <w:r>
                <w:rPr>
                  <w:rFonts w:ascii="Arial" w:cs="Arial" w:eastAsia="Arial" w:hAnsi="Arial"/>
                  <w:sz w:val="20"/>
                  <w:szCs w:val="20"/>
                  <w:u w:val="single" w:color="auto"/>
                  <w:color w:val="0000EE"/>
                </w:rPr>
                <w:t>Item 1A</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0">
              <w:r>
                <w:rPr>
                  <w:rFonts w:ascii="Arial" w:cs="Arial" w:eastAsia="Arial" w:hAnsi="Arial"/>
                  <w:sz w:val="20"/>
                  <w:szCs w:val="20"/>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1780" w:type="dxa"/>
            <w:vAlign w:val="bottom"/>
          </w:tcPr>
          <w:p>
            <w:pPr>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Item 2</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780" w:type="dxa"/>
            <w:vAlign w:val="bottom"/>
          </w:tcPr>
          <w:p>
            <w:pPr>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Item 5</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1">
              <w:r>
                <w:rPr>
                  <w:rFonts w:ascii="Arial" w:cs="Arial" w:eastAsia="Arial" w:hAnsi="Arial"/>
                  <w:sz w:val="20"/>
                  <w:szCs w:val="20"/>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0"/>
        </w:trPr>
        <w:tc>
          <w:tcPr>
            <w:tcW w:w="1780" w:type="dxa"/>
            <w:vAlign w:val="bottom"/>
          </w:tcPr>
          <w:p>
            <w:pPr>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Item 6</w:t>
              </w:r>
            </w:hyperlink>
          </w:p>
        </w:tc>
        <w:tc>
          <w:tcPr>
            <w:tcW w:w="8540" w:type="dxa"/>
            <w:vAlign w:val="bottom"/>
            <w:gridSpan w:val="3"/>
          </w:tcPr>
          <w:p>
            <w:pPr>
              <w:ind w:left="480"/>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45"/>
        </w:trPr>
        <w:tc>
          <w:tcPr>
            <w:tcW w:w="1780" w:type="dxa"/>
            <w:vAlign w:val="bottom"/>
          </w:tcPr>
          <w:p>
            <w:pPr>
              <w:spacing w:after="0"/>
              <w:rPr>
                <w:rFonts w:ascii="Arial" w:cs="Arial" w:eastAsia="Arial" w:hAnsi="Arial"/>
                <w:sz w:val="20"/>
                <w:szCs w:val="20"/>
                <w:b w:val="1"/>
                <w:bCs w:val="1"/>
                <w:u w:val="single" w:color="auto"/>
                <w:color w:val="0000EE"/>
              </w:rPr>
            </w:pPr>
            <w:hyperlink w:anchor="page43">
              <w:r>
                <w:rPr>
                  <w:rFonts w:ascii="Arial" w:cs="Arial" w:eastAsia="Arial" w:hAnsi="Arial"/>
                  <w:sz w:val="20"/>
                  <w:szCs w:val="20"/>
                  <w:b w:val="1"/>
                  <w:bCs w:val="1"/>
                  <w:u w:val="single" w:color="auto"/>
                  <w:color w:val="0000EE"/>
                </w:rPr>
                <w:t>SIGNATURES</w:t>
              </w:r>
            </w:hyperlink>
          </w:p>
        </w:tc>
        <w:tc>
          <w:tcPr>
            <w:tcW w:w="3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44"/>
        </w:trPr>
        <w:tc>
          <w:tcPr>
            <w:tcW w:w="1780" w:type="dxa"/>
            <w:vAlign w:val="bottom"/>
          </w:tcPr>
          <w:p>
            <w:pPr>
              <w:spacing w:after="0"/>
              <w:rPr>
                <w:sz w:val="24"/>
                <w:szCs w:val="24"/>
                <w:color w:val="auto"/>
              </w:rPr>
            </w:pPr>
          </w:p>
        </w:tc>
        <w:tc>
          <w:tcPr>
            <w:tcW w:w="4680" w:type="dxa"/>
            <w:vAlign w:val="bottom"/>
            <w:gridSpan w:val="2"/>
          </w:tcPr>
          <w:p>
            <w:pPr>
              <w:jc w:val="center"/>
              <w:ind w:left="2902"/>
              <w:spacing w:after="0"/>
              <w:rPr>
                <w:sz w:val="20"/>
                <w:szCs w:val="20"/>
                <w:color w:val="auto"/>
              </w:rPr>
            </w:pPr>
            <w:r>
              <w:rPr>
                <w:rFonts w:ascii="Arial" w:cs="Arial" w:eastAsia="Arial" w:hAnsi="Arial"/>
                <w:sz w:val="18"/>
                <w:szCs w:val="18"/>
                <w:color w:val="auto"/>
                <w:w w:val="79"/>
              </w:rPr>
              <w:t>2</w:t>
            </w: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1,438.6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$117.7 and $113.5, respectively</w:t>
            </w:r>
          </w:p>
        </w:tc>
        <w:tc>
          <w:tcPr>
            <w:tcW w:w="28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4,224.6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5,273.1</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185.6</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5,892.7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6,484.5</w:t>
            </w:r>
          </w:p>
        </w:tc>
      </w:tr>
      <w:tr>
        <w:trPr>
          <w:trHeight w:val="229"/>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1,178.2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Intangible assets, less accumulated amortization of</w:t>
            </w: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$401.6 and $389.4, respectively</w:t>
            </w:r>
          </w:p>
        </w:tc>
        <w:tc>
          <w:tcPr>
            <w:tcW w:w="28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255.1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268.6</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409.1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588.1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618.8</w:t>
            </w:r>
          </w:p>
        </w:tc>
      </w:tr>
      <w:tr>
        <w:trPr>
          <w:trHeight w:val="22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other assets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2,430.5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2,596.0</w:t>
            </w:r>
          </w:p>
        </w:tc>
      </w:tr>
      <w:tr>
        <w:trPr>
          <w:trHeight w:val="229"/>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593.9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605.5</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457.5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462.2</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property and equipment</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136.4</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w:t>
            </w:r>
          </w:p>
        </w:tc>
      </w:tr>
      <w:tr>
        <w:trPr>
          <w:trHeight w:val="223"/>
        </w:trPr>
        <w:tc>
          <w:tcPr>
            <w:tcW w:w="77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8,459.6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2,243.5</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2,474.9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206.4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499.6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545.4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572.8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419.5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504.0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3,937.6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4,441.4</w:t>
            </w:r>
          </w:p>
        </w:tc>
      </w:tr>
      <w:tr>
        <w:trPr>
          <w:trHeight w:val="230"/>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1,014.3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1,012.4</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308.5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336.7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656.4</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671.8</w:t>
            </w:r>
          </w:p>
        </w:tc>
      </w:tr>
      <w:tr>
        <w:trPr>
          <w:trHeight w:val="223"/>
        </w:trPr>
        <w:tc>
          <w:tcPr>
            <w:tcW w:w="7720" w:type="dxa"/>
            <w:vAlign w:val="bottom"/>
          </w:tcPr>
          <w:p>
            <w:pPr>
              <w:ind w:left="380"/>
              <w:spacing w:after="0"/>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1,979.2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2,020.9</w:t>
            </w:r>
          </w:p>
        </w:tc>
      </w:tr>
      <w:tr>
        <w:trPr>
          <w:trHeight w:val="229"/>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 $.01 par value, authorized 125,000,000 shares, issued</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117,499,079 and 117,190,883 shares, respectively</w:t>
            </w:r>
          </w:p>
        </w:tc>
        <w:tc>
          <w:tcPr>
            <w:tcW w:w="28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3,388.0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3,370.6</w:t>
            </w:r>
          </w:p>
        </w:tc>
      </w:tr>
      <w:tr>
        <w:trPr>
          <w:trHeight w:val="229"/>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3,368.2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3,494.1</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(441.0)</w:t>
            </w: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Treasury stock at cost, 59,446,363 and 58,517,128 shares,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(3,752.3)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(3,681.9)</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ManpowerGroup shareholders’ equity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2,526.0</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2,743.0</w:t>
            </w:r>
          </w:p>
        </w:tc>
      </w:tr>
      <w:tr>
        <w:trPr>
          <w:trHeight w:val="223"/>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r>
      <w:tr>
        <w:trPr>
          <w:trHeight w:val="223"/>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2,542.8</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2,761.5</w:t>
            </w:r>
          </w:p>
        </w:tc>
      </w:tr>
      <w:tr>
        <w:trPr>
          <w:trHeight w:val="223"/>
        </w:trPr>
        <w:tc>
          <w:tcPr>
            <w:tcW w:w="772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8,459.6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9,223.8</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40" w:type="dxa"/>
            <w:vAlign w:val="bottom"/>
            <w:gridSpan w:val="3"/>
          </w:tcPr>
          <w:p>
            <w:pPr>
              <w:jc w:val="center"/>
              <w:ind w:left="4110"/>
              <w:spacing w:after="0"/>
              <w:rPr>
                <w:sz w:val="20"/>
                <w:szCs w:val="20"/>
                <w:color w:val="auto"/>
              </w:rPr>
            </w:pPr>
            <w:r>
              <w:rPr>
                <w:rFonts w:ascii="Arial" w:cs="Arial" w:eastAsia="Arial" w:hAnsi="Arial"/>
                <w:sz w:val="18"/>
                <w:szCs w:val="18"/>
                <w:b w:val="1"/>
                <w:bCs w:val="1"/>
                <w:color w:val="auto"/>
                <w:w w:val="93"/>
              </w:rPr>
              <w:t>ManpowerGroup Inc.</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400" w:type="dxa"/>
            <w:vAlign w:val="bottom"/>
            <w:gridSpan w:val="6"/>
          </w:tcPr>
          <w:p>
            <w:pPr>
              <w:jc w:val="center"/>
              <w:ind w:left="277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40" w:type="dxa"/>
            <w:vAlign w:val="bottom"/>
            <w:gridSpan w:val="3"/>
          </w:tcPr>
          <w:p>
            <w:pPr>
              <w:jc w:val="center"/>
              <w:ind w:left="4130"/>
              <w:spacing w:after="0"/>
              <w:rPr>
                <w:sz w:val="20"/>
                <w:szCs w:val="20"/>
                <w:color w:val="auto"/>
              </w:rPr>
            </w:pPr>
            <w:r>
              <w:rPr>
                <w:rFonts w:ascii="Arial" w:cs="Arial" w:eastAsia="Arial" w:hAnsi="Arial"/>
                <w:sz w:val="18"/>
                <w:szCs w:val="18"/>
                <w:b w:val="1"/>
                <w:bCs w:val="1"/>
                <w:color w:val="auto"/>
                <w:w w:val="89"/>
              </w:rPr>
              <w:t>(in millions, except per share data)</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3,742.2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5,373.1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8,361.3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10,418.0</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3,165.5</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4,502.7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7,060.6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8,742.8</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576.7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870.4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1,300.7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1,675.2</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w w:val="95"/>
              </w:rPr>
              <w:t>Selling and administrative expenses, excluding goodwill impairment charges</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559.9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charges</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626.7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739.6</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1,313.0</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1,438.9</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(loss)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(income),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earnings before income taxes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73.7</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(loss) earnings</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earnings per share – basic</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 per share –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60.4</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3"/>
          </w:tcPr>
          <w:p>
            <w:pPr>
              <w:jc w:val="center"/>
              <w:ind w:left="4210"/>
              <w:spacing w:after="0"/>
              <w:rPr>
                <w:sz w:val="20"/>
                <w:szCs w:val="20"/>
                <w:color w:val="auto"/>
              </w:rPr>
            </w:pPr>
            <w:r>
              <w:rPr>
                <w:rFonts w:ascii="Arial" w:cs="Arial" w:eastAsia="Arial" w:hAnsi="Arial"/>
                <w:sz w:val="18"/>
                <w:szCs w:val="18"/>
                <w:b w:val="1"/>
                <w:bCs w:val="1"/>
                <w:color w:val="auto"/>
                <w:w w:val="93"/>
              </w:rPr>
              <w:t>ManpowerGroup Inc.</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87"/>
        </w:trPr>
        <w:tc>
          <w:tcPr>
            <w:tcW w:w="8360" w:type="dxa"/>
            <w:vAlign w:val="bottom"/>
            <w:gridSpan w:val="6"/>
          </w:tcPr>
          <w:p>
            <w:pPr>
              <w:jc w:val="center"/>
              <w:ind w:left="2790"/>
              <w:spacing w:after="0"/>
              <w:rPr>
                <w:sz w:val="20"/>
                <w:szCs w:val="20"/>
                <w:color w:val="auto"/>
              </w:rPr>
            </w:pPr>
            <w:r>
              <w:rPr>
                <w:rFonts w:ascii="Arial" w:cs="Arial" w:eastAsia="Arial" w:hAnsi="Arial"/>
                <w:sz w:val="18"/>
                <w:szCs w:val="18"/>
                <w:b w:val="1"/>
                <w:bCs w:val="1"/>
                <w:color w:val="auto"/>
                <w:w w:val="89"/>
              </w:rPr>
              <w:t>Consolidated Statements of Comprehensive (Loss) Income (Unaudited)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6940" w:type="dxa"/>
            <w:vAlign w:val="bottom"/>
            <w:gridSpan w:val="3"/>
          </w:tcPr>
          <w:p>
            <w:pPr>
              <w:jc w:val="center"/>
              <w:ind w:left="421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0"/>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(loss) earnings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15"/>
        </w:trPr>
        <w:tc>
          <w:tcPr>
            <w:tcW w:w="5660" w:type="dxa"/>
            <w:vAlign w:val="bottom"/>
          </w:tcPr>
          <w:p>
            <w:pPr>
              <w:ind w:left="260"/>
              <w:spacing w:after="0"/>
              <w:rPr>
                <w:sz w:val="20"/>
                <w:szCs w:val="20"/>
                <w:color w:val="auto"/>
              </w:rPr>
            </w:pPr>
            <w:r>
              <w:rPr>
                <w:rFonts w:ascii="Arial" w:cs="Arial" w:eastAsia="Arial" w:hAnsi="Arial"/>
                <w:sz w:val="18"/>
                <w:szCs w:val="18"/>
                <w:color w:val="auto"/>
                <w:w w:val="95"/>
              </w:rPr>
              <w:t>Reclassification of currency translation adjustment to income related to</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disposition of partially held equity interest</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5"/>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Translation adjustments on derivative instruments, net of income taxes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$(5.3), $(3.1), $0.1 and $2.0, respectively</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15"/>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Defined benefit pension plans and retiree health care plan, net of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of $(0.1), $0.0, $7.6 and $0.1, respectively</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30"/>
        </w:trPr>
        <w:tc>
          <w:tcPr>
            <w:tcW w:w="5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5"/>
              </w:rPr>
              <w:t>Pension settlement related to a U.S. plan, net of income taxes of $(3.9)</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164.1</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00" w:type="dxa"/>
            <w:vAlign w:val="bottom"/>
          </w:tcPr>
          <w:p>
            <w:pPr>
              <w:jc w:val="center"/>
              <w:ind w:left="3250"/>
              <w:spacing w:after="0"/>
              <w:rPr>
                <w:sz w:val="20"/>
                <w:szCs w:val="20"/>
                <w:color w:val="auto"/>
              </w:rPr>
            </w:pPr>
            <w:r>
              <w:rPr>
                <w:rFonts w:ascii="Arial" w:cs="Arial" w:eastAsia="Arial" w:hAnsi="Arial"/>
                <w:sz w:val="18"/>
                <w:szCs w:val="18"/>
                <w:b w:val="1"/>
                <w:bCs w:val="1"/>
                <w:color w:val="auto"/>
                <w:w w:val="91"/>
              </w:rPr>
              <w:t>(in millions)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Net (loss) earnings</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(62.7)</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Adjustments to reconcile net (loss) earnings to net cash provided by operating activities: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Noncash gain on disposition of previously held equity interest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Noncash goodwill and other impairment charges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988.3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790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(425.1)</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ind w:left="780"/>
              <w:spacing w:after="0"/>
              <w:rPr>
                <w:sz w:val="20"/>
                <w:szCs w:val="20"/>
                <w:color w:val="auto"/>
              </w:rPr>
            </w:pPr>
            <w:r>
              <w:rPr>
                <w:rFonts w:ascii="Arial" w:cs="Arial" w:eastAsia="Arial" w:hAnsi="Arial"/>
                <w:sz w:val="18"/>
                <w:szCs w:val="18"/>
                <w:color w:val="auto"/>
              </w:rPr>
              <w:t>Cash provided by operating activities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7900" w:type="dxa"/>
            <w:vAlign w:val="bottom"/>
          </w:tcPr>
          <w:p>
            <w:pPr>
              <w:ind w:left="80"/>
              <w:spacing w:after="0"/>
              <w:rPr>
                <w:sz w:val="20"/>
                <w:szCs w:val="20"/>
                <w:color w:val="auto"/>
              </w:rPr>
            </w:pPr>
            <w:r>
              <w:rPr>
                <w:rFonts w:ascii="Arial" w:cs="Arial" w:eastAsia="Arial" w:hAnsi="Arial"/>
                <w:sz w:val="18"/>
                <w:szCs w:val="18"/>
                <w:color w:val="auto"/>
              </w:rPr>
              <w:t>Acquisition of businesses, net of cash acquired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Proceeds from the sale of subsidiaries, investments, property and equipment</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ind w:left="780"/>
              <w:spacing w:after="0"/>
              <w:rPr>
                <w:sz w:val="20"/>
                <w:szCs w:val="20"/>
                <w:color w:val="auto"/>
              </w:rPr>
            </w:pPr>
            <w:r>
              <w:rPr>
                <w:rFonts w:ascii="Arial" w:cs="Arial" w:eastAsia="Arial" w:hAnsi="Arial"/>
                <w:sz w:val="18"/>
                <w:szCs w:val="18"/>
                <w:color w:val="auto"/>
              </w:rPr>
              <w:t>Cash (used in) provided by investing activities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Proceeds from long-term debt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Repayments of long-term debt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Payments of contingent consideration for acquisitions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Proceeds from share-based awards and sale of subsidiaries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rPr>
              <w:t>Payments to noncontrolling interest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Other share-based award transactions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900" w:type="dxa"/>
            <w:vAlign w:val="bottom"/>
          </w:tcPr>
          <w:p>
            <w:pPr>
              <w:ind w:left="100"/>
              <w:spacing w:after="0"/>
              <w:rPr>
                <w:sz w:val="20"/>
                <w:szCs w:val="20"/>
                <w:color w:val="auto"/>
              </w:rPr>
            </w:pPr>
            <w:r>
              <w:rPr>
                <w:rFonts w:ascii="Arial" w:cs="Arial" w:eastAsia="Arial" w:hAnsi="Arial"/>
                <w:sz w:val="18"/>
                <w:szCs w:val="18"/>
                <w:color w:val="auto"/>
              </w:rPr>
              <w:t>Repurchases of common stock</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Dividends paid</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ind w:left="780"/>
              <w:spacing w:after="0"/>
              <w:rPr>
                <w:sz w:val="20"/>
                <w:szCs w:val="20"/>
                <w:color w:val="auto"/>
              </w:rPr>
            </w:pPr>
            <w:r>
              <w:rPr>
                <w:rFonts w:ascii="Arial" w:cs="Arial" w:eastAsia="Arial" w:hAnsi="Arial"/>
                <w:sz w:val="18"/>
                <w:szCs w:val="18"/>
                <w:color w:val="auto"/>
              </w:rPr>
              <w:t>Cash used in financing activities</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1,025.8</w:t>
            </w: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1,438.6</w:t>
            </w:r>
          </w:p>
        </w:tc>
        <w:tc>
          <w:tcPr>
            <w:tcW w:w="1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Interest Paid</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c>
          <w:tcPr>
            <w:tcW w:w="4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Income taxes paid, net</w:t>
            </w: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FF0FC"/>
            </w:tcBorders>
            <w:vMerge w:val="continue"/>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196"/>
        </w:trPr>
        <w:tc>
          <w:tcPr>
            <w:tcW w:w="79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Non-cash operating activity:</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w:t>
            </w:r>
          </w:p>
        </w:tc>
        <w:tc>
          <w:tcPr>
            <w:tcW w:w="48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7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right"/>
              <w:ind w:right="1"/>
              <w:spacing w:after="0"/>
              <w:rPr>
                <w:sz w:val="20"/>
                <w:szCs w:val="20"/>
                <w:color w:val="auto"/>
              </w:rPr>
            </w:pPr>
            <w:r>
              <w:rPr>
                <w:rFonts w:ascii="Arial" w:cs="Arial" w:eastAsia="Arial" w:hAnsi="Arial"/>
                <w:sz w:val="16"/>
                <w:szCs w:val="16"/>
                <w:b w:val="1"/>
                <w:bCs w:val="1"/>
                <w:color w:val="auto"/>
                <w:w w:val="94"/>
              </w:rPr>
              <w:t>ManpowerGroup Shareholders</w:t>
            </w: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w w:val="91"/>
              </w:rPr>
              <w:t>Common Stock</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Capital in</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ind w:left="28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2"/>
              </w:rPr>
              <w:t>Excess of</w:t>
            </w:r>
          </w:p>
        </w:tc>
        <w:tc>
          <w:tcPr>
            <w:tcW w:w="22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Retained</w:t>
            </w: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w w:val="99"/>
              </w:rPr>
              <w:t>Comprehensive</w:t>
            </w: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Treasury</w:t>
            </w:r>
          </w:p>
        </w:tc>
        <w:tc>
          <w:tcPr>
            <w:tcW w:w="2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3"/>
        </w:trPr>
        <w:tc>
          <w:tcPr>
            <w:tcW w:w="2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Issued</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Par Value</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7"/>
              </w:rPr>
              <w:t>Stock</w:t>
            </w:r>
          </w:p>
        </w:tc>
        <w:tc>
          <w:tcPr>
            <w:tcW w:w="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Interests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2019</w:t>
            </w:r>
          </w:p>
        </w:tc>
        <w:tc>
          <w:tcPr>
            <w:tcW w:w="1600" w:type="dxa"/>
            <w:vAlign w:val="bottom"/>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117,190,883</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56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3,370.6</w:t>
            </w:r>
          </w:p>
        </w:tc>
        <w:tc>
          <w:tcPr>
            <w:tcW w:w="22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3,494.1</w:t>
            </w:r>
          </w:p>
        </w:tc>
        <w:tc>
          <w:tcPr>
            <w:tcW w:w="240" w:type="dxa"/>
            <w:vAlign w:val="bottom"/>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(441.0)</w:t>
            </w:r>
          </w:p>
        </w:tc>
        <w:tc>
          <w:tcPr>
            <w:tcW w:w="220" w:type="dxa"/>
            <w:vAlign w:val="bottom"/>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(3,681.9)</w:t>
            </w:r>
          </w:p>
        </w:tc>
        <w:tc>
          <w:tcPr>
            <w:tcW w:w="3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18.5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2,761.5</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(64.8)</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293,298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9"/>
        </w:trPr>
        <w:tc>
          <w:tcPr>
            <w:tcW w:w="328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3"/>
              </w:rPr>
              <w:t>Repurchases of common stock</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6"/>
        </w:trPr>
        <w:tc>
          <w:tcPr>
            <w:tcW w:w="3280" w:type="dxa"/>
            <w:vAlign w:val="bottom"/>
            <w:tcBorders>
              <w:bottom w:val="single" w:sz="8" w:color="auto"/>
            </w:tcBorders>
            <w:gridSpan w:val="3"/>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6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0.3</w:t>
            </w:r>
          </w:p>
        </w:tc>
      </w:tr>
      <w:tr>
        <w:trPr>
          <w:trHeight w:val="209"/>
        </w:trPr>
        <w:tc>
          <w:tcPr>
            <w:tcW w:w="2340" w:type="dxa"/>
            <w:vAlign w:val="bottom"/>
          </w:tcPr>
          <w:p>
            <w:pPr>
              <w:spacing w:after="0"/>
              <w:rPr>
                <w:sz w:val="20"/>
                <w:szCs w:val="20"/>
                <w:color w:val="auto"/>
              </w:rPr>
            </w:pPr>
            <w:r>
              <w:rPr>
                <w:rFonts w:ascii="Arial" w:cs="Arial" w:eastAsia="Arial" w:hAnsi="Arial"/>
                <w:sz w:val="16"/>
                <w:szCs w:val="16"/>
                <w:color w:val="auto"/>
              </w:rPr>
              <w:t>Balance, March 31, 2020</w:t>
            </w:r>
          </w:p>
        </w:tc>
        <w:tc>
          <w:tcPr>
            <w:tcW w:w="1600" w:type="dxa"/>
            <w:vAlign w:val="bottom"/>
            <w:gridSpan w:val="3"/>
          </w:tcPr>
          <w:p>
            <w:pPr>
              <w:jc w:val="right"/>
              <w:ind w:right="19"/>
              <w:spacing w:after="0"/>
              <w:rPr>
                <w:sz w:val="20"/>
                <w:szCs w:val="20"/>
                <w:color w:val="auto"/>
              </w:rPr>
            </w:pPr>
            <w:r>
              <w:rPr>
                <w:rFonts w:ascii="Arial" w:cs="Arial" w:eastAsia="Arial" w:hAnsi="Arial"/>
                <w:sz w:val="16"/>
                <w:szCs w:val="16"/>
                <w:color w:val="auto"/>
              </w:rPr>
              <w:t>117,484,181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56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3,381.1</w:t>
            </w:r>
          </w:p>
        </w:tc>
        <w:tc>
          <w:tcPr>
            <w:tcW w:w="220" w:type="dxa"/>
            <w:vAlign w:val="bottom"/>
          </w:tcPr>
          <w:p>
            <w:pPr>
              <w:jc w:val="center"/>
              <w:ind w:lef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3,495.8</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(505.8)</w:t>
            </w:r>
          </w:p>
        </w:tc>
        <w:tc>
          <w:tcPr>
            <w:tcW w:w="220" w:type="dxa"/>
            <w:vAlign w:val="bottom"/>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(3,752.1)</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2,639.0</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(64.4)</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(64.4)</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8"/>
              </w:rPr>
              <w:t>Other comprehensive income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26.7</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14,898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3280" w:type="dxa"/>
            <w:vAlign w:val="bottom"/>
            <w:gridSpan w:val="3"/>
          </w:tcPr>
          <w:p>
            <w:pPr>
              <w:ind w:left="260"/>
              <w:spacing w:after="0"/>
              <w:rPr>
                <w:sz w:val="20"/>
                <w:szCs w:val="20"/>
                <w:color w:val="auto"/>
              </w:rPr>
            </w:pPr>
            <w:r>
              <w:rPr>
                <w:rFonts w:ascii="Arial" w:cs="Arial" w:eastAsia="Arial" w:hAnsi="Arial"/>
                <w:sz w:val="16"/>
                <w:szCs w:val="16"/>
                <w:color w:val="auto"/>
              </w:rPr>
              <w:t>Share-based compensation expense</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6.9</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1"/>
              <w:spacing w:after="0"/>
              <w:rPr>
                <w:sz w:val="20"/>
                <w:szCs w:val="20"/>
                <w:color w:val="auto"/>
              </w:rPr>
            </w:pPr>
            <w:r>
              <w:rPr>
                <w:rFonts w:ascii="Arial" w:cs="Arial" w:eastAsia="Arial" w:hAnsi="Arial"/>
                <w:sz w:val="16"/>
                <w:szCs w:val="16"/>
                <w:color w:val="auto"/>
              </w:rPr>
              <w:t>(63.2)</w:t>
            </w: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w:t>
            </w:r>
          </w:p>
        </w:tc>
      </w:tr>
      <w:tr>
        <w:trPr>
          <w:trHeight w:val="213"/>
        </w:trPr>
        <w:tc>
          <w:tcPr>
            <w:tcW w:w="32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color w:val="auto"/>
              </w:rPr>
              <w:t>Noncontrolling interest transactions</w:t>
            </w:r>
          </w:p>
        </w:tc>
        <w:tc>
          <w:tcPr>
            <w:tcW w:w="6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2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Balance, June 30, 2020</w:t>
            </w:r>
          </w:p>
        </w:tc>
        <w:tc>
          <w:tcPr>
            <w:tcW w:w="1600" w:type="dxa"/>
            <w:vAlign w:val="bottom"/>
            <w:tcBorders>
              <w:bottom w:val="single" w:sz="8" w:color="auto"/>
            </w:tcBorders>
            <w:gridSpan w:val="3"/>
            <w:shd w:val="clear" w:color="auto" w:fill="CFF0FC"/>
          </w:tcPr>
          <w:p>
            <w:pPr>
              <w:jc w:val="right"/>
              <w:ind w:right="19"/>
              <w:spacing w:after="0"/>
              <w:rPr>
                <w:sz w:val="20"/>
                <w:szCs w:val="20"/>
                <w:color w:val="auto"/>
              </w:rPr>
            </w:pPr>
            <w:r>
              <w:rPr>
                <w:rFonts w:ascii="Arial" w:cs="Arial" w:eastAsia="Arial" w:hAnsi="Arial"/>
                <w:sz w:val="16"/>
                <w:szCs w:val="16"/>
                <w:color w:val="auto"/>
              </w:rPr>
              <w:t>117,499,079</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560" w:type="dxa"/>
            <w:vAlign w:val="bottom"/>
            <w:tcBorders>
              <w:bottom w:val="single" w:sz="8" w:color="auto"/>
            </w:tcBorders>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3"/>
              </w:rPr>
              <w:t>3,388.0</w:t>
            </w:r>
          </w:p>
        </w:tc>
        <w:tc>
          <w:tcPr>
            <w:tcW w:w="220" w:type="dxa"/>
            <w:vAlign w:val="bottom"/>
            <w:tcBorders>
              <w:bottom w:val="single" w:sz="8" w:color="auto"/>
            </w:tcBorders>
            <w:shd w:val="clear" w:color="auto" w:fill="CFF0FC"/>
          </w:tcPr>
          <w:p>
            <w:pPr>
              <w:jc w:val="center"/>
              <w:ind w:lef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3,368.2</w:t>
            </w:r>
          </w:p>
        </w:tc>
        <w:tc>
          <w:tcPr>
            <w:tcW w:w="240" w:type="dxa"/>
            <w:vAlign w:val="bottom"/>
            <w:tcBorders>
              <w:bottom w:val="single" w:sz="8" w:color="auto"/>
            </w:tcBorders>
            <w:shd w:val="clear" w:color="auto" w:fill="CFF0FC"/>
          </w:tcPr>
          <w:p>
            <w:pPr>
              <w:ind w:left="16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(479.1)</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(3,752.3)</w:t>
            </w:r>
          </w:p>
        </w:tc>
        <w:tc>
          <w:tcPr>
            <w:tcW w:w="380" w:type="dxa"/>
            <w:vAlign w:val="bottom"/>
            <w:tcBorders>
              <w:bottom w:val="single" w:sz="8" w:color="auto"/>
            </w:tcBorders>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16.8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2,542.8</w:t>
            </w:r>
          </w:p>
        </w:tc>
      </w:tr>
      <w:tr>
        <w:trPr>
          <w:trHeight w:val="493"/>
        </w:trPr>
        <w:tc>
          <w:tcPr>
            <w:tcW w:w="23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ManpowerGroup Shareholders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7"/>
        </w:trPr>
        <w:tc>
          <w:tcPr>
            <w:tcW w:w="2340" w:type="dxa"/>
            <w:vAlign w:val="bottom"/>
          </w:tcPr>
          <w:p>
            <w:pPr>
              <w:spacing w:after="0"/>
              <w:rPr>
                <w:sz w:val="17"/>
                <w:szCs w:val="17"/>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1"/>
              </w:rPr>
              <w:t>Accumulated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Capital in</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439"/>
              <w:spacing w:after="0"/>
              <w:rPr>
                <w:sz w:val="20"/>
                <w:szCs w:val="20"/>
                <w:color w:val="auto"/>
              </w:rPr>
            </w:pPr>
            <w:r>
              <w:rPr>
                <w:rFonts w:ascii="Arial" w:cs="Arial" w:eastAsia="Arial" w:hAnsi="Arial"/>
                <w:sz w:val="16"/>
                <w:szCs w:val="16"/>
                <w:b w:val="1"/>
                <w:bCs w:val="1"/>
                <w:color w:val="auto"/>
                <w:w w:val="98"/>
              </w:rPr>
              <w:t>Other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340" w:type="dxa"/>
            <w:vAlign w:val="bottom"/>
          </w:tcPr>
          <w:p>
            <w:pPr>
              <w:spacing w:after="0"/>
              <w:rPr>
                <w:sz w:val="17"/>
                <w:szCs w:val="17"/>
                <w:color w:val="auto"/>
              </w:rPr>
            </w:pPr>
          </w:p>
        </w:tc>
        <w:tc>
          <w:tcPr>
            <w:tcW w:w="9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660" w:type="dxa"/>
            <w:vAlign w:val="bottom"/>
          </w:tcPr>
          <w:p>
            <w:pPr>
              <w:jc w:val="center"/>
              <w:ind w:left="299"/>
              <w:spacing w:after="0"/>
              <w:rPr>
                <w:sz w:val="20"/>
                <w:szCs w:val="20"/>
                <w:color w:val="auto"/>
              </w:rPr>
            </w:pPr>
            <w:r>
              <w:rPr>
                <w:rFonts w:ascii="Arial" w:cs="Arial" w:eastAsia="Arial" w:hAnsi="Arial"/>
                <w:sz w:val="16"/>
                <w:szCs w:val="16"/>
                <w:b w:val="1"/>
                <w:bCs w:val="1"/>
                <w:color w:val="auto"/>
                <w:w w:val="92"/>
              </w:rPr>
              <w:t>Par</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Excess of</w:t>
            </w:r>
          </w:p>
        </w:tc>
        <w:tc>
          <w:tcPr>
            <w:tcW w:w="15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Retained</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w:t>
            </w:r>
          </w:p>
        </w:tc>
        <w:tc>
          <w:tcPr>
            <w:tcW w:w="94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Treasury</w:t>
            </w:r>
          </w:p>
        </w:tc>
        <w:tc>
          <w:tcPr>
            <w:tcW w:w="20" w:type="dxa"/>
            <w:vAlign w:val="bottom"/>
          </w:tcPr>
          <w:p>
            <w:pPr>
              <w:spacing w:after="0"/>
              <w:rPr>
                <w:sz w:val="17"/>
                <w:szCs w:val="17"/>
                <w:color w:val="auto"/>
              </w:rPr>
            </w:pPr>
          </w:p>
        </w:tc>
        <w:tc>
          <w:tcPr>
            <w:tcW w:w="1200" w:type="dxa"/>
            <w:vAlign w:val="bottom"/>
            <w:gridSpan w:val="3"/>
          </w:tcPr>
          <w:p>
            <w:pPr>
              <w:ind w:left="280"/>
              <w:spacing w:after="0"/>
              <w:rPr>
                <w:sz w:val="20"/>
                <w:szCs w:val="20"/>
                <w:color w:val="auto"/>
              </w:rPr>
            </w:pPr>
            <w:r>
              <w:rPr>
                <w:rFonts w:ascii="Arial" w:cs="Arial" w:eastAsia="Arial" w:hAnsi="Arial"/>
                <w:sz w:val="16"/>
                <w:szCs w:val="16"/>
                <w:b w:val="1"/>
                <w:bCs w:val="1"/>
                <w:color w:val="auto"/>
              </w:rPr>
              <w:t>Controlling</w:t>
            </w:r>
          </w:p>
        </w:tc>
        <w:tc>
          <w:tcPr>
            <w:tcW w:w="780" w:type="dxa"/>
            <w:vAlign w:val="bottom"/>
          </w:tcPr>
          <w:p>
            <w:pPr>
              <w:spacing w:after="0"/>
              <w:rPr>
                <w:sz w:val="17"/>
                <w:szCs w:val="17"/>
                <w:color w:val="auto"/>
              </w:rPr>
            </w:pPr>
          </w:p>
        </w:tc>
      </w:tr>
      <w:tr>
        <w:trPr>
          <w:trHeight w:val="213"/>
        </w:trPr>
        <w:tc>
          <w:tcPr>
            <w:tcW w:w="2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Issued</w:t>
            </w: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3"/>
              </w:rPr>
              <w:t>Earnings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w w:val="85"/>
              </w:rPr>
              <w:t>Loss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6"/>
              </w:rPr>
              <w:t>Stock</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213"/>
        </w:trPr>
        <w:tc>
          <w:tcPr>
            <w:tcW w:w="23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116,795,899</w:t>
            </w:r>
          </w:p>
        </w:tc>
        <w:tc>
          <w:tcPr>
            <w:tcW w:w="6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0"/>
              </w:rPr>
              <w:t>1.2</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7"/>
              </w:rPr>
              <w:t>3,337.5</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w w:val="97"/>
              </w:rPr>
              <w:t>3,157.7</w:t>
            </w: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(399.8)</w:t>
            </w:r>
          </w:p>
        </w:tc>
        <w:tc>
          <w:tcPr>
            <w:tcW w:w="2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(3,471.7)</w:t>
            </w:r>
          </w:p>
        </w:tc>
        <w:tc>
          <w:tcPr>
            <w:tcW w:w="380" w:type="dxa"/>
            <w:vAlign w:val="bottom"/>
            <w:gridSpan w:val="2"/>
            <w:shd w:val="clear" w:color="auto" w:fill="CFF0FC"/>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73.6</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$2,698.5</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19"/>
              <w:spacing w:after="0"/>
              <w:rPr>
                <w:sz w:val="20"/>
                <w:szCs w:val="20"/>
                <w:color w:val="auto"/>
              </w:rPr>
            </w:pPr>
            <w:r>
              <w:rPr>
                <w:rFonts w:ascii="Arial" w:cs="Arial" w:eastAsia="Arial" w:hAnsi="Arial"/>
                <w:sz w:val="16"/>
                <w:szCs w:val="16"/>
                <w:color w:val="auto"/>
                <w:w w:val="96"/>
              </w:rPr>
              <w:t>53.5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247,325</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2"/>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expense</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3"/>
              </w:rPr>
              <w:t>Repurchases of common stock</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9"/>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5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58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2340" w:type="dxa"/>
            <w:vAlign w:val="bottom"/>
          </w:tcPr>
          <w:p>
            <w:pPr>
              <w:spacing w:after="0"/>
              <w:rPr>
                <w:sz w:val="20"/>
                <w:szCs w:val="20"/>
                <w:color w:val="auto"/>
              </w:rPr>
            </w:pPr>
            <w:r>
              <w:rPr>
                <w:rFonts w:ascii="Arial" w:cs="Arial" w:eastAsia="Arial" w:hAnsi="Arial"/>
                <w:sz w:val="16"/>
                <w:szCs w:val="16"/>
                <w:color w:val="auto"/>
              </w:rPr>
              <w:t>Balance, March 31, 2019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117,043,224</w:t>
            </w:r>
          </w:p>
        </w:tc>
        <w:tc>
          <w:tcPr>
            <w:tcW w:w="6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w w:val="80"/>
              </w:rPr>
              <w:t>1.2</w:t>
            </w:r>
          </w:p>
        </w:tc>
        <w:tc>
          <w:tcPr>
            <w:tcW w:w="200" w:type="dxa"/>
            <w:vAlign w:val="bottom"/>
          </w:tcPr>
          <w:p>
            <w:pPr>
              <w:spacing w:after="0"/>
              <w:rPr>
                <w:sz w:val="18"/>
                <w:szCs w:val="18"/>
                <w:color w:val="auto"/>
              </w:rPr>
            </w:pP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7"/>
              </w:rPr>
              <w:t>3,343.0</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19"/>
              <w:spacing w:after="0"/>
              <w:rPr>
                <w:sz w:val="20"/>
                <w:szCs w:val="20"/>
                <w:color w:val="auto"/>
              </w:rPr>
            </w:pPr>
            <w:r>
              <w:rPr>
                <w:rFonts w:ascii="Arial" w:cs="Arial" w:eastAsia="Arial" w:hAnsi="Arial"/>
                <w:sz w:val="16"/>
                <w:szCs w:val="16"/>
                <w:color w:val="auto"/>
                <w:w w:val="97"/>
              </w:rPr>
              <w:t>3,211.2</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(401.8)</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(3,578.0)</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9"/>
              <w:spacing w:after="0"/>
              <w:rPr>
                <w:sz w:val="20"/>
                <w:szCs w:val="20"/>
                <w:color w:val="auto"/>
              </w:rPr>
            </w:pPr>
            <w:r>
              <w:rPr>
                <w:rFonts w:ascii="Arial" w:cs="Arial" w:eastAsia="Arial" w:hAnsi="Arial"/>
                <w:sz w:val="16"/>
                <w:szCs w:val="16"/>
                <w:color w:val="auto"/>
              </w:rPr>
              <w:t>74.3</w:t>
            </w:r>
          </w:p>
        </w:tc>
        <w:tc>
          <w:tcPr>
            <w:tcW w:w="780" w:type="dxa"/>
            <w:vAlign w:val="bottom"/>
          </w:tcPr>
          <w:p>
            <w:pPr>
              <w:jc w:val="right"/>
              <w:spacing w:after="0"/>
              <w:rPr>
                <w:sz w:val="20"/>
                <w:szCs w:val="20"/>
                <w:color w:val="auto"/>
              </w:rPr>
            </w:pPr>
            <w:r>
              <w:rPr>
                <w:rFonts w:ascii="Arial" w:cs="Arial" w:eastAsia="Arial" w:hAnsi="Arial"/>
                <w:sz w:val="16"/>
                <w:szCs w:val="16"/>
                <w:color w:val="auto"/>
              </w:rPr>
              <w:t>$2,649.9</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Issuances under equity plans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120,244</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06"/>
        </w:trPr>
        <w:tc>
          <w:tcPr>
            <w:tcW w:w="2340" w:type="dxa"/>
            <w:vAlign w:val="bottom"/>
          </w:tcPr>
          <w:p>
            <w:pPr>
              <w:ind w:left="260"/>
              <w:spacing w:after="0"/>
              <w:rPr>
                <w:sz w:val="20"/>
                <w:szCs w:val="20"/>
                <w:color w:val="auto"/>
              </w:rPr>
            </w:pPr>
            <w:r>
              <w:rPr>
                <w:rFonts w:ascii="Arial" w:cs="Arial" w:eastAsia="Arial" w:hAnsi="Arial"/>
                <w:sz w:val="16"/>
                <w:szCs w:val="16"/>
                <w:color w:val="auto"/>
              </w:rPr>
              <w:t>Share-based compensation</w:t>
            </w: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2340" w:type="dxa"/>
            <w:vAlign w:val="bottom"/>
          </w:tcPr>
          <w:p>
            <w:pPr>
              <w:ind w:left="260"/>
              <w:spacing w:after="0"/>
              <w:rPr>
                <w:sz w:val="20"/>
                <w:szCs w:val="20"/>
                <w:color w:val="auto"/>
              </w:rPr>
            </w:pPr>
            <w:r>
              <w:rPr>
                <w:rFonts w:ascii="Arial" w:cs="Arial" w:eastAsia="Arial" w:hAnsi="Arial"/>
                <w:sz w:val="16"/>
                <w:szCs w:val="16"/>
                <w:color w:val="auto"/>
              </w:rPr>
              <w:t>expense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8.3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5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90"/>
              </w:rPr>
              <w:t>(65.2)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r>
      <w:tr>
        <w:trPr>
          <w:trHeight w:val="213"/>
        </w:trPr>
        <w:tc>
          <w:tcPr>
            <w:tcW w:w="2340" w:type="dxa"/>
            <w:vAlign w:val="bottom"/>
          </w:tcPr>
          <w:p>
            <w:pPr>
              <w:ind w:left="260"/>
              <w:spacing w:after="0"/>
              <w:rPr>
                <w:sz w:val="20"/>
                <w:szCs w:val="20"/>
                <w:color w:val="auto"/>
              </w:rPr>
            </w:pPr>
            <w:r>
              <w:rPr>
                <w:rFonts w:ascii="Arial" w:cs="Arial" w:eastAsia="Arial" w:hAnsi="Arial"/>
                <w:sz w:val="16"/>
                <w:szCs w:val="16"/>
                <w:color w:val="auto"/>
                <w:w w:val="93"/>
              </w:rPr>
              <w:t>Repurchases of common stock</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Noncontrolling interest</w:t>
            </w:r>
          </w:p>
        </w:tc>
        <w:tc>
          <w:tcPr>
            <w:tcW w:w="5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9"/>
        </w:trPr>
        <w:tc>
          <w:tcPr>
            <w:tcW w:w="234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transactions</w:t>
            </w:r>
          </w:p>
        </w:tc>
        <w:tc>
          <w:tcPr>
            <w:tcW w:w="5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gridSpan w:val="3"/>
            <w:shd w:val="clear" w:color="auto" w:fill="CFF0FC"/>
          </w:tcPr>
          <w:p>
            <w:pPr>
              <w:jc w:val="right"/>
              <w:ind w:right="459"/>
              <w:spacing w:after="0"/>
              <w:rPr>
                <w:sz w:val="20"/>
                <w:szCs w:val="20"/>
                <w:color w:val="auto"/>
              </w:rPr>
            </w:pPr>
            <w:r>
              <w:rPr>
                <w:rFonts w:ascii="Arial" w:cs="Arial" w:eastAsia="Arial" w:hAnsi="Arial"/>
                <w:sz w:val="16"/>
                <w:szCs w:val="16"/>
                <w:color w:val="auto"/>
              </w:rPr>
              <w:t>(0.8)</w:t>
            </w: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(12.3)</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r>
      <w:tr>
        <w:trPr>
          <w:trHeight w:val="209"/>
        </w:trPr>
        <w:tc>
          <w:tcPr>
            <w:tcW w:w="2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June 30, 2019</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117,163,468</w:t>
            </w:r>
          </w:p>
        </w:tc>
        <w:tc>
          <w:tcPr>
            <w:tcW w:w="6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0"/>
              </w:rPr>
              <w:t>1.2</w:t>
            </w: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3,354.4</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w w:val="97"/>
              </w:rPr>
              <w:t>3,273.3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(416.5)</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(3,579.9)</w:t>
            </w:r>
          </w:p>
        </w:tc>
        <w:tc>
          <w:tcPr>
            <w:tcW w:w="38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62.0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2019 Annual Report on Form 10-K.</w:t>
      </w:r>
    </w:p>
    <w:p>
      <w:pPr>
        <w:spacing w:after="0" w:line="13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global spread of COVID-19, which was declared a global pandemic by the World Health Organization in March 2020, has created significant volatility, uncertainty and global macroeconomic disruption. Our business, operations and consolidated financial statements for the three and six months ended June 30, 2020 were significantly negatively impacted by the COVID-19 crisis. By the end of March, significant lockdown measures had been implemented in our main markets in Europe and North America, as well as in certain other countries. As the second quarter of 2020 drew to a close, indications were that the impact of the COVID-19 crisis had been contained in many parts of the world, and economies had begun to slowly reopen. However, some countries in Latin America and parts of the United States continue to deal with the COVID-19 crisis at elevated levels. Continued uncertainty remains as to the future impact of the pandemic on global and local economies.</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continuing to monitor and assess the impacts of the COVID-19 pandemic and we expect that our financial condition, liquidity and future results of operations will continue to be adversely affected. However, we cannot predict with certainty what the impact will be on future periods. For further information on the impacts of COVID-19 on our business, operations and financial results, see Part I, Item 2: 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doubtful accounts is shown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tcPr>
          <w:p>
            <w:pPr>
              <w:jc w:val="right"/>
              <w:ind w:right="568"/>
              <w:spacing w:after="0"/>
              <w:rPr>
                <w:sz w:val="20"/>
                <w:szCs w:val="20"/>
                <w:color w:val="auto"/>
              </w:rPr>
            </w:pPr>
            <w:r>
              <w:rPr>
                <w:rFonts w:ascii="Arial" w:cs="Arial" w:eastAsia="Arial" w:hAnsi="Arial"/>
                <w:sz w:val="14"/>
                <w:szCs w:val="14"/>
                <w:b w:val="1"/>
                <w:bCs w:val="1"/>
                <w:color w:val="auto"/>
              </w:rPr>
              <w:t>Six Months Ended June 30, 2020</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2019</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2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113.5</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Provisions charged to earnings</w:t>
            </w:r>
          </w:p>
        </w:tc>
        <w:tc>
          <w:tcPr>
            <w:tcW w:w="300" w:type="dxa"/>
            <w:vAlign w:val="bottom"/>
          </w:tcPr>
          <w:p>
            <w:pPr>
              <w:spacing w:after="0"/>
              <w:rPr>
                <w:sz w:val="14"/>
                <w:szCs w:val="14"/>
                <w:color w:val="auto"/>
              </w:rPr>
            </w:pPr>
          </w:p>
        </w:tc>
        <w:tc>
          <w:tcPr>
            <w:tcW w:w="2840" w:type="dxa"/>
            <w:vAlign w:val="bottom"/>
          </w:tcPr>
          <w:p>
            <w:pPr>
              <w:jc w:val="right"/>
              <w:ind w:right="68"/>
              <w:spacing w:after="0"/>
              <w:rPr>
                <w:sz w:val="20"/>
                <w:szCs w:val="20"/>
                <w:color w:val="auto"/>
              </w:rPr>
            </w:pPr>
            <w:r>
              <w:rPr>
                <w:rFonts w:ascii="Arial" w:cs="Arial" w:eastAsia="Arial" w:hAnsi="Arial"/>
                <w:sz w:val="14"/>
                <w:szCs w:val="14"/>
                <w:color w:val="auto"/>
              </w:rPr>
              <w:t>10.8</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Write-offs</w:t>
            </w:r>
          </w:p>
        </w:tc>
        <w:tc>
          <w:tcPr>
            <w:tcW w:w="300" w:type="dxa"/>
            <w:vAlign w:val="bottom"/>
            <w:shd w:val="clear" w:color="auto" w:fill="CFF0FC"/>
          </w:tcPr>
          <w:p>
            <w:pPr>
              <w:spacing w:after="0"/>
              <w:rPr>
                <w:sz w:val="14"/>
                <w:szCs w:val="14"/>
                <w:color w:val="auto"/>
              </w:rPr>
            </w:pPr>
          </w:p>
        </w:tc>
        <w:tc>
          <w:tcPr>
            <w:tcW w:w="28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(9.6)</w:t>
            </w:r>
          </w:p>
        </w:tc>
      </w:tr>
      <w:tr>
        <w:trPr>
          <w:trHeight w:val="162"/>
        </w:trPr>
        <w:tc>
          <w:tcPr>
            <w:tcW w:w="8100" w:type="dxa"/>
            <w:vAlign w:val="bottom"/>
          </w:tcPr>
          <w:p>
            <w:pPr>
              <w:spacing w:after="0"/>
              <w:rPr>
                <w:sz w:val="20"/>
                <w:szCs w:val="20"/>
                <w:color w:val="auto"/>
              </w:rPr>
            </w:pPr>
            <w:r>
              <w:rPr>
                <w:rFonts w:ascii="Arial" w:cs="Arial" w:eastAsia="Arial" w:hAnsi="Arial"/>
                <w:sz w:val="14"/>
                <w:szCs w:val="14"/>
                <w:color w:val="auto"/>
              </w:rPr>
              <w:t>Translation adjustments</w:t>
            </w:r>
          </w:p>
        </w:tc>
        <w:tc>
          <w:tcPr>
            <w:tcW w:w="300" w:type="dxa"/>
            <w:vAlign w:val="bottom"/>
          </w:tcPr>
          <w:p>
            <w:pPr>
              <w:spacing w:after="0"/>
              <w:rPr>
                <w:sz w:val="14"/>
                <w:szCs w:val="14"/>
                <w:color w:val="auto"/>
              </w:rPr>
            </w:pPr>
          </w:p>
        </w:tc>
        <w:tc>
          <w:tcPr>
            <w:tcW w:w="2840" w:type="dxa"/>
            <w:vAlign w:val="bottom"/>
          </w:tcPr>
          <w:p>
            <w:pPr>
              <w:jc w:val="right"/>
              <w:ind w:right="8"/>
              <w:spacing w:after="0"/>
              <w:rPr>
                <w:sz w:val="20"/>
                <w:szCs w:val="20"/>
                <w:color w:val="auto"/>
              </w:rPr>
            </w:pPr>
            <w:r>
              <w:rPr>
                <w:rFonts w:ascii="Arial" w:cs="Arial" w:eastAsia="Arial" w:hAnsi="Arial"/>
                <w:sz w:val="14"/>
                <w:szCs w:val="14"/>
                <w:color w:val="auto"/>
              </w:rPr>
              <w:t>(0.8)</w:t>
            </w:r>
          </w:p>
        </w:tc>
      </w:tr>
      <w:tr>
        <w:trPr>
          <w:trHeight w:val="162"/>
        </w:trPr>
        <w:tc>
          <w:tcPr>
            <w:tcW w:w="8100" w:type="dxa"/>
            <w:vAlign w:val="bottom"/>
            <w:shd w:val="clear" w:color="auto" w:fill="CFF0FC"/>
          </w:tcPr>
          <w:p>
            <w:pPr>
              <w:spacing w:after="0"/>
              <w:rPr>
                <w:sz w:val="20"/>
                <w:szCs w:val="20"/>
                <w:color w:val="auto"/>
              </w:rPr>
            </w:pPr>
            <w:r>
              <w:rPr>
                <w:rFonts w:ascii="Arial" w:cs="Arial" w:eastAsia="Arial" w:hAnsi="Arial"/>
                <w:sz w:val="14"/>
                <w:szCs w:val="14"/>
                <w:color w:val="auto"/>
              </w:rPr>
              <w:t>Reclassifications and other</w:t>
            </w:r>
          </w:p>
        </w:tc>
        <w:tc>
          <w:tcPr>
            <w:tcW w:w="300" w:type="dxa"/>
            <w:vAlign w:val="bottom"/>
            <w:tcBorders>
              <w:bottom w:val="single" w:sz="8" w:color="auto"/>
            </w:tcBorders>
            <w:shd w:val="clear" w:color="auto" w:fill="CFF0FC"/>
          </w:tcPr>
          <w:p>
            <w:pPr>
              <w:spacing w:after="0"/>
              <w:rPr>
                <w:sz w:val="14"/>
                <w:szCs w:val="14"/>
                <w:color w:val="auto"/>
              </w:rPr>
            </w:pPr>
          </w:p>
        </w:tc>
        <w:tc>
          <w:tcPr>
            <w:tcW w:w="28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3.8</w:t>
            </w:r>
          </w:p>
        </w:tc>
      </w:tr>
      <w:tr>
        <w:trPr>
          <w:trHeight w:val="155"/>
        </w:trPr>
        <w:tc>
          <w:tcPr>
            <w:tcW w:w="8100" w:type="dxa"/>
            <w:vAlign w:val="bottom"/>
          </w:tcPr>
          <w:p>
            <w:pPr>
              <w:spacing w:after="0" w:line="155" w:lineRule="exact"/>
              <w:rPr>
                <w:sz w:val="20"/>
                <w:szCs w:val="20"/>
                <w:color w:val="auto"/>
              </w:rPr>
            </w:pPr>
            <w:r>
              <w:rPr>
                <w:rFonts w:ascii="Arial" w:cs="Arial" w:eastAsia="Arial" w:hAnsi="Arial"/>
                <w:sz w:val="14"/>
                <w:szCs w:val="14"/>
                <w:color w:val="auto"/>
              </w:rPr>
              <w:t>Balance, June 30, 2020</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28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117.7</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60"/>
        <w:spacing w:after="0" w:line="254"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2019, we sold a portion of our French payroll tax credits earned in 2018 for net proceeds of $103.5 (€92.0). We derecognized these receivables and the additional interest upon the sale date as the terms of the agreement are such that the transaction qualifies for sale treatment in accordance with the accounting guidance on the transfer and servicing of assets. The discount on the sale of these receivables was recorded in cost of services as a reduction of the payroll tax credits.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18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second quarter of 2019, we determined that it was more likely than not that the fair value of the Germany reporting unit was below its carrying amount and performed an interim goodwill impairment test. As a result of the interim test, we wrote down the carrying value of the Germany reporting unit to its estimated fair value and recognized a non-cash impairment charge loss of $60.2 during the second quarter of 2019. As of the date of our last annual impairment test, performed during the third quarter of 2019, the fair value of each reporting unit was at least 20% in excess of the respective reporting unit’s carrying value with the exception of the Germany reporting unit.</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the second quarter of 2020,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sustained operating losses resulted from the ongoing decline and increased uncertainty in the outlook of the manufacturing sector, particularly the automotive sector in Germany, coupled with the significant implications of COVID-19. Our German business has not experienced the improvement in the rate of revenue decline as the second quarter progressed that many of our other European markets have experienced, and if we continue to experience sustained revenue declines and operating losses we may have to consider further actions to optimize our business structure.</w:t>
      </w:r>
    </w:p>
    <w:p>
      <w:pPr>
        <w:spacing w:after="0" w:line="15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we determined that it was more likely than not that the fair value of the Germany reporting unit was below its carrying amount, we performed an interim impairment test on this reporting unit as of June 30, 2020. As a result of our interim test, we recognized a non-cash impairment loss of $66.8. The Germany reporting unit is included in the Northern Europe segment. The goodwill impairment charge resulted from reductions in the estimated fair value for our Germany reporting unit based on lower expectations for future revenue, profitability and cash flows as compared to the expectations of the 2019 annual goodwill impairment test and our quarterly assessments in the intervening periods due to the factors discussed above.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jc w:val="both"/>
        <w:ind w:right="540"/>
        <w:spacing w:after="0" w:line="311" w:lineRule="auto"/>
        <w:rPr>
          <w:sz w:val="20"/>
          <w:szCs w:val="20"/>
          <w:color w:val="auto"/>
        </w:rPr>
      </w:pPr>
      <w:r>
        <w:rPr>
          <w:rFonts w:ascii="Arial" w:cs="Arial" w:eastAsia="Arial" w:hAnsi="Arial"/>
          <w:sz w:val="16"/>
          <w:szCs w:val="16"/>
          <w:color w:val="auto"/>
        </w:rPr>
        <w:t>We determined the fair value of the Germany reporting unit by utilizing an income approach derived from a discounted cash flow methodology. The income approach is developed from management’s forecasted cash flow data. Significant assumptions used in our interim goodwill impairment test included: future expected revenue growth rates, operating unit profit margins, working capital levels, discount rate, and a terminal value multiple.</w:t>
      </w:r>
    </w:p>
    <w:p>
      <w:pPr>
        <w:spacing w:after="0" w:line="12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have also experienced declines in the operating results of our reporting units apart from our Germany reporting unit during the six months ended June 30, 2020 as a result of the impact from the COVID-19 pandemic on the global economy; however, as of the end of the first half of 2020 and the date of this filing, we do not believe that it is more likely than not that the fair value of our reporting units are below their carrying value. However, given the uncertainty of the financial impacts from the COVID-19 pandemic, there may be further decreases in the operating results of our reporting units for a sustained period, which may result in a recognition of goodwill impairment that could be material to the Consolidated Financial Statements.</w:t>
      </w:r>
    </w:p>
    <w:p>
      <w:pPr>
        <w:spacing w:after="0" w:line="12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2020</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previous methodology of delaying recognition of credit losses until it is probable that loss has been incurred. The new guidance was effective for us as of January 1, 2020. The adoption of this guidance did not have a material impact on our Consolidated Financial Statements.</w:t>
      </w:r>
    </w:p>
    <w:p>
      <w:pPr>
        <w:spacing w:after="0" w:line="136"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was effective for us as of January 1, 2020. The adoption of this guidance had no impact on our Consolidated Financial Statements.</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was effective for us as of January 1, 2020. The adoption of this guidance had no impact on our Consolidated Financial Statements.</w:t>
      </w:r>
    </w:p>
    <w:p>
      <w:pPr>
        <w:spacing w:after="0" w:line="16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was effective for us as of January 1, 2020. The adoption of this guidance had no impact on our Consolidated Financial Statements</w:t>
      </w:r>
      <w:r>
        <w:rPr>
          <w:rFonts w:ascii="Arial" w:cs="Arial" w:eastAsia="Arial" w:hAnsi="Arial"/>
          <w:sz w:val="18"/>
          <w:szCs w:val="18"/>
          <w:color w:val="282A32"/>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December 2019, the FASB issued new guidance on income taxes. The guidance removes certain exceptions to the general income tax accounting principles, and clarifies and amends existing guidance to facilitate consistent application of the accounting principles. The new guidance is effective for us as of January 1, 2021. We are assessing the impact of the adoption of this guidance on our Consolidated Financial Statements.</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January 2020, the FASB issued new guidance on equity method investments. The guidance clarifies the interactions between the existing accounting standards on equity securities, equity method and joint ventures, and derivatives and hedging. The new guidance addresses accounting for the transition into and out of the equity method and measuring certain purchased options and forward contracts to acquire investments. The new guidance is effective for us as of January 1, 2021. We do not expect the adoption of this guidance to have a material impact on our Consolidated Financial Statements.</w:t>
      </w:r>
    </w:p>
    <w:p>
      <w:pPr>
        <w:spacing w:after="0" w:line="11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ind w:right="120"/>
        <w:spacing w:after="0" w:line="311"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2020, related to remaining performance obligations, which are not material.</w:t>
      </w:r>
    </w:p>
    <w:p>
      <w:pPr>
        <w:spacing w:after="0" w:line="12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$37.3 at June 30, 2020 and $44.5 at December 31, 2019.</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3 to the Consolidated Financial Statements in our 2019 Annual Report on Form 10-K for descriptions of revenue service types.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2"/>
              </w:rPr>
              <w:t>3 Months Ended June 30,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6"/>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429.0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30.5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515.9</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38.9</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652.7</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307.2</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7.3</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320.7</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392.8</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13.3</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415.5</w:t>
            </w:r>
          </w:p>
        </w:tc>
      </w:tr>
      <w:tr>
        <w:trPr>
          <w:trHeight w:val="155"/>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736.2</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37.8</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18.9</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43.7</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836.6</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944.1</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51.7</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30.3</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42.1</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1,068.2</w:t>
            </w:r>
          </w:p>
        </w:tc>
      </w:tr>
      <w:tr>
        <w:trPr>
          <w:trHeight w:val="156"/>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663.4</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62.5</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736.0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1,345.7</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58.4</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1,425.3</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255.0</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3.7</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268.5</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365.2</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11.9</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394.4</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380.6</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466.3</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471.9</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574.6</w:t>
            </w:r>
          </w:p>
        </w:tc>
      </w:tr>
      <w:tr>
        <w:trPr>
          <w:trHeight w:val="156"/>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1,299.0</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142.5</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19.7</w:t>
            </w:r>
          </w:p>
        </w:tc>
        <w:tc>
          <w:tcPr>
            <w:tcW w:w="2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9.6</w:t>
            </w: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1,470.8</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2,182.8</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154.0</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40.3</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17.2</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2,394.3</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768.3</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64.4</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19.6</w:t>
            </w:r>
          </w:p>
        </w:tc>
        <w:tc>
          <w:tcPr>
            <w:tcW w:w="2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865.7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1,050.8</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88.3</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38.2</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16.8</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1,194.1</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450.6</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81.7</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28.2</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8.6</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569.1</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582.0</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75.3</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50.1</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9.1</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716.5</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3,254.1</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326.4</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86.4</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75.3</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3,742.2</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4,759.7</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369.3</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158.9</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85.2</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5,373.1</w:t>
            </w: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2"/>
              </w:rPr>
              <w:t>6 Months Ended June 30,</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23"/>
        </w:trPr>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r>
      <w:tr>
        <w:trPr>
          <w:trHeight w:val="137"/>
        </w:trPr>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28"/>
              <w:spacing w:after="0" w:line="137" w:lineRule="exact"/>
              <w:rPr>
                <w:sz w:val="20"/>
                <w:szCs w:val="20"/>
                <w:color w:val="auto"/>
              </w:rPr>
            </w:pPr>
            <w:r>
              <w:rPr>
                <w:rFonts w:ascii="Arial" w:cs="Arial" w:eastAsia="Arial" w:hAnsi="Arial"/>
                <w:sz w:val="14"/>
                <w:szCs w:val="14"/>
                <w:color w:val="auto"/>
                <w:w w:val="91"/>
              </w:rPr>
              <w:t>Outcome-</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85"/>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6"/>
              </w:rPr>
              <w:t>Staffing</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4"/>
              </w:rPr>
              <w:t>and</w:t>
            </w:r>
          </w:p>
        </w:tc>
        <w:tc>
          <w:tcPr>
            <w:tcW w:w="180" w:type="dxa"/>
            <w:vAlign w:val="bottom"/>
          </w:tcPr>
          <w:p>
            <w:pPr>
              <w:spacing w:after="0"/>
              <w:rPr>
                <w:sz w:val="12"/>
                <w:szCs w:val="12"/>
                <w:color w:val="auto"/>
              </w:rPr>
            </w:pPr>
          </w:p>
        </w:tc>
        <w:tc>
          <w:tcPr>
            <w:tcW w:w="82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87"/>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2"/>
              </w:rPr>
              <w:t>Recruitment</w:t>
            </w:r>
          </w:p>
        </w:tc>
        <w:tc>
          <w:tcPr>
            <w:tcW w:w="260" w:type="dxa"/>
            <w:vAlign w:val="bottom"/>
          </w:tcPr>
          <w:p>
            <w:pPr>
              <w:spacing w:after="0"/>
              <w:rPr>
                <w:sz w:val="14"/>
                <w:szCs w:val="14"/>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4"/>
                <w:szCs w:val="1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48"/>
              <w:spacing w:after="0"/>
              <w:rPr>
                <w:sz w:val="20"/>
                <w:szCs w:val="20"/>
                <w:color w:val="auto"/>
              </w:rPr>
            </w:pPr>
            <w:r>
              <w:rPr>
                <w:rFonts w:ascii="Arial" w:cs="Arial" w:eastAsia="Arial" w:hAnsi="Arial"/>
                <w:sz w:val="14"/>
                <w:szCs w:val="14"/>
                <w:color w:val="auto"/>
                <w:w w:val="98"/>
              </w:rPr>
              <w:t>Interim</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3"/>
              </w:rPr>
              <w:t>Consulting</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4"/>
                <w:szCs w:val="14"/>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55"/>
        </w:trPr>
        <w:tc>
          <w:tcPr>
            <w:tcW w:w="1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947.7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1,126.8</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73.3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47.0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75.6</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1,275.9</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686.7</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8.6</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5.8</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720.8</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778.2</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25.8</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12.0</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6.5</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822.5</w:t>
            </w:r>
          </w:p>
        </w:tc>
      </w:tr>
      <w:tr>
        <w:trPr>
          <w:trHeight w:val="156"/>
        </w:trPr>
        <w:tc>
          <w:tcPr>
            <w:tcW w:w="14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1,634.4</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80.3</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49.4</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83.5</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1,847.6</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1,858.2</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99.1</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59.0</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82.1</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2,098.4</w:t>
            </w:r>
          </w:p>
        </w:tc>
      </w:tr>
      <w:tr>
        <w:trPr>
          <w:trHeight w:val="155"/>
        </w:trPr>
        <w:tc>
          <w:tcPr>
            <w:tcW w:w="1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4"/>
                <w:szCs w:val="14"/>
                <w:color w:val="auto"/>
              </w:rPr>
              <w:t>France</w:t>
            </w:r>
          </w:p>
        </w:tc>
        <w:tc>
          <w:tcPr>
            <w:tcW w:w="10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1,661.7</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140.6</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14"/>
                <w:szCs w:val="1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2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1,829.8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2,570.2</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117.1</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28.1</w:t>
            </w:r>
          </w:p>
        </w:tc>
        <w:tc>
          <w:tcPr>
            <w:tcW w:w="260" w:type="dxa"/>
            <w:vAlign w:val="bottom"/>
          </w:tcPr>
          <w:p>
            <w:pPr>
              <w:spacing w:after="0"/>
              <w:rPr>
                <w:sz w:val="14"/>
                <w:szCs w:val="14"/>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2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2,731.4</w:t>
            </w:r>
          </w:p>
        </w:tc>
      </w:tr>
      <w:tr>
        <w:trPr>
          <w:trHeight w:val="162"/>
        </w:trPr>
        <w:tc>
          <w:tcPr>
            <w:tcW w:w="1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562.1</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13.7</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13.0</w:t>
            </w: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7.4</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596.2</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695.2</w:t>
            </w: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21.7</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20.6</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13.3</w:t>
            </w:r>
          </w:p>
        </w:tc>
        <w:tc>
          <w:tcPr>
            <w:tcW w:w="2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750.8</w:t>
            </w:r>
          </w:p>
        </w:tc>
      </w:tr>
      <w:tr>
        <w:trPr>
          <w:trHeight w:val="143"/>
        </w:trPr>
        <w:tc>
          <w:tcPr>
            <w:tcW w:w="142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7"/>
        </w:trPr>
        <w:tc>
          <w:tcPr>
            <w:tcW w:w="1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796.5</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165.6</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989.5</w:t>
            </w: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818.9</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164.3</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1,020.9</w:t>
            </w:r>
          </w:p>
        </w:tc>
      </w:tr>
      <w:tr>
        <w:trPr>
          <w:trHeight w:val="156"/>
        </w:trPr>
        <w:tc>
          <w:tcPr>
            <w:tcW w:w="14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3,020.3</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319.9</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54.3</w:t>
            </w:r>
          </w:p>
        </w:tc>
        <w:tc>
          <w:tcPr>
            <w:tcW w:w="2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21.0</w:t>
            </w: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3,415.5</w:t>
            </w: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4,084.3</w:t>
            </w:r>
          </w:p>
        </w:tc>
        <w:tc>
          <w:tcPr>
            <w:tcW w:w="18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303.1</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78.9</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36.8</w:t>
            </w:r>
          </w:p>
        </w:tc>
        <w:tc>
          <w:tcPr>
            <w:tcW w:w="28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4,503.1</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tcPr>
          <w:p>
            <w:pPr>
              <w:spacing w:after="0"/>
              <w:rPr>
                <w:sz w:val="13"/>
                <w:szCs w:val="13"/>
                <w:color w:val="auto"/>
              </w:rPr>
            </w:pPr>
          </w:p>
        </w:tc>
        <w:tc>
          <w:tcPr>
            <w:tcW w:w="76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1,717.9</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135.3</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50.9</w:t>
            </w:r>
          </w:p>
        </w:tc>
        <w:tc>
          <w:tcPr>
            <w:tcW w:w="260" w:type="dxa"/>
            <w:vAlign w:val="bottom"/>
          </w:tcPr>
          <w:p>
            <w:pPr>
              <w:spacing w:after="0"/>
              <w:rPr>
                <w:sz w:val="13"/>
                <w:szCs w:val="13"/>
                <w:color w:val="auto"/>
              </w:rPr>
            </w:pPr>
          </w:p>
        </w:tc>
        <w:tc>
          <w:tcPr>
            <w:tcW w:w="7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30.1</w:t>
            </w:r>
          </w:p>
        </w:tc>
        <w:tc>
          <w:tcPr>
            <w:tcW w:w="22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1,934.2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2,104.2</w:t>
            </w:r>
          </w:p>
        </w:tc>
        <w:tc>
          <w:tcPr>
            <w:tcW w:w="180" w:type="dxa"/>
            <w:vAlign w:val="bottom"/>
          </w:tcPr>
          <w:p>
            <w:pPr>
              <w:spacing w:after="0"/>
              <w:rPr>
                <w:sz w:val="13"/>
                <w:szCs w:val="13"/>
                <w:color w:val="auto"/>
              </w:rPr>
            </w:pPr>
          </w:p>
        </w:tc>
        <w:tc>
          <w:tcPr>
            <w:tcW w:w="8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179.8</w:t>
            </w:r>
          </w:p>
        </w:tc>
        <w:tc>
          <w:tcPr>
            <w:tcW w:w="180" w:type="dxa"/>
            <w:vAlign w:val="bottom"/>
          </w:tcPr>
          <w:p>
            <w:pPr>
              <w:spacing w:after="0"/>
              <w:rPr>
                <w:sz w:val="13"/>
                <w:szCs w:val="13"/>
                <w:color w:val="auto"/>
              </w:rPr>
            </w:pPr>
          </w:p>
        </w:tc>
        <w:tc>
          <w:tcPr>
            <w:tcW w:w="8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76.3</w:t>
            </w:r>
          </w:p>
        </w:tc>
        <w:tc>
          <w:tcPr>
            <w:tcW w:w="260" w:type="dxa"/>
            <w:vAlign w:val="bottom"/>
          </w:tcPr>
          <w:p>
            <w:pPr>
              <w:spacing w:after="0"/>
              <w:rPr>
                <w:sz w:val="13"/>
                <w:szCs w:val="13"/>
                <w:color w:val="auto"/>
              </w:rPr>
            </w:pPr>
          </w:p>
        </w:tc>
        <w:tc>
          <w:tcPr>
            <w:tcW w:w="7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34.3</w:t>
            </w:r>
          </w:p>
        </w:tc>
        <w:tc>
          <w:tcPr>
            <w:tcW w:w="280" w:type="dxa"/>
            <w:vAlign w:val="bottom"/>
          </w:tcPr>
          <w:p>
            <w:pPr>
              <w:spacing w:after="0"/>
              <w:rPr>
                <w:sz w:val="13"/>
                <w:szCs w:val="13"/>
                <w:color w:val="auto"/>
              </w:rPr>
            </w:pPr>
          </w:p>
        </w:tc>
        <w:tc>
          <w:tcPr>
            <w:tcW w:w="7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2,394.6</w:t>
            </w:r>
          </w:p>
        </w:tc>
      </w:tr>
      <w:tr>
        <w:trPr>
          <w:trHeight w:val="162"/>
        </w:trPr>
        <w:tc>
          <w:tcPr>
            <w:tcW w:w="142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917.2</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164.9</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65.1</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16.8</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1,164.0</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1,165.4</w:t>
            </w:r>
          </w:p>
        </w:tc>
        <w:tc>
          <w:tcPr>
            <w:tcW w:w="1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146.1</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93.8</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16.6</w:t>
            </w:r>
          </w:p>
        </w:tc>
        <w:tc>
          <w:tcPr>
            <w:tcW w:w="2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1,421.9</w:t>
            </w: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7,289.8</w:t>
            </w:r>
          </w:p>
        </w:tc>
        <w:tc>
          <w:tcPr>
            <w:tcW w:w="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700.4</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219.7</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151.4</w:t>
            </w:r>
          </w:p>
        </w:tc>
        <w:tc>
          <w:tcPr>
            <w:tcW w:w="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8,361.3</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9,212.1</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728.1</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308.0</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169.8</w:t>
            </w:r>
          </w:p>
        </w:tc>
        <w:tc>
          <w:tcPr>
            <w:tcW w:w="2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10,418.0</w:t>
            </w:r>
          </w:p>
        </w:tc>
      </w:tr>
      <w:tr>
        <w:trPr>
          <w:trHeight w:val="20"/>
        </w:trPr>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3 Months Ended June 30,</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56"/>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7"/>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r>
      <w:tr>
        <w:trPr>
          <w:trHeight w:val="156"/>
        </w:trPr>
        <w:tc>
          <w:tcPr>
            <w:tcW w:w="26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507.6</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515.9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639.0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652.7</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318.8</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w:t>
            </w: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320.7</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411.2</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4.3</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415.5</w:t>
            </w:r>
          </w:p>
        </w:tc>
      </w:tr>
      <w:tr>
        <w:trPr>
          <w:trHeight w:val="156"/>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826.4</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10.2</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836.6</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1,050.2</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18.0</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1,068.2</w:t>
            </w:r>
          </w:p>
        </w:tc>
      </w:tr>
      <w:tr>
        <w:trPr>
          <w:trHeight w:val="156"/>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729.5</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3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736.0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1,412.6</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12.7</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1,425.3</w:t>
            </w: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264.1</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4.4</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268.5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384.6</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9.8</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394.4</w:t>
            </w: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460.0</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466.3</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574.6</w:t>
            </w: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1,453.6</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17.2</w:t>
            </w: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1,470.8</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2,358.6</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35.7</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2,394.3</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848.6</w:t>
            </w:r>
          </w:p>
        </w:tc>
        <w:tc>
          <w:tcPr>
            <w:tcW w:w="26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17.1</w:t>
            </w:r>
          </w:p>
        </w:tc>
        <w:tc>
          <w:tcPr>
            <w:tcW w:w="34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865.7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1,160.8</w:t>
            </w:r>
          </w:p>
        </w:tc>
        <w:tc>
          <w:tcPr>
            <w:tcW w:w="26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33.3</w:t>
            </w:r>
          </w:p>
        </w:tc>
        <w:tc>
          <w:tcPr>
            <w:tcW w:w="340" w:type="dxa"/>
            <w:vAlign w:val="bottom"/>
          </w:tcPr>
          <w:p>
            <w:pPr>
              <w:spacing w:after="0"/>
              <w:rPr>
                <w:sz w:val="13"/>
                <w:szCs w:val="13"/>
                <w:color w:val="auto"/>
              </w:rPr>
            </w:pPr>
          </w:p>
        </w:tc>
        <w:tc>
          <w:tcPr>
            <w:tcW w:w="9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1,194.1</w:t>
            </w:r>
          </w:p>
        </w:tc>
      </w:tr>
      <w:tr>
        <w:trPr>
          <w:trHeight w:val="162"/>
        </w:trPr>
        <w:tc>
          <w:tcPr>
            <w:tcW w:w="260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553.5</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15.6</w:t>
            </w: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569.1</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683.3</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33.2</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716.5</w:t>
            </w: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3,682.1</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60.1</w:t>
            </w:r>
          </w:p>
        </w:tc>
        <w:tc>
          <w:tcPr>
            <w:tcW w:w="3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3,742.2</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5,252.9</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120.2</w:t>
            </w:r>
          </w:p>
        </w:tc>
        <w:tc>
          <w:tcPr>
            <w:tcW w:w="3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5,373.1</w:t>
            </w: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6 Months Ended June 30,</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3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at a point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00" w:type="dxa"/>
            <w:vAlign w:val="bottom"/>
            <w:vMerge w:val="restart"/>
          </w:tcPr>
          <w:p>
            <w:pPr>
              <w:spacing w:after="0"/>
              <w:rPr>
                <w:sz w:val="20"/>
                <w:szCs w:val="20"/>
                <w:color w:val="auto"/>
              </w:rPr>
            </w:pPr>
            <w:r>
              <w:rPr>
                <w:rFonts w:ascii="Arial" w:cs="Arial" w:eastAsia="Arial" w:hAnsi="Arial"/>
                <w:sz w:val="14"/>
                <w:szCs w:val="14"/>
                <w:color w:val="auto"/>
              </w:rPr>
              <w:t>Americas: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20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2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6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340" w:type="dxa"/>
            <w:vAlign w:val="bottom"/>
          </w:tcPr>
          <w:p>
            <w:pPr>
              <w:spacing w:after="0"/>
              <w:rPr>
                <w:sz w:val="14"/>
                <w:szCs w:val="14"/>
                <w:color w:val="auto"/>
              </w:rPr>
            </w:pPr>
          </w:p>
        </w:tc>
        <w:tc>
          <w:tcPr>
            <w:tcW w:w="960" w:type="dxa"/>
            <w:vAlign w:val="bottom"/>
          </w:tcPr>
          <w:p>
            <w:pPr>
              <w:jc w:val="right"/>
              <w:ind w:right="4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United States</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1,105.4</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21.4</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1,126.8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1,249.2</w:t>
            </w:r>
          </w:p>
        </w:tc>
        <w:tc>
          <w:tcPr>
            <w:tcW w:w="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26.7</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1,275.9</w:t>
            </w:r>
          </w:p>
        </w:tc>
        <w:tc>
          <w:tcPr>
            <w:tcW w:w="0" w:type="dxa"/>
            <w:vAlign w:val="bottom"/>
          </w:tcPr>
          <w:p>
            <w:pPr>
              <w:spacing w:after="0"/>
              <w:rPr>
                <w:sz w:val="1"/>
                <w:szCs w:val="1"/>
                <w:color w:val="auto"/>
              </w:rPr>
            </w:pPr>
          </w:p>
        </w:tc>
      </w:tr>
      <w:tr>
        <w:trPr>
          <w:trHeight w:val="162"/>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Americas</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715.3</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720.8</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814.2</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822.5</w:t>
            </w: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1,820.7</w:t>
            </w:r>
          </w:p>
        </w:tc>
        <w:tc>
          <w:tcPr>
            <w:tcW w:w="26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26.9</w:t>
            </w:r>
          </w:p>
        </w:tc>
        <w:tc>
          <w:tcPr>
            <w:tcW w:w="3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1,847.6</w:t>
            </w: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2,063.4</w:t>
            </w:r>
          </w:p>
        </w:tc>
        <w:tc>
          <w:tcPr>
            <w:tcW w:w="26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35.0</w:t>
            </w: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2,098.4</w:t>
            </w:r>
          </w:p>
        </w:tc>
        <w:tc>
          <w:tcPr>
            <w:tcW w:w="0" w:type="dxa"/>
            <w:vAlign w:val="bottom"/>
          </w:tcPr>
          <w:p>
            <w:pPr>
              <w:spacing w:after="0"/>
              <w:rPr>
                <w:sz w:val="1"/>
                <w:szCs w:val="1"/>
                <w:color w:val="auto"/>
              </w:rPr>
            </w:pPr>
          </w:p>
        </w:tc>
      </w:tr>
      <w:tr>
        <w:trPr>
          <w:trHeight w:val="156"/>
        </w:trPr>
        <w:tc>
          <w:tcPr>
            <w:tcW w:w="260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France</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1,811.6</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w:t>
            </w:r>
          </w:p>
        </w:tc>
        <w:tc>
          <w:tcPr>
            <w:tcW w:w="3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1,829.8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2,705.0</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26.4</w:t>
            </w:r>
          </w:p>
        </w:tc>
        <w:tc>
          <w:tcPr>
            <w:tcW w:w="3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2,731.4</w:t>
            </w: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Italy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584.1</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596.2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731.6</w:t>
            </w:r>
          </w:p>
        </w:tc>
        <w:tc>
          <w:tcPr>
            <w:tcW w:w="2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3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750.8</w:t>
            </w:r>
          </w:p>
        </w:tc>
        <w:tc>
          <w:tcPr>
            <w:tcW w:w="0" w:type="dxa"/>
            <w:vAlign w:val="bottom"/>
          </w:tcPr>
          <w:p>
            <w:pPr>
              <w:spacing w:after="0"/>
              <w:rPr>
                <w:sz w:val="1"/>
                <w:szCs w:val="1"/>
                <w:color w:val="auto"/>
              </w:rPr>
            </w:pPr>
          </w:p>
        </w:tc>
      </w:tr>
      <w:tr>
        <w:trPr>
          <w:trHeight w:val="162"/>
        </w:trPr>
        <w:tc>
          <w:tcPr>
            <w:tcW w:w="26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Southern Europe</w:t>
            </w:r>
          </w:p>
        </w:tc>
        <w:tc>
          <w:tcPr>
            <w:tcW w:w="10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971.5</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18.0</w:t>
            </w:r>
          </w:p>
        </w:tc>
        <w:tc>
          <w:tcPr>
            <w:tcW w:w="3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989.5</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995.8</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25.1</w:t>
            </w:r>
          </w:p>
        </w:tc>
        <w:tc>
          <w:tcPr>
            <w:tcW w:w="3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1,020.9</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3,367.2</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48.3</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3,415.5</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4,432.4</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70.7</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155"/>
        </w:trPr>
        <w:tc>
          <w:tcPr>
            <w:tcW w:w="26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Northern Europe</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1,890.0</w:t>
            </w:r>
          </w:p>
        </w:tc>
        <w:tc>
          <w:tcPr>
            <w:tcW w:w="2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44.2</w:t>
            </w:r>
          </w:p>
        </w:tc>
        <w:tc>
          <w:tcPr>
            <w:tcW w:w="3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1,934.2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2,328.2</w:t>
            </w: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66.4</w:t>
            </w:r>
          </w:p>
        </w:tc>
        <w:tc>
          <w:tcPr>
            <w:tcW w:w="3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2,394.6</w:t>
            </w:r>
          </w:p>
        </w:tc>
        <w:tc>
          <w:tcPr>
            <w:tcW w:w="0" w:type="dxa"/>
            <w:vAlign w:val="bottom"/>
          </w:tcPr>
          <w:p>
            <w:pPr>
              <w:spacing w:after="0"/>
              <w:rPr>
                <w:sz w:val="1"/>
                <w:szCs w:val="1"/>
                <w:color w:val="auto"/>
              </w:rPr>
            </w:pPr>
          </w:p>
        </w:tc>
      </w:tr>
      <w:tr>
        <w:trPr>
          <w:trHeight w:val="162"/>
        </w:trPr>
        <w:tc>
          <w:tcPr>
            <w:tcW w:w="26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APME</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1,128.8</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1,164.0</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1,360.2</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61.7</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1,421.9</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0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8,206.7</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154.6</w:t>
            </w:r>
          </w:p>
        </w:tc>
        <w:tc>
          <w:tcPr>
            <w:tcW w:w="3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8,361.3</w:t>
            </w: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10,184.2</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233.8</w:t>
            </w:r>
          </w:p>
        </w:tc>
        <w:tc>
          <w:tcPr>
            <w:tcW w:w="3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10,418.0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the three months ended June 30, 2020 and 2019, we recognized share-based compensation expense of $6.9 and $8.3, respectively, and $11.5 and $12.9 for the six months ended June 30, 2020 and 2019,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$6.8 and $5.3 for the six months ended June 30, 2020 and 2019, respectively.</w:t>
      </w:r>
    </w:p>
    <w:p>
      <w:pPr>
        <w:spacing w:after="0" w:line="13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From time to time, we acquire and invest in companies throughout the world, including franchises. For the six months ended June 30, 2020, the total cash consideration paid for acquisitions, net of cash acquired, was $1.7, which represents a deferred consideration payment related to a previous acquisition.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$212.7 as of June 30, 2019 and was funded through cash on hand. Of the total consideration paid, $58.3 was for the acquired interests and the remaining $154.4 was for cash and cash equivalents. The total cash impact of the acquisition was 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inflow of $104.8, net of cash acquired of $317.5. The acquisition of the remaining interest of Experis AG was accounted for as an equity transaction as we previously consolidated the entity.</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business combination, we recognized a one-time, non-cash gain on the disposition of our previously held equity interest in Manpower Switzerland of $80.4, which is included within interest and other expenses (income), net on the Consolidated Statements of Operations. Of the $80.4, $32.5 represented the reclassification of foreign currency translation adjustments related to the previously held equity interest, from accumulated other comprehensive income.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Excluding Manpower Switzerland and Experis AG, the total cash consideration paid for acquisitions, net of cash acquired, was $17.7 for the six months ended June 30, 2019. This balance represents contingent consideration payments related to previous acquisitions, of which $13.0 had been recognized as a liability at the acquisition date.</w:t>
      </w:r>
    </w:p>
    <w:p>
      <w:pPr>
        <w:spacing w:after="0" w:line="143"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recorded net restructuring costs of $48.2 and $41.4 during the six months ended June 30,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$8.2 during the six months ended June 30, 2020 were recorded as an impairment to the operating lease right-of-use asset and, thus, are not included in the restructuring reserve balance as of June 30, 2020. The costs paid, utilized or transferred out of our restructuring reserve were $32.1 during the six months ended June 30, 2020. We expect a majority of the remaining $23.4 reserve will be paid by the end of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8"/>
                <w:szCs w:val="18"/>
                <w:b w:val="1"/>
                <w:bCs w:val="1"/>
                <w:color w:val="auto"/>
              </w:rPr>
              <w:t>Southern</w:t>
            </w: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Northern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960" w:type="dxa"/>
            <w:vAlign w:val="bottom"/>
            <w:gridSpan w:val="3"/>
          </w:tcPr>
          <w:p>
            <w:pPr>
              <w:ind w:left="92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2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Europe</w:t>
            </w:r>
          </w:p>
        </w:tc>
        <w:tc>
          <w:tcPr>
            <w:tcW w:w="14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APME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9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w:t>
            </w: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37.0</w:t>
            </w:r>
          </w:p>
        </w:tc>
      </w:tr>
      <w:tr>
        <w:trPr>
          <w:trHeight w:val="229"/>
        </w:trPr>
        <w:tc>
          <w:tcPr>
            <w:tcW w:w="3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and other costs</w:t>
            </w: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11.2</w:t>
            </w: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Costs paid, utilized or transferred out</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2020</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23.4</w:t>
            </w: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$2.1 as of December 31, 2019 and June 30, 2020, respectively.</w:t>
      </w:r>
    </w:p>
    <w:p>
      <w:pPr>
        <w:spacing w:after="0" w:line="23" w:lineRule="exact"/>
        <w:rPr>
          <w:rFonts w:ascii="Arial" w:cs="Arial" w:eastAsia="Arial" w:hAnsi="Arial"/>
          <w:sz w:val="18"/>
          <w:szCs w:val="18"/>
          <w:color w:val="auto"/>
        </w:rPr>
      </w:pPr>
    </w:p>
    <w:p>
      <w:pPr>
        <w:ind w:left="460" w:right="1020" w:hanging="452"/>
        <w:spacing w:after="0" w:line="26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France had no restructuring reserve as of both December 31, 2019 and June 30, 2020. Balances related to Italy were $0.3 and $0.6 as of December 31, 2019 and June 30, 2020, respectively.</w:t>
      </w:r>
    </w:p>
    <w:p>
      <w:pPr>
        <w:spacing w:after="0" w:line="145"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recorded income tax expense on a pre-tax loss resulting in a negative effective rate of 15.4% for the three months ended June 30, 2020, as compared to an income tax expense on pre-tax earnings resulting in an effective rate of 36.7% for the three months ended June 30, 2019. The 2020 rate was negative due to a pre-tax loss that primarily resulted from the impact from the goodwill impairment charge, related to our Germany reporting unit, which was non-deductible. The 2020 rate was also unfavorably impacted by the relatively low level and mix of pre-tax (losses) earnings, tax losses in certain countries for which we did not recognize a corresponding tax benefit due to valuation allowances, and the French business tax. The French business tax had a more significant unfavorable impact in the quarter due to French pre-tax earnings decreasing at a greater rate than revenues, which is the primary basis for the tax calculation. The negative effective tax rate of 15.4% for the three months ended June 30, 2020 was significantly different than the United States Federal statutory rate of 21% primarily due to the factors noted above.</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income tax expense on a pre-tax loss resulting in a negative effective rate of 62.4% for the six months ended June 30, 2020, as compared to an income tax expense on pre-tax earnings resulting in an effective rate of 38.6% for the six months ended June 30, 2019. The 2020 rate was negative due to a pre-tax loss that primarily resulted from the impact from the goodwill impairment charge, related to our Germany reporting unit, which was non-deductible. The 2020 rate was also unfavorably impacted by the relatively low level and mix of pre-tax earnings, restructuring costs and tax losses in certain countries for which we did not recognize a corresponding tax benefit due to valuation allowances, and the French business tax. The negative effective tax rate of 62.4% for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ind w:right="260"/>
        <w:spacing w:after="0" w:line="277" w:lineRule="auto"/>
        <w:rPr>
          <w:sz w:val="20"/>
          <w:szCs w:val="20"/>
          <w:color w:val="auto"/>
        </w:rPr>
      </w:pPr>
      <w:r>
        <w:rPr>
          <w:rFonts w:ascii="Arial" w:cs="Arial" w:eastAsia="Arial" w:hAnsi="Arial"/>
          <w:sz w:val="18"/>
          <w:szCs w:val="18"/>
          <w:color w:val="auto"/>
        </w:rPr>
        <w:t>six months ended June 30, 2020 was significantly different than the United States Federal statutory rate of 21% primarily due to the factors noted above, partially offset by a discrete favorable benefit for the successful appeal of a non-United States tax ruling.</w:t>
      </w:r>
    </w:p>
    <w:p>
      <w:pPr>
        <w:spacing w:after="0" w:line="14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June 30, 2020, we had gross unrecognized tax benefits related to various tax jurisdictions, including interest and penalties, of $70.3 that would favorably impact the effective tax rate if recognized. As of December 31, 2019, we had gross unrecognized tax benefits related to various tax jurisdictions, including interest and penalties, of $69.5. We do not expect our unrecognized tax benefits to change significantly over the next 12 months.</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2013 through 2020 for our major operations in France, Germany, Japan, the United Kingdom and the United States. As of June 30, 2020, we are subject to tax audits in Austria, Belgium, Canada, Denmark, Germany, Israel and the United States. We believe that the resolution of these audits will not have a material impact on earnings.</w:t>
      </w:r>
    </w:p>
    <w:p>
      <w:pPr>
        <w:spacing w:after="0" w:line="13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(Loss)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(loss) earnings per share - basic and net earnings per share - diluted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3 Months Ended</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 available to common shareholders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5980" w:type="dxa"/>
            <w:vAlign w:val="bottom"/>
          </w:tcPr>
          <w:p>
            <w:pPr>
              <w:ind w:left="500"/>
              <w:spacing w:after="0"/>
              <w:rPr>
                <w:sz w:val="20"/>
                <w:szCs w:val="20"/>
                <w:color w:val="auto"/>
              </w:rPr>
            </w:pPr>
            <w:r>
              <w:rPr>
                <w:rFonts w:ascii="Arial" w:cs="Arial" w:eastAsia="Arial" w:hAnsi="Arial"/>
                <w:sz w:val="18"/>
                <w:szCs w:val="18"/>
                <w:color w:val="auto"/>
              </w:rPr>
              <w:t>Effect of dilutive securities - stock options</w:t>
            </w:r>
          </w:p>
        </w:tc>
        <w:tc>
          <w:tcPr>
            <w:tcW w:w="2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other share-based awards</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58.2</w:t>
            </w:r>
          </w:p>
        </w:tc>
        <w:tc>
          <w:tcPr>
            <w:tcW w:w="1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58.5</w:t>
            </w:r>
          </w:p>
        </w:tc>
        <w:tc>
          <w:tcPr>
            <w:tcW w:w="1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earnings per share - basic</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(loss) earnings per share - diluted</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Due to the net loss for the three months and six months ended June 30, 2020, the assumed exercise of share-based awards had an anti-dilutive effect and therefore was not included in the calculations of net loss per share – diluted for the three months and six months ended June 30, 2020. There were 1.1 million and 0.4 million share-based awards excluded from the calculation of net (loss) earnings per share - diluted for the three months ended June 30, 2020 and 2019, respectively, and 0.9 million and 0.4 million share-based awards excluded from the calculation of net (loss) earnings per share - diluted for the six months ended June 30, 2020 and 2019, respectively, because their impact was anti-dilutive.</w:t>
      </w:r>
    </w:p>
    <w:p>
      <w:pPr>
        <w:spacing w:after="0" w:line="13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8"/>
              </w:rPr>
              <w:t>December 31, 2019</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Gross</w:t>
            </w:r>
          </w:p>
        </w:tc>
        <w:tc>
          <w:tcPr>
            <w:tcW w:w="138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1,178.</w:t>
            </w:r>
            <w:r>
              <w:rPr>
                <w:rFonts w:ascii="Arial" w:cs="Arial" w:eastAsia="Arial" w:hAnsi="Arial"/>
                <w:sz w:val="18"/>
                <w:szCs w:val="18"/>
                <w:u w:val="single" w:color="auto"/>
                <w:color w:val="auto"/>
              </w:rPr>
              <w:t>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1,260.</w:t>
            </w:r>
            <w:r>
              <w:rPr>
                <w:rFonts w:ascii="Arial" w:cs="Arial" w:eastAsia="Arial" w:hAnsi="Arial"/>
                <w:sz w:val="18"/>
                <w:szCs w:val="18"/>
                <w:u w:val="single" w:color="auto"/>
                <w:color w:val="auto"/>
              </w:rPr>
              <w:t>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459.0</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460.5</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479.7</w:t>
            </w: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656.7</w:t>
            </w: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280" w:hanging="25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and $577.4 as of June 30, 2020 and December 31, 2019, respectively.</w:t>
      </w:r>
    </w:p>
    <w:p>
      <w:pPr>
        <w:spacing w:after="0" w:line="23" w:lineRule="exact"/>
        <w:rPr>
          <w:rFonts w:ascii="Arial" w:cs="Arial" w:eastAsia="Arial" w:hAnsi="Arial"/>
          <w:sz w:val="18"/>
          <w:szCs w:val="18"/>
          <w:color w:val="auto"/>
        </w:rPr>
      </w:pPr>
    </w:p>
    <w:p>
      <w:pPr>
        <w:ind w:left="280" w:hanging="25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2020 and December 31, 2019.</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2020 is expected to be $12.9 and in each of the next five years as follows: 2021- $15.9, 2022- $12.7, 2023- $10.0, 2024 - $7.7, 2025- $5.8.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52"/>
              <w:spacing w:after="0"/>
              <w:rPr>
                <w:sz w:val="20"/>
                <w:szCs w:val="20"/>
                <w:color w:val="auto"/>
              </w:rPr>
            </w:pPr>
            <w:r>
              <w:rPr>
                <w:rFonts w:ascii="Arial" w:cs="Arial" w:eastAsia="Arial" w:hAnsi="Arial"/>
                <w:sz w:val="18"/>
                <w:szCs w:val="18"/>
                <w:b w:val="1"/>
                <w:bCs w:val="1"/>
                <w:color w:val="auto"/>
                <w:w w:val="88"/>
              </w:rPr>
              <w:t>Southern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Northern</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52"/>
              <w:spacing w:after="0" w:line="181"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15"/>
                <w:szCs w:val="15"/>
                <w:b w:val="1"/>
                <w:bCs w:val="1"/>
                <w:color w:val="auto"/>
                <w:w w:val="92"/>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19"/>
                <w:szCs w:val="19"/>
                <w:color w:val="auto"/>
              </w:rPr>
            </w:pPr>
          </w:p>
        </w:tc>
        <w:tc>
          <w:tcPr>
            <w:tcW w:w="940" w:type="dxa"/>
            <w:vAlign w:val="bottom"/>
          </w:tcPr>
          <w:p>
            <w:pPr>
              <w:jc w:val="center"/>
              <w:ind w:right="152"/>
              <w:spacing w:after="0"/>
              <w:rPr>
                <w:sz w:val="20"/>
                <w:szCs w:val="20"/>
                <w:color w:val="auto"/>
              </w:rPr>
            </w:pPr>
            <w:r>
              <w:rPr>
                <w:rFonts w:ascii="Arial" w:cs="Arial" w:eastAsia="Arial" w:hAnsi="Arial"/>
                <w:sz w:val="15"/>
                <w:szCs w:val="15"/>
                <w:b w:val="1"/>
                <w:bCs w:val="1"/>
                <w:color w:val="auto"/>
              </w:rPr>
              <w:t>(3</w:t>
            </w:r>
            <w:r>
              <w:rPr>
                <w:rFonts w:ascii="Arial" w:cs="Arial" w:eastAsia="Arial" w:hAnsi="Arial"/>
                <w:sz w:val="13"/>
                <w:szCs w:val="13"/>
                <w:b w:val="1"/>
                <w:bCs w:val="1"/>
                <w:color w:val="auto"/>
              </w:rPr>
              <w:t>)</w:t>
            </w:r>
          </w:p>
        </w:tc>
        <w:tc>
          <w:tcPr>
            <w:tcW w:w="100" w:type="dxa"/>
            <w:vAlign w:val="bottom"/>
          </w:tcPr>
          <w:p>
            <w:pPr>
              <w:spacing w:after="0"/>
              <w:rPr>
                <w:sz w:val="19"/>
                <w:szCs w:val="19"/>
                <w:color w:val="auto"/>
              </w:rPr>
            </w:pPr>
          </w:p>
        </w:tc>
        <w:tc>
          <w:tcPr>
            <w:tcW w:w="1160" w:type="dxa"/>
            <w:vAlign w:val="bottom"/>
            <w:gridSpan w:val="3"/>
          </w:tcPr>
          <w:p>
            <w:pPr>
              <w:ind w:left="10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(3)</w:t>
            </w:r>
          </w:p>
        </w:tc>
        <w:tc>
          <w:tcPr>
            <w:tcW w:w="14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2019</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535.6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79.1</w:t>
            </w: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Currency impact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Balance, June 30, 2020</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$490.3 and $490.2 as of December 31, 2019 and June 30, 2020, respectively.</w:t>
      </w:r>
    </w:p>
    <w:p>
      <w:pPr>
        <w:spacing w:after="0" w:line="23" w:lineRule="exact"/>
        <w:rPr>
          <w:rFonts w:ascii="Arial" w:cs="Arial" w:eastAsia="Arial" w:hAnsi="Arial"/>
          <w:sz w:val="18"/>
          <w:szCs w:val="18"/>
          <w:color w:val="auto"/>
        </w:rPr>
      </w:pPr>
    </w:p>
    <w:p>
      <w:pPr>
        <w:ind w:left="280" w:right="60" w:hanging="265"/>
        <w:spacing w:after="0" w:line="250"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$67.3 and $67.4 as of December 31, 2019 and June 30, 2020, respectively. Balances related to Italy were $4.6 and $3.8 as of December 31, 2019 and June 30, 2020.</w:t>
      </w:r>
    </w:p>
    <w:p>
      <w:pPr>
        <w:ind w:left="480" w:right="580" w:hanging="452"/>
        <w:spacing w:after="0" w:line="250" w:lineRule="auto"/>
        <w:tabs>
          <w:tab w:leader="none" w:pos="2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impairment charge of $66.8 relates to our Germany reporting unit, which was recorded during the second quarter of 2020. See Note 1 to the Consolidated Financial Statements for further information.</w:t>
      </w:r>
    </w:p>
    <w:p>
      <w:pPr>
        <w:ind w:left="480" w:right="200" w:hanging="452"/>
        <w:spacing w:after="0" w:line="253" w:lineRule="auto"/>
        <w:tabs>
          <w:tab w:leader="none" w:pos="28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to our acquisitions of Right Management ($62.1) and Jefferson Wells ($55.5). Jefferson Wells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Goodwill balances by reporting unit were as follows:</w:t>
            </w:r>
          </w:p>
        </w:tc>
        <w:tc>
          <w:tcPr>
            <w:tcW w:w="2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0"/>
                <w:szCs w:val="20"/>
                <w:color w:val="auto"/>
              </w:rPr>
            </w:pPr>
          </w:p>
        </w:tc>
        <w:tc>
          <w:tcPr>
            <w:tcW w:w="16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FF0FC"/>
            </w:tcBorders>
          </w:tcPr>
          <w:p>
            <w:pPr>
              <w:spacing w:after="0"/>
              <w:rPr>
                <w:sz w:val="20"/>
                <w:szCs w:val="20"/>
                <w:color w:val="auto"/>
              </w:rPr>
            </w:pPr>
          </w:p>
        </w:tc>
        <w:tc>
          <w:tcPr>
            <w:tcW w:w="27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Netherlands</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France</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Right Management</w:t>
            </w:r>
          </w:p>
        </w:tc>
        <w:tc>
          <w:tcPr>
            <w:tcW w:w="2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Germany</w:t>
            </w:r>
          </w:p>
        </w:tc>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27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302.4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Arial" w:cs="Arial" w:eastAsia="Arial" w:hAnsi="Arial"/>
                <w:sz w:val="18"/>
                <w:szCs w:val="18"/>
                <w:color w:val="auto"/>
              </w:rPr>
              <w:t>Total goodwill</w:t>
            </w:r>
          </w:p>
        </w:tc>
        <w:tc>
          <w:tcPr>
            <w:tcW w:w="270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1,178.2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700" w:type="dxa"/>
            <w:vAlign w:val="bottom"/>
            <w:vMerge w:val="restart"/>
          </w:tcPr>
          <w:p>
            <w:pPr>
              <w:jc w:val="right"/>
              <w:ind w:right="159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4"/>
              </w:rPr>
              <w:t>Defined Benefit Pension Plan</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8"/>
        </w:trPr>
        <w:tc>
          <w:tcPr>
            <w:tcW w:w="3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6 Months Ended</w:t>
            </w:r>
          </w:p>
        </w:tc>
      </w:tr>
      <w:tr>
        <w:trPr>
          <w:trHeight w:val="234"/>
        </w:trPr>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 cost</w:t>
            </w:r>
          </w:p>
        </w:tc>
        <w:tc>
          <w:tcPr>
            <w:tcW w:w="19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Interest cost</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22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19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Settlement loss</w:t>
            </w:r>
          </w:p>
        </w:tc>
        <w:tc>
          <w:tcPr>
            <w:tcW w:w="1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r>
      <w:tr>
        <w:trPr>
          <w:trHeight w:val="223"/>
        </w:trPr>
        <w:tc>
          <w:tcPr>
            <w:tcW w:w="3840" w:type="dxa"/>
            <w:vAlign w:val="bottom"/>
          </w:tcPr>
          <w:p>
            <w:pPr>
              <w:ind w:left="260"/>
              <w:spacing w:after="0"/>
              <w:rPr>
                <w:sz w:val="20"/>
                <w:szCs w:val="20"/>
                <w:color w:val="auto"/>
              </w:rPr>
            </w:pPr>
            <w:r>
              <w:rPr>
                <w:rFonts w:ascii="Arial" w:cs="Arial" w:eastAsia="Arial" w:hAnsi="Arial"/>
                <w:sz w:val="18"/>
                <w:szCs w:val="18"/>
                <w:color w:val="auto"/>
              </w:rPr>
              <w:t>Total benefit cost</w:t>
            </w:r>
          </w:p>
        </w:tc>
        <w:tc>
          <w:tcPr>
            <w:tcW w:w="198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r>
      <w:tr>
        <w:trPr>
          <w:trHeight w:val="20"/>
        </w:trPr>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9"/>
        </w:trPr>
        <w:tc>
          <w:tcPr>
            <w:tcW w:w="3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Retiree Health Care Plan</w:t>
            </w: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8"/>
        </w:trPr>
        <w:tc>
          <w:tcPr>
            <w:tcW w:w="3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2"/>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6 Months Ended</w:t>
            </w:r>
          </w:p>
        </w:tc>
      </w:tr>
      <w:tr>
        <w:trPr>
          <w:trHeight w:val="234"/>
        </w:trPr>
        <w:tc>
          <w:tcPr>
            <w:tcW w:w="3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9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r>
      <w:tr>
        <w:trPr>
          <w:trHeight w:val="229"/>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Prior service credit</w:t>
            </w:r>
          </w:p>
        </w:tc>
        <w:tc>
          <w:tcPr>
            <w:tcW w:w="19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3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benefit credit</w:t>
            </w:r>
          </w:p>
        </w:tc>
        <w:tc>
          <w:tcPr>
            <w:tcW w:w="19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and six months ended June 30, 2020, contributions made to our pension plans were $5.0 and $11.0, respectively, and contributions made to our retiree health care plan were $0.3 and $0.6, respectively. During 2020, we expect to make total contributions of approximately $17.0 to our pension plans and to fund our retiree health care payments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six months ended June 30, 2020, we fully settled our United States Qualified Retirement Plan (the “Plan”) liability. We purchased annuities of $19.2 and settled lump sum payments of $3.2 from the Plan in January and February 2020, respectively. The completion of lump sum payments in February and transfer of remaining participants to the Pension Benefit Guarantee Corporation (PBGC) in March triggered final settlement of the plan. Upon settlement of the pension liability, we reclassified the related pension losses of $6.6, net of tax, recorded in accumulated other comprehensive loss to the Consolidated Statements of Comprehensive (Loss) Income. The total amount of the required payout to plan participants was determined based on employee elections and market conditions at the time of settlement. The remaining plan assets of $16.6 which were in excess of the pension liability upon settlement will be utilized to fund future qualified 401(k) plan contributions following the conclusion of the standard PBGC audit.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572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w w:val="99"/>
              </w:rPr>
              <w:t>Translation gain on derivative instruments, net of income taxes of $(9.0) and $(9.1), respectively</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760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taxes of $(35.2) and $(30.9), respectively</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$2.2 and $1.6, respectively</w:t>
            </w:r>
          </w:p>
        </w:tc>
        <w:tc>
          <w:tcPr>
            <w:tcW w:w="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600" w:type="dxa"/>
            <w:vAlign w:val="bottom"/>
            <w:gridSpan w:val="3"/>
          </w:tcPr>
          <w:p>
            <w:pPr>
              <w:ind w:left="260"/>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ind w:left="5540"/>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760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5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a benefit of $0.4 and an expense of $0.1 for the three months ended June 30, 2020 and 2019, respectively, and a benefit of $1.0 and an expense of $1.1 for the six months ended June 30, 2020 and 2019,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Board of Directors declared a semi-annual dividend of $1.09 per share on both May 8, 2020 and May 10, 2019. The 2020 dividends were paid on June 15, 2020 to shareholders of record as of June 1, 2020. The 2019 dividends were paid on June 14, 2019 to shareholders of record on June 3,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each. Share repurchases may be made from time to time through a variety of methods, including open market purchases, block transactions, privately negotiated transactions or similar facilities. During the first six months of 2020, we repurchased a total of 0.9 million shares comprised of 0.8 million shares under the 2018 authorization and 0.1 million shares under the 2019 authorization, at a total cost of $63.8. The repurchases in the first half of 2020 all occurred within the first quarter of 2020. During the first six months of 2019, we repurchased a total of 1.2 million shares at a cost of $101.0 under the 2018 authorization. As of June 30, 2020, there were 5.9 million shares remaining authorized for repurchase under the 2019 authorization and no shares remaining authorized for repurchase under the 2018 authorization.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sz w:val="20"/>
                <w:szCs w:val="20"/>
                <w:color w:val="auto"/>
              </w:rPr>
            </w:pPr>
            <w:r>
              <w:rPr>
                <w:rFonts w:ascii="Arial" w:cs="Arial" w:eastAsia="Arial" w:hAnsi="Arial"/>
                <w:sz w:val="18"/>
                <w:szCs w:val="18"/>
                <w:color w:val="auto"/>
              </w:rPr>
              <w:t>(12) Interest and Other Expenses (Income), Net</w:t>
            </w: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5380" w:type="dxa"/>
            <w:vAlign w:val="bottom"/>
            <w:gridSpan w:val="3"/>
          </w:tcPr>
          <w:p>
            <w:pPr>
              <w:spacing w:after="0"/>
              <w:rPr>
                <w:sz w:val="20"/>
                <w:szCs w:val="20"/>
                <w:color w:val="auto"/>
              </w:rPr>
            </w:pPr>
            <w:r>
              <w:rPr>
                <w:rFonts w:ascii="Arial" w:cs="Arial" w:eastAsia="Arial" w:hAnsi="Arial"/>
                <w:sz w:val="18"/>
                <w:szCs w:val="18"/>
                <w:color w:val="auto"/>
                <w:w w:val="98"/>
              </w:rPr>
              <w:t>Interest and other expenses (income), net consisted of the following:</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3 Months Ended</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6 Months Ended</w:t>
            </w:r>
          </w:p>
        </w:tc>
      </w:tr>
      <w:tr>
        <w:trPr>
          <w:trHeight w:val="234"/>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538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10.4</w:t>
            </w:r>
          </w:p>
        </w:tc>
        <w:tc>
          <w:tcPr>
            <w:tcW w:w="1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21.4</w:t>
            </w:r>
          </w:p>
        </w:tc>
      </w:t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 (gain)</w:t>
            </w: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53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(income) expense, net</w:t>
            </w:r>
            <w:r>
              <w:rPr>
                <w:rFonts w:ascii="Arial" w:cs="Arial" w:eastAsia="Arial" w:hAnsi="Arial"/>
                <w:sz w:val="15"/>
                <w:szCs w:val="15"/>
                <w:color w:val="auto"/>
              </w:rPr>
              <w:t>(1)</w:t>
            </w:r>
          </w:p>
        </w:tc>
        <w:tc>
          <w:tcPr>
            <w:tcW w:w="4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(79.8)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r>
      <w:tr>
        <w:trPr>
          <w:trHeight w:val="223"/>
        </w:trPr>
        <w:tc>
          <w:tcPr>
            <w:tcW w:w="538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expenses (income), net</w:t>
            </w:r>
          </w:p>
        </w:tc>
        <w:tc>
          <w:tcPr>
            <w:tcW w:w="4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(70.2)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Miscellaneous (income) expense, net for the six months ended June 30, 2020 includes a $10.2 pension settlement loss related to one of our United States plans. See Note 10 to the Consolidated Financial Statements for further information. Miscellaneous (income) expense, net for the three and six months ended June 30, 2019 includes an $80.4 gain related to our acquisition of the remaining controlling interest in Manpower Switzerland. See Note 5 to the Consolidated Financial Statements for further information.</w:t>
      </w:r>
    </w:p>
    <w:p>
      <w:pPr>
        <w:spacing w:after="0" w:line="200"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98"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Net Investment Hedges</w:t>
      </w:r>
    </w:p>
    <w:p>
      <w:pPr>
        <w:spacing w:after="0" w:line="19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€400.0 ($448.2) notes due September 2022 and the €500.0 ($557.3) notes due June 2026 were designated as a hedge of our net investment in our foreign subsidiaries with a Euro-functional currency as of June 30, 2020.</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six months ended June 30, 2020 and 2019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5820" w:type="dxa"/>
            <w:vAlign w:val="bottom"/>
            <w:tcBorders>
              <w:bottom w:val="single" w:sz="8" w:color="auto"/>
            </w:tcBorders>
            <w:gridSpan w:val="8"/>
          </w:tcPr>
          <w:p>
            <w:pPr>
              <w:ind w:left="1440"/>
              <w:spacing w:after="0"/>
              <w:rPr>
                <w:sz w:val="20"/>
                <w:szCs w:val="20"/>
                <w:color w:val="auto"/>
              </w:rPr>
            </w:pPr>
            <w:r>
              <w:rPr>
                <w:rFonts w:ascii="Arial" w:cs="Arial" w:eastAsia="Arial" w:hAnsi="Arial"/>
                <w:sz w:val="18"/>
                <w:szCs w:val="18"/>
                <w:b w:val="1"/>
                <w:bCs w:val="1"/>
                <w:color w:val="auto"/>
                <w:w w:val="89"/>
              </w:rPr>
              <w:t>Gain (Loss) Recognized in Other Comprehensive Income</w:t>
            </w: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3 Months Ended June 30,</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6 Months Ended June 30,</w:t>
            </w:r>
          </w:p>
        </w:tc>
      </w:tr>
      <w:tr>
        <w:trPr>
          <w:trHeight w:val="223"/>
        </w:trPr>
        <w:tc>
          <w:tcPr>
            <w:tcW w:w="3040" w:type="dxa"/>
            <w:vAlign w:val="bottom"/>
            <w:gridSpan w:val="2"/>
          </w:tcPr>
          <w:p>
            <w:pPr>
              <w:ind w:left="1020"/>
              <w:spacing w:after="0"/>
              <w:rPr>
                <w:sz w:val="20"/>
                <w:szCs w:val="20"/>
                <w:color w:val="auto"/>
              </w:rPr>
            </w:pPr>
            <w:r>
              <w:rPr>
                <w:rFonts w:ascii="Arial" w:cs="Arial" w:eastAsia="Arial" w:hAnsi="Arial"/>
                <w:sz w:val="18"/>
                <w:szCs w:val="18"/>
                <w:b w:val="1"/>
                <w:bCs w:val="1"/>
                <w:color w:val="auto"/>
              </w:rPr>
              <w:t>Instrument</w:t>
            </w:r>
          </w:p>
        </w:tc>
        <w:tc>
          <w:tcPr>
            <w:tcW w:w="400" w:type="dxa"/>
            <w:vAlign w:val="bottom"/>
          </w:tcPr>
          <w:p>
            <w:pPr>
              <w:spacing w:after="0"/>
              <w:rPr>
                <w:sz w:val="19"/>
                <w:szCs w:val="19"/>
                <w:color w:val="auto"/>
              </w:rPr>
            </w:pPr>
          </w:p>
        </w:tc>
        <w:tc>
          <w:tcPr>
            <w:tcW w:w="15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r>
      <w:tr>
        <w:trPr>
          <w:trHeight w:val="223"/>
        </w:trPr>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 Notes</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40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31"/>
        </w:trPr>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12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2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Cash Flow Hedges</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six months ended June 30,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8"/>
              </w:rPr>
              <w:t>(Loss) Gain Reclassified</w:t>
            </w: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1"/>
              </w:rPr>
              <w:t>(Loss) Gain Recognized in OCI</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4"/>
              </w:rPr>
              <w:t>from AOCI into Income</w:t>
            </w:r>
          </w:p>
        </w:tc>
      </w:tr>
      <w:tr>
        <w:trPr>
          <w:trHeight w:val="205"/>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Location of (Loss) Gain</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3 Months Ended 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0"/>
              </w:rPr>
              <w:t>3 Months Ended June 30,</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Pr>
          <w:p>
            <w:pPr>
              <w:spacing w:after="0"/>
              <w:rPr>
                <w:sz w:val="19"/>
                <w:szCs w:val="19"/>
                <w:color w:val="auto"/>
              </w:rPr>
            </w:pP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5.0</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441"/>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88"/>
              </w:rPr>
              <w:t>(Loss) Gain Reclassified</w:t>
            </w: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1"/>
              </w:rPr>
              <w:t>(Loss) Gain Recognized in OCI</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4"/>
              </w:rPr>
              <w:t>from AOCI into Income</w:t>
            </w:r>
          </w:p>
        </w:tc>
      </w:tr>
      <w:tr>
        <w:trPr>
          <w:trHeight w:val="205"/>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Location of (Loss) Gain</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rPr>
              <w:t>6 Months Ended June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Reclassified</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90"/>
              </w:rPr>
              <w:t>6 Months Ended June 30,</w:t>
            </w:r>
          </w:p>
        </w:tc>
      </w:tr>
      <w:tr>
        <w:trPr>
          <w:trHeight w:val="223"/>
        </w:trPr>
        <w:tc>
          <w:tcPr>
            <w:tcW w:w="2200" w:type="dxa"/>
            <w:vAlign w:val="bottom"/>
            <w:gridSpan w:val="2"/>
          </w:tcPr>
          <w:p>
            <w:pPr>
              <w:ind w:left="620"/>
              <w:spacing w:after="0"/>
              <w:rPr>
                <w:sz w:val="20"/>
                <w:szCs w:val="20"/>
                <w:color w:val="auto"/>
              </w:rPr>
            </w:pPr>
            <w:r>
              <w:rPr>
                <w:rFonts w:ascii="Arial" w:cs="Arial" w:eastAsia="Arial" w:hAnsi="Arial"/>
                <w:sz w:val="18"/>
                <w:szCs w:val="18"/>
                <w:b w:val="1"/>
                <w:bCs w:val="1"/>
                <w:color w:val="auto"/>
              </w:rPr>
              <w:t>Instrument</w:t>
            </w:r>
          </w:p>
        </w:tc>
        <w:tc>
          <w:tcPr>
            <w:tcW w:w="180" w:type="dxa"/>
            <w:vAlign w:val="bottom"/>
          </w:tcPr>
          <w:p>
            <w:pPr>
              <w:spacing w:after="0"/>
              <w:rPr>
                <w:sz w:val="19"/>
                <w:szCs w:val="19"/>
                <w:color w:val="auto"/>
              </w:rPr>
            </w:pPr>
          </w:p>
        </w:tc>
        <w:tc>
          <w:tcPr>
            <w:tcW w:w="1300" w:type="dxa"/>
            <w:vAlign w:val="bottom"/>
          </w:tcPr>
          <w:p>
            <w:pPr>
              <w:ind w:left="320"/>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right"/>
              <w:ind w:right="167"/>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3"/>
              </w:rPr>
              <w:t>from AOCI into Income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09"/>
        </w:trPr>
        <w:tc>
          <w:tcPr>
            <w:tcW w:w="2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5"/>
              </w:rPr>
              <w:t>5.0</w:t>
            </w:r>
          </w:p>
        </w:tc>
        <w:tc>
          <w:tcPr>
            <w:tcW w:w="100" w:type="dxa"/>
            <w:vAlign w:val="bottom"/>
            <w:tcBorders>
              <w:top w:val="single" w:sz="8" w:color="CFF0FC"/>
            </w:tcBorders>
            <w:shd w:val="clear" w:color="auto" w:fill="CFF0FC"/>
          </w:tcPr>
          <w:p>
            <w:pPr>
              <w:spacing w:after="0"/>
              <w:rPr>
                <w:sz w:val="18"/>
                <w:szCs w:val="18"/>
                <w:color w:val="auto"/>
              </w:rPr>
            </w:pPr>
          </w:p>
        </w:tc>
        <w:tc>
          <w:tcPr>
            <w:tcW w:w="270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2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(income), net</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We expect the net amount of pre-tax derivative gains included in AOCI at June 30, 2020 to be reclassified into earnings within the next 12 months will not be significant. The actual amount that will be reclassified to earnings over the next 12 months will vary due to future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ind w:right="20"/>
        <w:spacing w:after="0" w:line="275"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six months ended June 30, 2020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9"/>
              </w:rPr>
              <w:t>Amount of Gain Recognized in Income</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27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Instrument</w:t>
            </w:r>
          </w:p>
        </w:tc>
        <w:tc>
          <w:tcPr>
            <w:tcW w:w="8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Recognized in Income</w:t>
            </w:r>
          </w:p>
        </w:tc>
        <w:tc>
          <w:tcPr>
            <w:tcW w:w="60" w:type="dxa"/>
            <w:vAlign w:val="bottom"/>
          </w:tcPr>
          <w:p>
            <w:pPr>
              <w:spacing w:after="0"/>
              <w:rPr>
                <w:sz w:val="19"/>
                <w:szCs w:val="19"/>
                <w:color w:val="auto"/>
              </w:rPr>
            </w:pPr>
          </w:p>
        </w:tc>
        <w:tc>
          <w:tcPr>
            <w:tcW w:w="264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w w:val="96"/>
              </w:rPr>
              <w:t>3 Months Ended June 30,</w:t>
            </w: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4"/>
              </w:rPr>
              <w:t>6 Months Ended June 30,</w:t>
            </w:r>
          </w:p>
        </w:tc>
      </w:tr>
      <w:tr>
        <w:trPr>
          <w:trHeight w:val="223"/>
        </w:trPr>
        <w:tc>
          <w:tcPr>
            <w:tcW w:w="2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ind w:left="52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09"/>
        </w:trPr>
        <w:tc>
          <w:tcPr>
            <w:tcW w:w="2700" w:type="dxa"/>
            <w:vAlign w:val="bottom"/>
            <w:tcBorders>
              <w:top w:val="single" w:sz="8" w:color="CFF0FC"/>
            </w:tcBorders>
            <w:shd w:val="clear" w:color="auto" w:fill="CFF0FC"/>
          </w:tcPr>
          <w:p>
            <w:pPr>
              <w:spacing w:after="0"/>
              <w:rPr>
                <w:sz w:val="18"/>
                <w:szCs w:val="18"/>
                <w:color w:val="auto"/>
              </w:rPr>
            </w:pPr>
          </w:p>
        </w:tc>
        <w:tc>
          <w:tcPr>
            <w:tcW w:w="260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r>
      <w:tr>
        <w:trPr>
          <w:trHeight w:val="230"/>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w w:val="96"/>
              </w:rPr>
              <w:t>Foreign currency forward contracts</w:t>
            </w:r>
          </w:p>
        </w:tc>
        <w:tc>
          <w:tcPr>
            <w:tcW w:w="26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(income), net</w:t>
            </w:r>
          </w:p>
        </w:tc>
        <w:tc>
          <w:tcPr>
            <w:tcW w:w="110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10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June 30, 2020 and December 31, 2019: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8"/>
        </w:trPr>
        <w:tc>
          <w:tcPr>
            <w:tcW w:w="4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08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8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30"/>
        </w:trPr>
        <w:tc>
          <w:tcPr>
            <w:tcW w:w="408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20" w:type="dxa"/>
            <w:vAlign w:val="bottom"/>
            <w:gridSpan w:val="2"/>
          </w:tcPr>
          <w:p>
            <w:pPr>
              <w:ind w:left="880"/>
              <w:spacing w:after="0"/>
              <w:rPr>
                <w:sz w:val="20"/>
                <w:szCs w:val="20"/>
                <w:color w:val="auto"/>
              </w:rPr>
            </w:pPr>
            <w:r>
              <w:rPr>
                <w:rFonts w:ascii="Arial" w:cs="Arial" w:eastAsia="Arial" w:hAnsi="Arial"/>
                <w:sz w:val="18"/>
                <w:szCs w:val="18"/>
                <w:color w:val="auto"/>
                <w:w w:val="92"/>
              </w:rPr>
              <w:t>Prepaid expenses and other assets</w:t>
            </w:r>
          </w:p>
        </w:tc>
        <w:tc>
          <w:tcPr>
            <w:tcW w:w="7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23"/>
        </w:trPr>
        <w:tc>
          <w:tcPr>
            <w:tcW w:w="40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26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w:t>
            </w:r>
          </w:p>
        </w:tc>
      </w:tr>
      <w:tr>
        <w:trPr>
          <w:trHeight w:val="20"/>
        </w:trPr>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center"/>
              <w:ind w:right="1040"/>
              <w:spacing w:after="0"/>
              <w:rPr>
                <w:sz w:val="20"/>
                <w:szCs w:val="20"/>
                <w:color w:val="auto"/>
              </w:rPr>
            </w:pPr>
            <w:r>
              <w:rPr>
                <w:rFonts w:ascii="Arial" w:cs="Arial" w:eastAsia="Arial" w:hAnsi="Arial"/>
                <w:sz w:val="18"/>
                <w:szCs w:val="18"/>
                <w:b w:val="1"/>
                <w:bCs w:val="1"/>
                <w:color w:val="auto"/>
                <w:w w:val="93"/>
              </w:rPr>
              <w:t>Liabilities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r>
      <w:tr>
        <w:trPr>
          <w:trHeight w:val="218"/>
        </w:trPr>
        <w:tc>
          <w:tcPr>
            <w:tcW w:w="4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320" w:type="dxa"/>
            <w:vAlign w:val="bottom"/>
            <w:tcBorders>
              <w:bottom w:val="single" w:sz="8" w:color="CFF0FC"/>
            </w:tcBorders>
          </w:tcPr>
          <w:p>
            <w:pPr>
              <w:spacing w:after="0"/>
              <w:rPr>
                <w:sz w:val="20"/>
                <w:szCs w:val="20"/>
                <w:color w:val="auto"/>
              </w:rPr>
            </w:pPr>
          </w:p>
        </w:tc>
        <w:tc>
          <w:tcPr>
            <w:tcW w:w="780" w:type="dxa"/>
            <w:vAlign w:val="bottom"/>
            <w:tcBorders>
              <w:bottom w:val="single" w:sz="8" w:color="CFF0FC"/>
            </w:tcBorders>
          </w:tcPr>
          <w:p>
            <w:pPr>
              <w:spacing w:after="0"/>
              <w:rPr>
                <w:sz w:val="20"/>
                <w:szCs w:val="20"/>
                <w:color w:val="auto"/>
              </w:rPr>
            </w:pPr>
          </w:p>
        </w:tc>
        <w:tc>
          <w:tcPr>
            <w:tcW w:w="24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5"/>
              </w:rPr>
              <w:t>Balance Sheet Location</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78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3260" w:type="dxa"/>
            <w:vAlign w:val="bottom"/>
            <w:gridSpan w:val="2"/>
          </w:tcPr>
          <w:p>
            <w:pPr>
              <w:ind w:left="780"/>
              <w:spacing w:after="0"/>
              <w:rPr>
                <w:sz w:val="20"/>
                <w:szCs w:val="20"/>
                <w:color w:val="auto"/>
              </w:rPr>
            </w:pPr>
            <w:r>
              <w:rPr>
                <w:rFonts w:ascii="Arial" w:cs="Arial" w:eastAsia="Arial" w:hAnsi="Arial"/>
                <w:sz w:val="18"/>
                <w:szCs w:val="18"/>
                <w:color w:val="auto"/>
              </w:rPr>
              <w:t>Long-term debt</w:t>
            </w:r>
          </w:p>
        </w:tc>
        <w:tc>
          <w:tcPr>
            <w:tcW w:w="720" w:type="dxa"/>
            <w:vAlign w:val="bottom"/>
            <w:gridSpan w:val="3"/>
          </w:tcPr>
          <w:p>
            <w:pPr>
              <w:jc w:val="center"/>
              <w:ind w:left="2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1,005.5</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1,002.9</w:t>
            </w: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Cross-currency swaps</w:t>
            </w:r>
          </w:p>
        </w:tc>
        <w:tc>
          <w:tcPr>
            <w:tcW w:w="32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liabilities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23"/>
        </w:trPr>
        <w:tc>
          <w:tcPr>
            <w:tcW w:w="4320" w:type="dxa"/>
            <w:vAlign w:val="bottom"/>
          </w:tcPr>
          <w:p>
            <w:pPr>
              <w:ind w:left="380"/>
              <w:spacing w:after="0"/>
              <w:rPr>
                <w:sz w:val="20"/>
                <w:szCs w:val="20"/>
                <w:color w:val="auto"/>
              </w:rPr>
            </w:pPr>
            <w:r>
              <w:rPr>
                <w:rFonts w:ascii="Arial" w:cs="Arial" w:eastAsia="Arial" w:hAnsi="Arial"/>
                <w:sz w:val="18"/>
                <w:szCs w:val="18"/>
                <w:color w:val="auto"/>
              </w:rPr>
              <w:t>Total instruments</w:t>
            </w:r>
          </w:p>
        </w:tc>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1,009.6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1,008.9</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$1,033.2 and $1,062.5 as of June 30, 2020 and December 31, 2019, respectively, compared to a carrying value of $1,005.5 and $1,002.9, respectively.</w:t>
      </w:r>
    </w:p>
    <w:p>
      <w:pPr>
        <w:spacing w:after="0" w:line="10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deferred compensation plan assets were $103.8 and $107.3 as of June 30, 2020 and December 31, 2019 respectively. We determine the fair value of these assets, comprised of publicly traded securities, by using market quotes as of the last day of the period (Level 1 inputs).</w:t>
      </w:r>
    </w:p>
    <w:p>
      <w:pPr>
        <w:spacing w:after="0" w:line="10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4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6 Months Ended June 30,</w:t>
            </w:r>
          </w:p>
        </w:tc>
        <w:tc>
          <w:tcPr>
            <w:tcW w:w="520" w:type="dxa"/>
            <w:vAlign w:val="bottom"/>
            <w:tcBorders>
              <w:bottom w:val="single" w:sz="8" w:color="auto"/>
            </w:tcBorders>
          </w:tcPr>
          <w:p>
            <w:pPr>
              <w:spacing w:after="0"/>
              <w:rPr>
                <w:sz w:val="20"/>
                <w:szCs w:val="20"/>
                <w:color w:val="auto"/>
              </w:rPr>
            </w:pPr>
          </w:p>
        </w:tc>
      </w:tr>
      <w:tr>
        <w:trPr>
          <w:trHeight w:val="223"/>
        </w:trPr>
        <w:tc>
          <w:tcPr>
            <w:tcW w:w="32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35.0</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69.7</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29"/>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2460" w:type="dxa"/>
            <w:vAlign w:val="bottom"/>
            <w:gridSpan w:val="2"/>
            <w:shd w:val="clear" w:color="auto" w:fill="CFF0FC"/>
          </w:tcPr>
          <w:p>
            <w:pPr>
              <w:jc w:val="right"/>
              <w:ind w:right="87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2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9.9</w:t>
            </w:r>
          </w:p>
        </w:tc>
      </w:tr>
      <w:tr>
        <w:trPr>
          <w:trHeight w:val="223"/>
        </w:trPr>
        <w:tc>
          <w:tcPr>
            <w:tcW w:w="3220" w:type="dxa"/>
            <w:vAlign w:val="bottom"/>
          </w:tcPr>
          <w:p>
            <w:pPr>
              <w:ind w:left="260"/>
              <w:spacing w:after="0"/>
              <w:rPr>
                <w:sz w:val="20"/>
                <w:szCs w:val="20"/>
                <w:color w:val="auto"/>
              </w:rPr>
            </w:pPr>
            <w:r>
              <w:rPr>
                <w:rFonts w:ascii="Arial" w:cs="Arial" w:eastAsia="Arial" w:hAnsi="Arial"/>
                <w:sz w:val="18"/>
                <w:szCs w:val="18"/>
                <w:color w:val="auto"/>
              </w:rPr>
              <w:t>Total lease expense</w:t>
            </w:r>
          </w:p>
        </w:tc>
        <w:tc>
          <w:tcPr>
            <w:tcW w:w="14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45.8</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91.7</w:t>
            </w:r>
          </w:p>
        </w:tc>
      </w:tr>
      <w:tr>
        <w:trPr>
          <w:trHeight w:val="20"/>
        </w:trPr>
        <w:tc>
          <w:tcPr>
            <w:tcW w:w="3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5540" w:right="5460" w:hanging="5532"/>
        <w:spacing w:after="0" w:line="460" w:lineRule="auto"/>
        <w:tabs>
          <w:tab w:leader="none" w:pos="473"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 lease expense includes variable lease expense and sublease income.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59"/>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930"/>
              <w:spacing w:after="0"/>
              <w:rPr>
                <w:sz w:val="20"/>
                <w:szCs w:val="20"/>
                <w:color w:val="auto"/>
              </w:rPr>
            </w:pPr>
            <w:r>
              <w:rPr>
                <w:rFonts w:ascii="Arial" w:cs="Arial" w:eastAsia="Arial" w:hAnsi="Arial"/>
                <w:sz w:val="18"/>
                <w:szCs w:val="18"/>
                <w:b w:val="1"/>
                <w:bCs w:val="1"/>
                <w:color w:val="auto"/>
              </w:rPr>
              <w:t>6 Months Ended June 30,</w:t>
            </w:r>
          </w:p>
        </w:tc>
      </w:tr>
      <w:tr>
        <w:trPr>
          <w:trHeight w:val="223"/>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2019</w:t>
            </w:r>
          </w:p>
        </w:tc>
      </w:tr>
      <w:tr>
        <w:trPr>
          <w:trHeight w:val="22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64.8</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69.7</w:t>
            </w:r>
          </w:p>
        </w:tc>
      </w:tr>
      <w:tr>
        <w:trPr>
          <w:trHeight w:val="359"/>
        </w:trPr>
        <w:tc>
          <w:tcPr>
            <w:tcW w:w="6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6580" w:type="dxa"/>
            <w:vAlign w:val="bottom"/>
          </w:tcPr>
          <w:p>
            <w:pPr>
              <w:spacing w:after="0"/>
              <w:rPr>
                <w:sz w:val="20"/>
                <w:szCs w:val="20"/>
                <w:color w:val="auto"/>
              </w:rPr>
            </w:pPr>
            <w:r>
              <w:rPr>
                <w:rFonts w:ascii="Arial" w:cs="Arial" w:eastAsia="Arial" w:hAnsi="Arial"/>
                <w:sz w:val="18"/>
                <w:szCs w:val="18"/>
                <w:b w:val="1"/>
                <w:bCs w:val="1"/>
                <w:color w:val="auto"/>
              </w:rPr>
              <w:t>Operating Leases</w:t>
            </w: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65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1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409.1</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448.5</w:t>
            </w:r>
          </w:p>
        </w:tc>
      </w:tr>
      <w:tr>
        <w:trPr>
          <w:trHeight w:val="223"/>
        </w:trPr>
        <w:tc>
          <w:tcPr>
            <w:tcW w:w="6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1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113.4</w:t>
            </w:r>
          </w:p>
        </w:tc>
        <w:tc>
          <w:tcPr>
            <w:tcW w:w="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w:t>
            </w:r>
          </w:p>
        </w:tc>
      </w:tr>
      <w:tr>
        <w:trPr>
          <w:trHeight w:val="229"/>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308.5</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336.7</w:t>
            </w:r>
          </w:p>
        </w:tc>
      </w:tr>
      <w:tr>
        <w:trPr>
          <w:trHeight w:val="223"/>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1140" w:type="dxa"/>
            <w:vAlign w:val="bottom"/>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421.9</w:t>
            </w:r>
          </w:p>
        </w:tc>
        <w:tc>
          <w:tcPr>
            <w:tcW w:w="80" w:type="dxa"/>
            <w:vAlign w:val="bottom"/>
            <w:tcBorders>
              <w:bottom w:val="single" w:sz="8" w:color="auto"/>
            </w:tcBorders>
            <w:gridSpan w:val="2"/>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458.8</w:t>
            </w:r>
          </w:p>
        </w:tc>
      </w:tr>
    </w:tbl>
    <w:p>
      <w:pPr>
        <w:spacing w:after="0" w:line="4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 years</w:t>
            </w:r>
          </w:p>
        </w:tc>
      </w:tr>
      <w:tr>
        <w:trPr>
          <w:trHeight w:val="229"/>
        </w:trPr>
        <w:tc>
          <w:tcPr>
            <w:tcW w:w="8800" w:type="dxa"/>
            <w:vAlign w:val="bottom"/>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485"/>
        </w:trPr>
        <w:tc>
          <w:tcPr>
            <w:tcW w:w="8800" w:type="dxa"/>
            <w:vAlign w:val="bottom"/>
          </w:tcPr>
          <w:p>
            <w:pPr>
              <w:spacing w:after="0"/>
              <w:rPr>
                <w:sz w:val="20"/>
                <w:szCs w:val="20"/>
                <w:color w:val="auto"/>
              </w:rPr>
            </w:pPr>
            <w:r>
              <w:rPr>
                <w:rFonts w:ascii="Arial" w:cs="Arial" w:eastAsia="Arial" w:hAnsi="Arial"/>
                <w:sz w:val="18"/>
                <w:szCs w:val="18"/>
                <w:color w:val="auto"/>
              </w:rPr>
              <w:t>Maturities of operating lease liabilities as of June 30, 2020 were as follows:</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0"/>
        </w:trPr>
        <w:tc>
          <w:tcPr>
            <w:tcW w:w="8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r>
      <w:tr>
        <w:trPr>
          <w:trHeight w:val="223"/>
        </w:trPr>
        <w:tc>
          <w:tcPr>
            <w:tcW w:w="8800" w:type="dxa"/>
            <w:vAlign w:val="bottom"/>
          </w:tcPr>
          <w:p>
            <w:pPr>
              <w:spacing w:after="0"/>
              <w:rPr>
                <w:sz w:val="20"/>
                <w:szCs w:val="20"/>
                <w:color w:val="auto"/>
              </w:rPr>
            </w:pPr>
            <w:r>
              <w:rPr>
                <w:rFonts w:ascii="Arial" w:cs="Arial" w:eastAsia="Arial" w:hAnsi="Arial"/>
                <w:sz w:val="18"/>
                <w:szCs w:val="18"/>
                <w:b w:val="1"/>
                <w:bCs w:val="1"/>
                <w:color w:val="auto"/>
              </w:rPr>
              <w:t>Period Ending June 30, 2020</w:t>
            </w:r>
          </w:p>
        </w:tc>
        <w:tc>
          <w:tcPr>
            <w:tcW w:w="280" w:type="dxa"/>
            <w:vAlign w:val="bottom"/>
          </w:tcPr>
          <w:p>
            <w:pPr>
              <w:spacing w:after="0"/>
              <w:rPr>
                <w:sz w:val="19"/>
                <w:szCs w:val="19"/>
                <w:color w:val="auto"/>
              </w:rPr>
            </w:pPr>
          </w:p>
        </w:tc>
        <w:tc>
          <w:tcPr>
            <w:tcW w:w="216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 Leases</w:t>
            </w:r>
          </w:p>
        </w:tc>
      </w:tr>
      <w:tr>
        <w:trPr>
          <w:trHeight w:val="229"/>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67.0</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109.5</w:t>
            </w: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r>
      <w:tr>
        <w:trPr>
          <w:trHeight w:val="229"/>
        </w:trPr>
        <w:tc>
          <w:tcPr>
            <w:tcW w:w="88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58.5</w:t>
            </w:r>
          </w:p>
        </w:tc>
      </w:tr>
      <w:tr>
        <w:trPr>
          <w:trHeight w:val="230"/>
        </w:trPr>
        <w:tc>
          <w:tcPr>
            <w:tcW w:w="8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41.9</w:t>
            </w:r>
          </w:p>
        </w:tc>
      </w:t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28.1</w:t>
            </w:r>
          </w:p>
        </w:tc>
      </w:tr>
      <w:tr>
        <w:trPr>
          <w:trHeight w:val="230"/>
        </w:trPr>
        <w:tc>
          <w:tcPr>
            <w:tcW w:w="88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73.2</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462.8</w:t>
            </w:r>
          </w:p>
        </w:tc>
      </w:tr>
      <w:tr>
        <w:trPr>
          <w:trHeight w:val="230"/>
        </w:trPr>
        <w:tc>
          <w:tcPr>
            <w:tcW w:w="88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Less imputed interest</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8800" w:type="dxa"/>
            <w:vAlign w:val="bottom"/>
          </w:tcPr>
          <w:p>
            <w:pPr>
              <w:ind w:left="260"/>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421.9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9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Effective January 1, 2020, our segment reporting was realigned due to our Right Management business being combined with each of our respective country business units. Accordingly, our former reportable segment, Right Management, is now reported within each of our respective reportable segments. All previously reported results have been restated to conform to the current year presentation.</w:t>
      </w:r>
    </w:p>
    <w:p>
      <w:pPr>
        <w:spacing w:after="0" w:line="14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ind w:right="240"/>
        <w:spacing w:after="0" w:line="258" w:lineRule="auto"/>
        <w:rPr>
          <w:sz w:val="20"/>
          <w:szCs w:val="20"/>
          <w:color w:val="auto"/>
        </w:rPr>
      </w:pPr>
      <w:r>
        <w:rPr>
          <w:rFonts w:ascii="Arial" w:cs="Arial" w:eastAsia="Arial" w:hAnsi="Arial"/>
          <w:sz w:val="18"/>
          <w:szCs w:val="18"/>
          <w:color w:val="auto"/>
        </w:rPr>
        <w:t>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3 Months Ended June 30,</w:t>
            </w:r>
          </w:p>
        </w:tc>
        <w:tc>
          <w:tcPr>
            <w:tcW w:w="160" w:type="dxa"/>
            <w:vAlign w:val="bottom"/>
          </w:tcPr>
          <w:p>
            <w:pPr>
              <w:spacing w:after="0"/>
              <w:rPr>
                <w:sz w:val="19"/>
                <w:szCs w:val="19"/>
                <w:color w:val="auto"/>
              </w:rPr>
            </w:pPr>
          </w:p>
        </w:tc>
        <w:tc>
          <w:tcPr>
            <w:tcW w:w="240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w w:val="93"/>
              </w:rPr>
              <w:t>6 Months Ended June 30,</w:t>
            </w:r>
          </w:p>
        </w:tc>
      </w:tr>
      <w:tr>
        <w:trPr>
          <w:trHeight w:val="234"/>
        </w:trPr>
        <w:tc>
          <w:tcPr>
            <w:tcW w:w="60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United States (a)</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515.9</w:t>
            </w:r>
          </w:p>
        </w:tc>
        <w:tc>
          <w:tcPr>
            <w:tcW w:w="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652.7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1,126.8</w:t>
            </w:r>
          </w:p>
        </w:tc>
        <w:tc>
          <w:tcPr>
            <w:tcW w:w="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1,275.9</w:t>
            </w:r>
          </w:p>
        </w:tc>
      </w:tr>
      <w:tr>
        <w:trPr>
          <w:trHeight w:val="229"/>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320.7</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415.5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720.8</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822.5</w:t>
            </w:r>
          </w:p>
        </w:tc>
      </w:tr>
      <w:tr>
        <w:trPr>
          <w:trHeight w:val="223"/>
        </w:trPr>
        <w:tc>
          <w:tcPr>
            <w:tcW w:w="60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836.6</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1,068.2</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1,847.6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2,098.4</w:t>
            </w:r>
          </w:p>
        </w:tc>
      </w:tr>
      <w:tr>
        <w:trPr>
          <w:trHeight w:val="223"/>
        </w:trPr>
        <w:tc>
          <w:tcPr>
            <w:tcW w:w="6060" w:type="dxa"/>
            <w:vAlign w:val="bottom"/>
          </w:tcPr>
          <w:p>
            <w:pPr>
              <w:ind w:left="260"/>
              <w:spacing w:after="0"/>
              <w:rPr>
                <w:sz w:val="20"/>
                <w:szCs w:val="20"/>
                <w:color w:val="auto"/>
              </w:rPr>
            </w:pPr>
            <w:r>
              <w:rPr>
                <w:rFonts w:ascii="Arial" w:cs="Arial" w:eastAsia="Arial" w:hAnsi="Arial"/>
                <w:sz w:val="18"/>
                <w:szCs w:val="18"/>
                <w:color w:val="auto"/>
              </w:rPr>
              <w:t>Southern Europe: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France</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736.0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1,425.3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1,829.8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2,731.4</w:t>
            </w: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Italy</w:t>
            </w: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268.5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750.8</w:t>
            </w:r>
          </w:p>
        </w:tc>
      </w:tr>
      <w:tr>
        <w:trPr>
          <w:trHeight w:val="230"/>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Southern Europe</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466.3</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574.6</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989.5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1,020.9</w:t>
            </w:r>
          </w:p>
        </w:tc>
      </w:tr>
      <w:tr>
        <w:trPr>
          <w:trHeight w:val="223"/>
        </w:trPr>
        <w:tc>
          <w:tcPr>
            <w:tcW w:w="6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1,470.8</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2,394.3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3,415.5</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4,503.1</w:t>
            </w:r>
          </w:p>
        </w:tc>
      </w:tr>
      <w:tr>
        <w:trPr>
          <w:trHeight w:val="223"/>
        </w:trPr>
        <w:tc>
          <w:tcPr>
            <w:tcW w:w="6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6060" w:type="dxa"/>
            <w:vAlign w:val="bottom"/>
          </w:tcPr>
          <w:p>
            <w:pPr>
              <w:ind w:left="260"/>
              <w:spacing w:after="0"/>
              <w:rPr>
                <w:sz w:val="20"/>
                <w:szCs w:val="20"/>
                <w:color w:val="auto"/>
              </w:rPr>
            </w:pPr>
            <w:r>
              <w:rPr>
                <w:rFonts w:ascii="Arial" w:cs="Arial" w:eastAsia="Arial" w:hAnsi="Arial"/>
                <w:sz w:val="18"/>
                <w:szCs w:val="18"/>
                <w:color w:val="auto"/>
              </w:rPr>
              <w:t>Northern Europe</w:t>
            </w: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865.7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1,194.1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1,934.2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2,394.6</w:t>
            </w: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APME</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569.1</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716.5</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1,164.0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1,421.9</w:t>
            </w:r>
          </w:p>
        </w:tc>
      </w:tr>
      <w:tr>
        <w:trPr>
          <w:trHeight w:val="263"/>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Consolidated (b)</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3,742.2</w:t>
            </w: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5,373.1</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8,361.3</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10,418.0</w:t>
            </w:r>
          </w:p>
        </w:tc>
      </w:tr>
      <w:tr>
        <w:trPr>
          <w:trHeight w:val="210"/>
        </w:trPr>
        <w:tc>
          <w:tcPr>
            <w:tcW w:w="6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Operating unit profit (loss): (c)</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Americas: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54.3</w:t>
            </w:r>
          </w:p>
        </w:tc>
      </w:tr>
      <w:tr>
        <w:trPr>
          <w:trHeight w:val="230"/>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Americas</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33.0</w:t>
            </w:r>
          </w:p>
        </w:tc>
      </w:tr>
      <w:tr>
        <w:trPr>
          <w:trHeight w:val="223"/>
        </w:trPr>
        <w:tc>
          <w:tcPr>
            <w:tcW w:w="6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87.3</w:t>
            </w:r>
          </w:p>
        </w:tc>
      </w:tr>
      <w:tr>
        <w:trPr>
          <w:trHeight w:val="223"/>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Southern Europe:</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6060" w:type="dxa"/>
            <w:vAlign w:val="bottom"/>
          </w:tcPr>
          <w:p>
            <w:pPr>
              <w:ind w:left="50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131.0</w:t>
            </w:r>
          </w:p>
        </w:tc>
      </w:tr>
      <w:tr>
        <w:trPr>
          <w:trHeight w:val="230"/>
        </w:trPr>
        <w:tc>
          <w:tcPr>
            <w:tcW w:w="6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Italy</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50.1</w:t>
            </w:r>
          </w:p>
        </w:tc>
      </w:tr>
      <w:tr>
        <w:trPr>
          <w:trHeight w:val="230"/>
        </w:trPr>
        <w:tc>
          <w:tcPr>
            <w:tcW w:w="6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Southern Europe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w:t>
            </w:r>
          </w:p>
        </w:tc>
      </w:tr>
      <w:tr>
        <w:trPr>
          <w:trHeight w:val="223"/>
        </w:trPr>
        <w:tc>
          <w:tcPr>
            <w:tcW w:w="60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210.2</w:t>
            </w:r>
          </w:p>
        </w:tc>
      </w:tr>
      <w:tr>
        <w:trPr>
          <w:trHeight w:val="223"/>
        </w:trPr>
        <w:tc>
          <w:tcPr>
            <w:tcW w:w="6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Northern Europe</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r>
      <w:tr>
        <w:trPr>
          <w:trHeight w:val="230"/>
        </w:trPr>
        <w:tc>
          <w:tcPr>
            <w:tcW w:w="6060" w:type="dxa"/>
            <w:vAlign w:val="bottom"/>
          </w:tcPr>
          <w:p>
            <w:pPr>
              <w:ind w:left="260"/>
              <w:spacing w:after="0"/>
              <w:rPr>
                <w:sz w:val="20"/>
                <w:szCs w:val="20"/>
                <w:color w:val="auto"/>
              </w:rPr>
            </w:pPr>
            <w:r>
              <w:rPr>
                <w:rFonts w:ascii="Arial" w:cs="Arial" w:eastAsia="Arial" w:hAnsi="Arial"/>
                <w:sz w:val="18"/>
                <w:szCs w:val="18"/>
                <w:color w:val="auto"/>
              </w:rPr>
              <w:t>APME</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50.3</w:t>
            </w:r>
          </w:p>
        </w:tc>
      </w:tr>
      <w:tr>
        <w:trPr>
          <w:trHeight w:val="223"/>
        </w:trPr>
        <w:tc>
          <w:tcPr>
            <w:tcW w:w="6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122.5</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375.3</w:t>
            </w:r>
          </w:p>
        </w:tc>
      </w:tr>
      <w:tr>
        <w:trPr>
          <w:trHeight w:val="22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6060" w:type="dxa"/>
            <w:vAlign w:val="bottom"/>
          </w:tcPr>
          <w:p>
            <w:pPr>
              <w:ind w:left="380"/>
              <w:spacing w:after="0"/>
              <w:rPr>
                <w:sz w:val="20"/>
                <w:szCs w:val="20"/>
                <w:color w:val="auto"/>
              </w:rPr>
            </w:pPr>
            <w:r>
              <w:rPr>
                <w:rFonts w:ascii="Arial" w:cs="Arial" w:eastAsia="Arial" w:hAnsi="Arial"/>
                <w:sz w:val="18"/>
                <w:szCs w:val="18"/>
                <w:color w:val="auto"/>
              </w:rPr>
              <w:t>Operating (loss) profit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236.3</w:t>
            </w: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(expenses) income, net</w:t>
            </w: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58.3</w:t>
            </w:r>
          </w:p>
        </w:tc>
      </w:tr>
      <w:tr>
        <w:trPr>
          <w:trHeight w:val="223"/>
        </w:trPr>
        <w:tc>
          <w:tcPr>
            <w:tcW w:w="6060" w:type="dxa"/>
            <w:vAlign w:val="bottom"/>
          </w:tcPr>
          <w:p>
            <w:pPr>
              <w:ind w:left="380"/>
              <w:spacing w:after="0"/>
              <w:rPr>
                <w:sz w:val="20"/>
                <w:szCs w:val="20"/>
                <w:color w:val="auto"/>
              </w:rPr>
            </w:pPr>
            <w:r>
              <w:rPr>
                <w:rFonts w:ascii="Arial" w:cs="Arial" w:eastAsia="Arial" w:hAnsi="Arial"/>
                <w:sz w:val="18"/>
                <w:szCs w:val="18"/>
                <w:color w:val="auto"/>
              </w:rPr>
              <w:t>(Loss) earnings before income taxes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294.6</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460" w:right="320" w:hanging="452"/>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included fees received from the related franchise offices of $2.4 and $3.7 for the three months ended June 30, 2020 and 2019, respectively, and $5.4 and $7.3 for the six months ended June 30, 2020 and 2019, respectively. These fees are primarily based on revenues generated by the franchise offices, which were $122.3 and $154.3 for the three months ended June 30, 2020 and 2019, respectively, and $198.8 and $311.2 for the six months ended June 30, 2020 and 2019, respectively.</w:t>
      </w:r>
    </w:p>
    <w:p>
      <w:pPr>
        <w:spacing w:after="0" w:line="49" w:lineRule="exact"/>
        <w:rPr>
          <w:rFonts w:ascii="Arial" w:cs="Arial" w:eastAsia="Arial" w:hAnsi="Arial"/>
          <w:sz w:val="17"/>
          <w:szCs w:val="17"/>
          <w:color w:val="auto"/>
        </w:rPr>
      </w:pPr>
    </w:p>
    <w:p>
      <w:pPr>
        <w:ind w:left="460" w:right="60" w:hanging="452"/>
        <w:spacing w:after="0" w:line="259"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$2.8 and $4.1 for the three months ended June 30, 2020 and 2019, respectively, and $6.1 and $9.7 for the six months ended June 30, 2020 and 2019, respectively. These fees are primarily based on revenues generated by the franchise offices, which were $128.1 and $163.2 for the three months ended June 30, 2020 and 2019, respectively, and $210.4 and $406.2 for the six months ended June 30, 2020 and 2019, respectively.</w:t>
      </w:r>
    </w:p>
    <w:p>
      <w:pPr>
        <w:spacing w:after="0" w:line="65" w:lineRule="exact"/>
        <w:rPr>
          <w:rFonts w:ascii="Arial" w:cs="Arial" w:eastAsia="Arial" w:hAnsi="Arial"/>
          <w:sz w:val="18"/>
          <w:szCs w:val="18"/>
          <w:color w:val="auto"/>
        </w:rPr>
      </w:pPr>
    </w:p>
    <w:p>
      <w:pPr>
        <w:ind w:left="460" w:right="180" w:hanging="452"/>
        <w:spacing w:after="0" w:line="28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the financial measures section on pages 35-36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85"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w:t>
      </w:r>
    </w:p>
    <w:p>
      <w:pPr>
        <w:ind w:firstLine="8"/>
        <w:spacing w:after="0" w:line="285" w:lineRule="auto"/>
        <w:tabs>
          <w:tab w:leader="none" w:pos="1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 Factors in our annual report on Form 10-K for the year ended December 31, 2019, which information is incorporated herein by reference as well as those discussed in Part II, Item 1A. Risk Factors in our quarterly report on Form 10-Q for the quarter ended March 31, 2020,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other similar expressions. Some or all of the factors identified in our annual report on Form 10-K and in Part II, Item 1A. - Risk Factors in our quarterly report on Form 10-Q for the quarter ended March 31, 2020, may be beyond our control. Other risks and uncertainties include, but are not limited to, the following: the financial and operational impacts of the COVID-19 pandemic and related economic conditions and the Company’s efforts to respond to such impacts, including the possibility that lockdown restrictions that were eased during the second quarter of 2020 in many countries may be reinstated if the spread of the coronavirus accelerates; changes in tax legislation in places we do business; challenges in operating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9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we are generally able to improve our profitability and operating leverage as our cost base can support some increase in business without a similar increase in selling and administrative expenses. By contrast, during periods of decreased demand, as we experienced in the second quarter of 2020, our operating profit is generally impacted unfavorably as we experience a deleveraging of selling and administrative expenses, which may not decline at the same pace as revenues.</w:t>
      </w:r>
    </w:p>
    <w:p>
      <w:pPr>
        <w:spacing w:after="0" w:line="13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Our second quarter results were significantly negatively impacted by the COVID-19 crisis, which sharply reduced demand for our services across almost all of our operations. By the end of March, significant lockdown measures had been implemented in our main markets in Europe and North America, as well as in certain other countries with the majority of lockdown measures being eased in May. During the quarter, we experienced turbulent and uncertain market conditions, reflecting the unprecedented speed and magnitude of the shutdowns. Effects were felt across the world in March and April and quickly impacted the labor markets, resulting in rapidly rising unemployment as well as high levels of government supported furloughs. As the quarter drew to a close, indications are that the impact of the COVID-19 crisis had been contained in many parts of the world, and economies had begun to slowly reopen. However, some countries in Latin America and parts of the United States continue to deal with the COVID-19 crisis at elevated</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levels. Continued uncertainty remains as to the future impact of the pandemic on global and local economies. This may depend on multiple factors which cannot be predicted, including public health conditions and the willingness of local and national governments to re-open commerce and to continue with fiscal stimulus packages. What started as a sudden and swift slowdown of the global economies and labor markets is expected to take much longer to recover around the world, and consequently we expect any improvement in labor market conditions will be slow and gradual.</w:t>
      </w:r>
    </w:p>
    <w:p>
      <w:pPr>
        <w:spacing w:after="0" w:line="1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of 2020, the United States dollar was stronger, on average, relative to the currencies in all of our markets, which therefore had an unfavorable impact on our reported results. Our reported revenues from services decreased 30.4% in the second quarter of 2020 compared to the second quarter of 2019. As noted above, most of the decline is due to the impact of COVID-19. Additionally, the results were further impacted by the relative weakness of other currencies against the United States dollar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right="60"/>
        <w:spacing w:after="0" w:line="273" w:lineRule="auto"/>
        <w:rPr>
          <w:sz w:val="20"/>
          <w:szCs w:val="20"/>
          <w:color w:val="auto"/>
        </w:rPr>
      </w:pPr>
      <w:r>
        <w:rPr>
          <w:rFonts w:ascii="Arial" w:cs="Arial" w:eastAsia="Arial" w:hAnsi="Arial"/>
          <w:sz w:val="17"/>
          <w:szCs w:val="17"/>
          <w:color w:val="auto"/>
        </w:rPr>
        <w:t>compared to the same period in 2019, which generally may understate the performance of our underlying business. The changes in the foreign currency exchange rates had a 2.4% unfavorable impact on revenues from services and an approximately $0.02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three months ended June 30, 2020, our businesses experienced significant changes in revenue trends from the previous quarter reflecting the sudden drop of activity that started in March. Our consolidated revenues were down 28.0% year-over-year in constant currency in the quarter, a decline from the 5.9% year-over-year constant currency decrease in the first quarter of 2020. After adjusting for billing days, our organic constant currency revenue year-over-year decrease was 26.6% in the second quarter of 2020 compared to a 7.1% decrease in the first quarter of 2020. While revenue declines persisted throughout the second quarter, the most significant portion of the year-over-year revenue decline occurred in our European markets during April and the first few weeks of May as governments put states of emergency and related lockdown requirements into place. After adjusting for billing days, we experienced a gradual improvement in the rates of decline throughout the second quarter of 2020 with monthly year-over-year revenue declines of 31% in April, 26% in May, and 24% in June. The improvement in the rate of decline during the quarter reflects the reopening of economies largely in May as governments in some of our largest countries lifted lock-down requirements.</w:t>
      </w:r>
    </w:p>
    <w:p>
      <w:pPr>
        <w:spacing w:after="0" w:line="140" w:lineRule="exact"/>
        <w:rPr>
          <w:sz w:val="20"/>
          <w:szCs w:val="20"/>
          <w:color w:val="auto"/>
        </w:rPr>
      </w:pPr>
    </w:p>
    <w:p>
      <w:pPr>
        <w:ind w:right="260"/>
        <w:spacing w:after="0" w:line="285" w:lineRule="auto"/>
        <w:rPr>
          <w:sz w:val="20"/>
          <w:szCs w:val="20"/>
          <w:color w:val="auto"/>
        </w:rPr>
      </w:pPr>
      <w:r>
        <w:rPr>
          <w:rFonts w:ascii="Arial" w:cs="Arial" w:eastAsia="Arial" w:hAnsi="Arial"/>
          <w:sz w:val="16"/>
          <w:szCs w:val="16"/>
          <w:color w:val="auto"/>
        </w:rPr>
        <w:t>We experienced a 45.0% decrease (-43.4% in constant currency and -38.4% in organic constant currency) in our permanent recruitment business in the quarter as a result of the COVID-19 crisis. Our Talent Solutions business, which includes Recruitment Process Outsourcing (RPO), TAPFIN - Managed Service Provider (MSP) and our Right Management offerings, experienced a decline in the quarter, which was driven mostly by RPO activity. We experienced a sharp reduction in RPO activity as many client programs initiated hiring freezes due to the COVID-19 crisis. Our MSP business has been resilient during the crisis and experienced growth during the quarter. Our Right Management business also experienced a decline during the</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quarter. Although Right Management has historically experienced an increase in outplacement activity during economic downturns, we believe client uncertainty as to the duration of the downturn has chilled outplacement spending. As a result, we did not see an increase in outplacement activity during the second quarter, although we experienced gradual improvement in the rate of revenue decline as the quarter progressed.</w:t>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second quarter of 2020, most of our markets experienced revenue declines due to the COVID-19 crisis. We experienced a revenue decrease in Southern Europe, mainly due to revenue declines in France and Italy due to the severe impact from the crisis. We experienced a revenue decrease in Northern Europe due to the declines in all of our key markets as a result of the COVID-19 crisis and reduced demand from very challenging conditions in the manufacturing sector, particularly the automotive sector, in Germany, which has not experienced the improvement in the rate of revenue decline as the second quarter progressed that many of our other European markets have experienced. After adjusting for billing days, our organic constant currency decrease in the Americas was 18.1% due mostly to a decrease in the United States related to the COVID-19 crisis. After adjusting for billing days, revenues in organic constant currency decreased 4.6% in APME due to the COVID-19 crisis, partially offset by an increase in Japan due to an increase in Manpower staffing revenues.</w:t>
      </w:r>
    </w:p>
    <w:p>
      <w:pPr>
        <w:spacing w:after="0" w:line="15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gross profit margin in the second quarter of 2020 compared to 2019 decreased due to the decrease in our permanent recruitment business as a result of the COVID-19 crisis and the decrease in our staffing/interim margin in the Americas, Southern Europe and Northern Europe. The decrease in the staffing/interim margin was due to the higher mix of our lower-margin enterprise client business and higher rates of sickness and absenteeism in certain countries at the beginning of the quarter, partially offset by reduced direct costs in certain countries due to government crisis response programs and our execution of various bill/pay yield initiatives due to the COVID-19 crisis.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recorded $72.8 million of goodwill and other impairment charges related to our investment in Germany and capitalized software in the United States ($66.8 million and $6.0 million, respectively) in the second quarter of 2020.</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experienced an operating loss of $50.0 million in the second quarter of 2020 compared to an operating profit of $130.8 million in the second quarter of 2019, with our operating profit margin decreasing 370 basis points compared to the second quarter of 2019. Excluding the goodwill and other impairment charges of $72.8 million and $65.6 million incurred in the second quarter of both 2020 and 2019, respectively, our operating profit was down 87.5% in constant currency while operating profit margin was down 310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color w:val="auto"/>
        </w:rPr>
        <w:t>points compared to the second quarter of 2019. The decrease in operating profit margin reflects the material deleveraging that accompanied the sudden decrease in revenues during the quarter as government lockdowns and restrictions were in effect.</w:t>
      </w:r>
    </w:p>
    <w:p>
      <w:pPr>
        <w:spacing w:after="0" w:line="1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took significant actions in late March and early April, which allowed us to reduce selling and administrative expenses to partially offset the revenue and gross profit declines in the second quarter of 2020. This included leveraging government unemployment related benefits, which allowed us to move unutilized staff and associates quickly onto these programs. This also included the short-term action of cutting discretionary costs and scaling operations back. In addition to these implemented initiatives, we are prepared to take further cost actions to optimize our business structure through this economic downturn with the intention of simultaneously preserving our ability to rebound when market conditions improve. We are focused on managing costs as efficiently as possible in the short-term while continuing to progress transformational actions aligned with our strategic priorities.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we manage through this crisis and prepare our business for future opportunities we would also like to emphasize the following points:</w:t>
      </w:r>
    </w:p>
    <w:p>
      <w:pPr>
        <w:spacing w:after="0" w:line="185" w:lineRule="exact"/>
        <w:rPr>
          <w:sz w:val="20"/>
          <w:szCs w:val="20"/>
          <w:color w:val="auto"/>
        </w:rPr>
      </w:pPr>
    </w:p>
    <w:p>
      <w:pPr>
        <w:ind w:left="740" w:right="60" w:hanging="368"/>
        <w:spacing w:after="0" w:line="25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Many of our leaders have experience managing through economic downturns, and many of our senior operational leaders previously managed parts of our business during the economic downturn in 2008-2009. We believe this is valuable experience for the current economic environment. Additionally, we have enhanced our enterprise risk management framework in recent years, and we have business continuity plans which have been executed at a global, regional and country level.</w:t>
      </w:r>
    </w:p>
    <w:p>
      <w:pPr>
        <w:spacing w:after="0" w:line="2" w:lineRule="exact"/>
        <w:rPr>
          <w:rFonts w:ascii="Arial" w:cs="Arial" w:eastAsia="Arial" w:hAnsi="Arial"/>
          <w:sz w:val="18"/>
          <w:szCs w:val="18"/>
          <w:color w:val="auto"/>
        </w:rPr>
      </w:pPr>
    </w:p>
    <w:p>
      <w:pPr>
        <w:ind w:left="740" w:hanging="368"/>
        <w:spacing w:after="0" w:line="265"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technology investments we have been making for the last few years as part of our transformational activities have facilitated a rapid response to the COVID-19 crisis. As of June 30, 2020, we had approximately 90% of our full-time equivalent employees working remotely while mitigating potential productivity losses. We have also extended our cyber and information security capability to accelerate the ability for some of our associates and consultants to work for our clients at home mitigating potential operational or financial losses. Expectations of when our full-time equivalent employees return to the workplace will depend on a number of factors including the impact such a return would have on the safety, health and well-being of our employees as well as the impact from any government mandates or restrictions.</w:t>
      </w:r>
    </w:p>
    <w:p>
      <w:pPr>
        <w:ind w:left="740" w:hanging="368"/>
        <w:spacing w:after="0" w:line="268" w:lineRule="auto"/>
        <w:tabs>
          <w:tab w:leader="none" w:pos="7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business has benefitted from our diversification across geographies, industries, and offerings, that we believe position us well to endure the COVID-19 crisis. We believe this diversification may likewise position us to take advantage of market opportunities that present themselves. For example, during the second quarter, we have seen much smaller declines within our Experis business compared to the Manpower business, and we are positioned with a large portion of our business focused on providing professional services and Talent Solutions. We believe our strategy to improve the diversification of our business through the growth of Experis will facilitate growth following the crisis as companies accelerate technology investments. Additionally, portions of our Talent Solutions business are assisting our clients through this downturn with customized solutions. Right Management has not yet seen an increase in overall outplacement activity during the second quarter, which we believe is due to client uncertainty as to the duration of the downturn, although we did experience gradual improvement in the rate of revenue decline as the quarter progressed.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Operating Results - Three Months Ended June 30, 2020 and 2019</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900" w:type="dxa"/>
            <w:vAlign w:val="bottom"/>
            <w:gridSpan w:val="11"/>
          </w:tcPr>
          <w:p>
            <w:pPr>
              <w:spacing w:after="0"/>
              <w:rPr>
                <w:sz w:val="20"/>
                <w:szCs w:val="20"/>
                <w:color w:val="auto"/>
              </w:rPr>
            </w:pPr>
            <w:r>
              <w:rPr>
                <w:rFonts w:ascii="Arial" w:cs="Arial" w:eastAsia="Arial" w:hAnsi="Arial"/>
                <w:sz w:val="18"/>
                <w:szCs w:val="18"/>
                <w:color w:val="auto"/>
                <w:w w:val="95"/>
              </w:rPr>
              <w:t>The following table presents selected consolidated financial data for the three months ended June 30, 2020 as compared to 2019.</w:t>
            </w:r>
          </w:p>
        </w:tc>
        <w:tc>
          <w:tcPr>
            <w:tcW w:w="13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358"/>
              <w:spacing w:after="0"/>
              <w:rPr>
                <w:sz w:val="20"/>
                <w:szCs w:val="20"/>
                <w:color w:val="auto"/>
              </w:rPr>
            </w:pPr>
            <w:r>
              <w:rPr>
                <w:rFonts w:ascii="Arial" w:cs="Arial" w:eastAsia="Arial" w:hAnsi="Arial"/>
                <w:sz w:val="18"/>
                <w:szCs w:val="18"/>
                <w:b w:val="1"/>
                <w:bCs w:val="1"/>
                <w:color w:val="auto"/>
              </w:rPr>
              <w:t>Variance</w:t>
            </w:r>
          </w:p>
        </w:tc>
        <w:tc>
          <w:tcPr>
            <w:tcW w:w="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3,742.2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5,373.1</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3,165.5</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4,502.7</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(29.7)%</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576.7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870.4</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0"/>
        </w:trPr>
        <w:tc>
          <w:tcPr>
            <w:tcW w:w="570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and administrative expenses, excluding goodwill impairment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559.9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675.6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Goodwill impairment charges</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4.2%</w:t>
            </w:r>
          </w:p>
        </w:tc>
        <w:tc>
          <w:tcPr>
            <w:tcW w:w="6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626.7</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739.6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23"/>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Operating (loss) profit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130.8</w:t>
            </w:r>
          </w:p>
        </w:tc>
        <w:tc>
          <w:tcPr>
            <w:tcW w:w="60" w:type="dxa"/>
            <w:vAlign w:val="bottom"/>
          </w:tcPr>
          <w:p>
            <w:pPr>
              <w:spacing w:after="0"/>
              <w:rPr>
                <w:sz w:val="19"/>
                <w:szCs w:val="19"/>
                <w:color w:val="auto"/>
              </w:rPr>
            </w:pPr>
          </w:p>
        </w:tc>
        <w:tc>
          <w:tcPr>
            <w:tcW w:w="140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9"/>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(loss) profit margin</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-1.3%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2.4%</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expenses (income), net</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(70.2)</w:t>
            </w:r>
          </w:p>
        </w:tc>
        <w:tc>
          <w:tcPr>
            <w:tcW w:w="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gridSpan w:val="2"/>
          </w:tcPr>
          <w:p>
            <w:pPr>
              <w:ind w:left="84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earnings before income taxes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ind w:left="840"/>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FF0FC"/>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9"/>
        </w:trPr>
        <w:tc>
          <w:tcPr>
            <w:tcW w:w="5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73.7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(88.4)%</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-15.4%</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36.7%</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(loss) earnings</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127.3</w:t>
            </w:r>
          </w:p>
        </w:tc>
        <w:tc>
          <w:tcPr>
            <w:tcW w:w="60" w:type="dxa"/>
            <w:vAlign w:val="bottom"/>
            <w:tcBorders>
              <w:bottom w:val="single" w:sz="8" w:color="CFF0FC"/>
            </w:tcBorders>
          </w:tcPr>
          <w:p>
            <w:pPr>
              <w:spacing w:after="0"/>
              <w:rPr>
                <w:sz w:val="22"/>
                <w:szCs w:val="22"/>
                <w:color w:val="auto"/>
              </w:rPr>
            </w:pPr>
          </w:p>
        </w:tc>
        <w:tc>
          <w:tcPr>
            <w:tcW w:w="1400" w:type="dxa"/>
            <w:vAlign w:val="bottom"/>
            <w:tcBorders>
              <w:bottom w:val="single" w:sz="8" w:color="CFF0FC"/>
            </w:tcBorders>
            <w:gridSpan w:val="2"/>
          </w:tcPr>
          <w:p>
            <w:pPr>
              <w:ind w:left="84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FF0FC"/>
            </w:tcBorders>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earnings per share – diluted</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2.11</w:t>
            </w:r>
          </w:p>
        </w:tc>
        <w:tc>
          <w:tcPr>
            <w:tcW w:w="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ind w:left="840"/>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30.4% (-28.0% in constant currency and -26.7% in organic constant currency) was attributed to:</w:t>
      </w:r>
    </w:p>
    <w:p>
      <w:pPr>
        <w:spacing w:after="0" w:line="221" w:lineRule="exact"/>
        <w:rPr>
          <w:sz w:val="20"/>
          <w:szCs w:val="20"/>
          <w:color w:val="auto"/>
        </w:rPr>
      </w:pPr>
    </w:p>
    <w:p>
      <w:pPr>
        <w:ind w:left="740" w:right="20" w:hanging="368"/>
        <w:spacing w:after="0" w:line="296"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revenue decrease in Southern Europe of 38.6% (-37.7% in constant currency). This included a revenue decrease in France of 48.4% (-47.5% in constant currency), which was primarily due to a decrease in our Manpower staffing services and a 45.6% decrease (-44.6% in constant currency) in the permanent recruitment business, both due to the impact of the COVID-19 crisis. The decrease also includes a decrease in Italy of 31.9% (-30.7% in constant currency), which was primarily due to the decreased demand for our Manpower staffing services and a 56.2% decrease (-55.4% in constant currency) in the permanent recruitment business, both due to the impact of the COVID-19 crisis;</w:t>
      </w:r>
    </w:p>
    <w:p>
      <w:pPr>
        <w:spacing w:after="0" w:line="120" w:lineRule="exact"/>
        <w:rPr>
          <w:rFonts w:ascii="Arial" w:cs="Arial" w:eastAsia="Arial" w:hAnsi="Arial"/>
          <w:sz w:val="16"/>
          <w:szCs w:val="16"/>
          <w:color w:val="auto"/>
        </w:rPr>
      </w:pPr>
    </w:p>
    <w:p>
      <w:pPr>
        <w:ind w:left="740" w:right="20" w:hanging="368"/>
        <w:spacing w:after="0" w:line="25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within Northern Europe, where revenues decreased 27.5% (-24.2% in constant currency), primarily due to a decrease in our Manpower business and a 47.2% decrease (-45.0% in constant currency) in the permanent recruitment business as a result of the impact of the COVID-19 crisis. We experienced revenue declines in the United Kingdom, Germany, the Netherlands, the Nordics, and Belgium of 24.2%, 33.5%, 27.9%, 26.8% and 39.2%, respectively (-21.6%, -32.2%, -26.4%, -20.3%, and -38.0%, respectively, in constant currency);</w:t>
      </w:r>
    </w:p>
    <w:p>
      <w:pPr>
        <w:spacing w:after="0" w:line="147" w:lineRule="exact"/>
        <w:rPr>
          <w:rFonts w:ascii="Arial" w:cs="Arial" w:eastAsia="Arial" w:hAnsi="Arial"/>
          <w:sz w:val="18"/>
          <w:szCs w:val="18"/>
          <w:color w:val="auto"/>
        </w:rPr>
      </w:pPr>
    </w:p>
    <w:p>
      <w:pPr>
        <w:ind w:left="740" w:right="14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the United States of 21.0% (-23.0% on an organic basis) primarily driven by a decline in demand for our Manpower staffing services and a 34.6% decrease in the permanent recruitment business, both due to the impact of the COVID-19 crisis, partially offset by an increase in demand for our MSP offering and outplacement services;</w:t>
      </w:r>
    </w:p>
    <w:p>
      <w:pPr>
        <w:spacing w:after="0" w:line="143" w:lineRule="exact"/>
        <w:rPr>
          <w:rFonts w:ascii="Arial" w:cs="Arial" w:eastAsia="Arial" w:hAnsi="Arial"/>
          <w:sz w:val="18"/>
          <w:szCs w:val="18"/>
          <w:color w:val="auto"/>
        </w:rPr>
      </w:pPr>
    </w:p>
    <w:p>
      <w:pPr>
        <w:ind w:left="740" w:hanging="368"/>
        <w:spacing w:after="0" w:line="263"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APME of 20.6% (-19.1% in constant currency and -3.4% in organic constant currency) due to the deconsolidation of ManpowerGroup Greater China Limited in July 2019 (the “Deconsolidation”), partially offset by an increase in revenues in Japan and an increase in demand for our Talent-Based Outsourcing services within the Manpower business;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2.4% decrease due to the impact of changes in currency exchange rates.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80 basis point decrease in gross profit margin was primarily attributed to:</w:t>
      </w:r>
    </w:p>
    <w:p>
      <w:pPr>
        <w:spacing w:after="0" w:line="198" w:lineRule="exact"/>
        <w:rPr>
          <w:sz w:val="20"/>
          <w:szCs w:val="20"/>
          <w:color w:val="auto"/>
        </w:rPr>
      </w:pPr>
    </w:p>
    <w:p>
      <w:pPr>
        <w:ind w:left="740" w:hanging="368"/>
        <w:spacing w:after="0" w:line="277"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40 basis point unfavorable impact due to the decrease in our permanent recruitment business of 45.0% (-43.4% in constant currency and -38.4% in organic constant currency);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ind w:left="740" w:right="220" w:hanging="368"/>
        <w:spacing w:after="0" w:line="259"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basis point unfavorable impact from a deterioration in our staffing/interim margin in the Americas, Southern Europe and Northern Europe due to the higher mix of our lower-margin enterprise client business and higher rates of sickness and absenteeism in certain countries at the beginning of the quarter, partially offset by reduced direct costs in certain countries due to government crisis response programs and our execution of various bill/pay yield initiatives due to the COVID-19 crisis.</w:t>
      </w:r>
    </w:p>
    <w:p>
      <w:pPr>
        <w:spacing w:after="0" w:line="1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15.3% decrease in selling and administrative expenses in the second quarter of 2020 (-13.2% in constant currency; -11.2% in organic constant currency) was primarily attributed to:</w:t>
      </w:r>
    </w:p>
    <w:p>
      <w:pPr>
        <w:spacing w:after="0" w:line="143" w:lineRule="exact"/>
        <w:rPr>
          <w:sz w:val="20"/>
          <w:szCs w:val="20"/>
          <w:color w:val="auto"/>
        </w:rPr>
      </w:pPr>
    </w:p>
    <w:p>
      <w:pPr>
        <w:ind w:left="740" w:right="200" w:hanging="368"/>
        <w:spacing w:after="0" w:line="286"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20.4% decrease (-18.2% in constant currency and -15.9% in organic constant currency) in personnel costs due to a reduction of salary-related costs as a result of lower headcount, a decrease in variable incentive costs due to a decline in profitability in most markets, and the benefits related to the transition of full-time equivalent employees onto government temporary unemployment programs;</w:t>
      </w:r>
    </w:p>
    <w:p>
      <w:pPr>
        <w:spacing w:after="0" w:line="124" w:lineRule="exact"/>
        <w:rPr>
          <w:rFonts w:ascii="Arial" w:cs="Arial" w:eastAsia="Arial" w:hAnsi="Arial"/>
          <w:sz w:val="17"/>
          <w:szCs w:val="17"/>
          <w:color w:val="auto"/>
        </w:rPr>
      </w:pPr>
    </w:p>
    <w:p>
      <w:pPr>
        <w:ind w:left="740" w:right="200" w:hanging="368"/>
        <w:spacing w:after="0" w:line="308"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12.5% decrease (-10.3% in constant currency and -8.2% in organic constant currency) in non-personnel related costs, excluding goodwill and other impairment charges, due to cost management actions taken across all segments as a result of revenue declines;</w:t>
      </w:r>
    </w:p>
    <w:p>
      <w:pPr>
        <w:spacing w:after="0" w:line="105"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$19.5 million as a result of the Deconsolidation in July 2019;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2.1% decrease due to the impact of changes in currency exchange rates; partially offset by</w:t>
      </w:r>
    </w:p>
    <w:p>
      <w:pPr>
        <w:spacing w:after="0" w:line="184"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increase in goodwill and other impairment charges to $72.8 million in the second quarter of 2020 from $65.6 million in the second quarter of 2019; and</w:t>
      </w:r>
    </w:p>
    <w:p>
      <w:pPr>
        <w:spacing w:after="0" w:line="129"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$1.8 million incurred as a result of the franchise acquisitions in the United States in August and October 2019.</w:t>
      </w:r>
    </w:p>
    <w:p>
      <w:pPr>
        <w:spacing w:after="0" w:line="1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Selling and administrative expenses as a percent of revenues increased 290 basis points in the second quarter of 2020 compared to the second quarter of 2019 due primarily to:</w:t>
      </w:r>
    </w:p>
    <w:p>
      <w:pPr>
        <w:spacing w:after="0" w:line="130" w:lineRule="exact"/>
        <w:rPr>
          <w:sz w:val="20"/>
          <w:szCs w:val="20"/>
          <w:color w:val="auto"/>
        </w:rPr>
      </w:pPr>
    </w:p>
    <w:p>
      <w:pPr>
        <w:ind w:left="740" w:right="580" w:hanging="368"/>
        <w:spacing w:after="0" w:line="277"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220 basis point unfavorable impact from expense deleveraging, excluding goodwill and other impairment charges, as we were unable to decrease selling and administrative expenses at the same rate as our revenue decline;</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70 basis point unfavorable impact from the increase in goodwill and other impairment charges;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 partially offset by</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10 basis point favorable impact from acquisitions and dispositions.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Interest and other expenses (income), net is comprised of interest, foreign exchange gains and losses and other miscellaneous non-operating income and expenses, including noncontrolling interests. Interest and other expenses (income), net was expense of $5.8 million in the second quarter of 2020 compared to income of $70.2 million in the second quarter of 2019. Net interest expense decreased $2.8 million in the second quarter of 2020 to $7.3 million from $10.1 million in the second quarter of 2019 primarily due to an increase interest income as a result of higher cash balances. Miscellaneous income decreased to $2.0 million in the second quarter of 2020 from $79.8 million in the second quarter of 2019 primarily due to the $80.4 million gain that was recorded in the second quarter of 2019 from the acquisition of Manpower Switzerland and decrease in noncontrolling interest expense as a result of a decrease in earnings in a joint venture in Germany.</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recorded income tax expense on a pre-tax loss resulting in a negative effective rate of 15.4% for the three months ended June 30, 2020, as compared to an income tax expense on pre-tax earnings resulting in an effective rate of 36.7% for the three months ended June 30, 2019. The 2020 rate was negative due to a pre-tax loss that primarily resulted from the impact from the goodwill impairment charge, related to our Germany reporting unit, which was non-deductible. The 2020 rate was also unfavorably impacted by the relatively low level and mix of pre-tax (losses) earnings, tax losses in certain countries for which we did not recognize a corresponding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ind w:right="40"/>
        <w:spacing w:after="0" w:line="255" w:lineRule="auto"/>
        <w:rPr>
          <w:sz w:val="20"/>
          <w:szCs w:val="20"/>
          <w:color w:val="auto"/>
        </w:rPr>
      </w:pPr>
      <w:r>
        <w:rPr>
          <w:rFonts w:ascii="Arial" w:cs="Arial" w:eastAsia="Arial" w:hAnsi="Arial"/>
          <w:sz w:val="18"/>
          <w:szCs w:val="18"/>
          <w:color w:val="auto"/>
        </w:rPr>
        <w:t>tax benefit due to valuation allowances, and the French business tax. The French business tax had a more significant unfavorable impact in the quarter due to French pre-tax earnings decreasing at a greater rate than revenues, which is the primary basis for the tax calculation. The negative effective tax rate of 15.4% for the three months ended June 30, 2020 was significantly different than the United States Federal statutory rate of 21% primarily due to the factors noted above. We compute our quarterly effective tax rate in part based upon an estimate of projected annual earnings before income taxes. The COVID-19 crisis has created uncertainty in predicting future earnings before income taxes and its impact to the second quarter of 2020 along with future quarters quarterly effective tax rates may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Net (loss) earnings per share - diluted was a loss of $1.11 in the second quarter of 2020 compared to earnings of $2.11 in the second quarter of</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2019. Foreign currency exchange rates unfavorably impacted net (loss) earnings per share - diluted by approximately $0.02 per share in the second quarter of 2020. Goodwill and other impairment charges recorded in the second quarter of 2020 and 2019 negatively impacted net earnings per share - diluted by approximately $1.23 and $1.26 per share in the second quarter of 2020 and 2019, respectively. The gain from the acquisition of Manpower Switzerland recorded in the second quarter of 2019 positively impacted net earnings per share – diluted by approximately $1.32 per share in the second quarter of 2019.</w:t>
      </w:r>
    </w:p>
    <w:p>
      <w:pPr>
        <w:spacing w:after="0" w:line="121"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Weighted average shares - diluted decreased to 58.2 million in the second quarter of 2020 from 60.4 million in the second quarter of 2019. This decrease was due to the impact of share repurchases completed since the second quarter of 2019 and the full weighting of the repurchases completed in the second quarter of 2019, partially offset by shares issued as a result of exercises and vesting of share-based awards since the second quarter of 2019.</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Results – Six Months Ended June 30, 2020 and 2019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32"/>
        </w:trPr>
        <w:tc>
          <w:tcPr>
            <w:tcW w:w="4580" w:type="dxa"/>
            <w:vAlign w:val="bottom"/>
            <w:tcBorders>
              <w:top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Variance</w:t>
            </w:r>
          </w:p>
        </w:tc>
        <w:tc>
          <w:tcPr>
            <w:tcW w:w="1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8,361.3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10,418.0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7,060.6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8,742.8</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1,300.7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1,675.2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29"/>
        </w:trPr>
        <w:tc>
          <w:tcPr>
            <w:tcW w:w="558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8"/>
              </w:rPr>
              <w:t>Selling and administrative expenses, excluding goodwill impairment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1,246.2</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1,374.9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Goodwill impairment charges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1,438.9</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Operating (loss) profit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N/A</w:t>
            </w:r>
          </w:p>
        </w:tc>
        <w:tc>
          <w:tcPr>
            <w:tcW w:w="1320" w:type="dxa"/>
            <w:vAlign w:val="bottom"/>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(loss) profit margin</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-0.1%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expenses (income), net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gridSpan w:val="2"/>
          </w:tcPr>
          <w:p>
            <w:pPr>
              <w:jc w:val="right"/>
              <w:ind w:right="32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(Loss) earnings before income taxes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113.8</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-62.4%</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38.6%</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(loss) earnings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CFF0FC"/>
            </w:tcBorders>
            <w:gridSpan w:val="2"/>
          </w:tcPr>
          <w:p>
            <w:pPr>
              <w:jc w:val="right"/>
              <w:ind w:right="3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CFF0FC"/>
            </w:tcBorders>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earnings per share – diluted</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CFF0FC"/>
            </w:tcBorders>
            <w:shd w:val="clear" w:color="auto" w:fill="CFF0FC"/>
          </w:tcPr>
          <w:p>
            <w:pPr>
              <w:jc w:val="right"/>
              <w:ind w:right="137"/>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The year-over-year decrease in revenues from services of 19.7% (-17.3% in constant currency and -16.6% in organic constant currency) was attributed to:</w:t>
      </w:r>
    </w:p>
    <w:p>
      <w:pPr>
        <w:spacing w:after="0" w:line="221" w:lineRule="exact"/>
        <w:rPr>
          <w:sz w:val="20"/>
          <w:szCs w:val="20"/>
          <w:color w:val="auto"/>
        </w:rPr>
      </w:pPr>
    </w:p>
    <w:p>
      <w:pPr>
        <w:ind w:left="740" w:right="40" w:hanging="368"/>
        <w:spacing w:after="0" w:line="255" w:lineRule="auto"/>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revenue decrease in Southern Europe of 24.2% (-22.6% in constant currency; -24.6% in organic constant currency). This included a revenue decrease in France of 33.0% (-31.3% in constant currency), which was primarily due to a decrease in our Manpower staffing services and a 28.9% decrease (-27.1% in constant currency) in the permanent recruitment business, both due to the impact of the COVID-19 crisis. The decrease also includes a decrease in Italy of 20.6% (-18.6% in constant currency), which was primarily due to the decreased demand for our Manpower staffing services and a 37.4% decrease (-35.7% in constant currency) in the permanent recruitment business, both due to the impact of the COVID-19 crisis;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ind w:left="740" w:right="20" w:hanging="368"/>
        <w:spacing w:after="0" w:line="257"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services in most of our markets within Northern Europe, where revenues decreased 19.2% (-16.0% in constant currency; -15.8% in organic constant currency), primarily due to a decrease in our Manpower business and a 31.7% decrease (-29.3% in constant currency) in the permanent recruitment business as a result of the impact of the COVID-19 crisis. We experienced revenue declines in the United Kingdom, Germany, the Netherlands, the Nordics, and Belgium of 13.2%, 25.2%, 23.5%, 21.7% and 28.9%, respectively (-11.0%, -23.3%, -21.5%, -15.4%, and -27.1%, respectively, in constant currency);</w:t>
      </w:r>
    </w:p>
    <w:p>
      <w:pPr>
        <w:spacing w:after="0" w:line="147" w:lineRule="exact"/>
        <w:rPr>
          <w:rFonts w:ascii="Arial" w:cs="Arial" w:eastAsia="Arial" w:hAnsi="Arial"/>
          <w:sz w:val="18"/>
          <w:szCs w:val="18"/>
          <w:color w:val="auto"/>
        </w:rPr>
      </w:pPr>
    </w:p>
    <w:p>
      <w:pPr>
        <w:ind w:left="740" w:right="140" w:hanging="368"/>
        <w:spacing w:after="0" w:line="286"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revenue decrease in the United States of 11.7% (-14.1% on an organic basis) primarily driven by a decline in demand for our Manpower staffing services and a 13.2% decrease in the permanent recruitment business, both due to the impact of the COVID-19 crisis, partially offset by an increase in our Talent Solutions business, primarily within our MSP offering and outplacement services;</w:t>
      </w:r>
    </w:p>
    <w:p>
      <w:pPr>
        <w:spacing w:after="0" w:line="124" w:lineRule="exact"/>
        <w:rPr>
          <w:rFonts w:ascii="Arial" w:cs="Arial" w:eastAsia="Arial" w:hAnsi="Arial"/>
          <w:sz w:val="17"/>
          <w:szCs w:val="17"/>
          <w:color w:val="auto"/>
        </w:rPr>
      </w:pPr>
    </w:p>
    <w:p>
      <w:pPr>
        <w:ind w:left="740" w:hanging="368"/>
        <w:spacing w:after="0" w:line="263"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revenue decrease in APME of 18.1% (-16.6% in constant currency; -1.1% in organic constant currency) due to the deconsolidation of ManpowerGroup Greater China Limited in July 2019 (the “Deconsolidation”), partially offset by an increase in revenues in Japan and an increase in demand for our Talent-Based Outsourcing services within the Manpower business; and</w:t>
      </w:r>
    </w:p>
    <w:p>
      <w:pPr>
        <w:spacing w:after="0" w:line="143" w:lineRule="exact"/>
        <w:rPr>
          <w:rFonts w:ascii="Arial" w:cs="Arial" w:eastAsia="Arial" w:hAnsi="Arial"/>
          <w:sz w:val="18"/>
          <w:szCs w:val="18"/>
          <w:color w:val="auto"/>
        </w:rPr>
      </w:pPr>
    </w:p>
    <w:p>
      <w:pPr>
        <w:ind w:left="740" w:hanging="368"/>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2.4% decrease due to the impact of changes in currency exchange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50 basis point decrease in gross profit margin was primarily attributed to:</w:t>
      </w:r>
    </w:p>
    <w:p>
      <w:pPr>
        <w:spacing w:after="0" w:line="185" w:lineRule="exact"/>
        <w:rPr>
          <w:sz w:val="20"/>
          <w:szCs w:val="20"/>
          <w:color w:val="auto"/>
        </w:rPr>
      </w:pPr>
    </w:p>
    <w:p>
      <w:pPr>
        <w:ind w:left="7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30 basis point unfavorable impact due to the decrease in our permanent recruitment business of 29.5% (-27.4% in constant currency and -22.5% in organic constant currency);</w:t>
      </w:r>
    </w:p>
    <w:p>
      <w:pPr>
        <w:spacing w:after="0" w:line="129" w:lineRule="exact"/>
        <w:rPr>
          <w:rFonts w:ascii="Arial" w:cs="Arial" w:eastAsia="Arial" w:hAnsi="Arial"/>
          <w:sz w:val="18"/>
          <w:szCs w:val="18"/>
          <w:color w:val="auto"/>
        </w:rPr>
      </w:pPr>
    </w:p>
    <w:p>
      <w:pPr>
        <w:ind w:left="740" w:right="120" w:hanging="368"/>
        <w:spacing w:after="0" w:line="25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 basis point unfavorable impact from a deterioration in our staffing/interim margin in the Americas, Southern Europe and Northern Europe due to the higher mix of our lower-margin enterprise client business and higher rates of sickness and absenteeism in certain countries and increased direct costs associated with early termination of client contracts during the COVID-19 crisis, partially offset by reduced direct costs in certain countries due to government crisis response programs and our execution of various bill/pay yield initiatives due to the COVID-19 crisis; and</w:t>
      </w:r>
    </w:p>
    <w:p>
      <w:pPr>
        <w:spacing w:after="0" w:line="147"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10 basis point unfavorable impact due to the margin decrease in our Talent Based Outsourcing business primarily related to the lower utilization of consultants in Germany.</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8.8% decrease in selling and administrative expenses in the first half of 2020 (-6.5% in constant currency; -5.2% in organic constant currency) was primarily attributed to:</w:t>
      </w:r>
    </w:p>
    <w:p>
      <w:pPr>
        <w:spacing w:after="0" w:line="143" w:lineRule="exact"/>
        <w:rPr>
          <w:sz w:val="20"/>
          <w:szCs w:val="20"/>
          <w:color w:val="auto"/>
        </w:rPr>
      </w:pPr>
    </w:p>
    <w:p>
      <w:pPr>
        <w:jc w:val="both"/>
        <w:ind w:left="740" w:right="240" w:hanging="368"/>
        <w:spacing w:after="0" w:line="286"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12.8% decrease (-10.5% in constant currency and -9.0% in organic constant currency) in personnel costs due to a reduction of salary-related costs as a result of lower headcount and a decrease in variable incentive costs due to a decline in profitability in most markets, and the benefits related to the transition of full-time equivalent employees onto government temporary unemployment programs;</w:t>
      </w:r>
    </w:p>
    <w:p>
      <w:pPr>
        <w:spacing w:after="0" w:line="124" w:lineRule="exact"/>
        <w:rPr>
          <w:rFonts w:ascii="Arial" w:cs="Arial" w:eastAsia="Arial" w:hAnsi="Arial"/>
          <w:sz w:val="17"/>
          <w:szCs w:val="17"/>
          <w:color w:val="auto"/>
        </w:rPr>
      </w:pPr>
    </w:p>
    <w:p>
      <w:pPr>
        <w:ind w:left="740" w:right="380" w:hanging="368"/>
        <w:spacing w:after="0" w:line="3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6.0% decrease (-3.6% in constant currency and -2.4% in organic constant currency) in non-personnel related costs, excluding goodwill and other impairment charges and restructuring costs, due to cost management actions taken across all segments as a result of revenue declines;</w:t>
      </w:r>
    </w:p>
    <w:p>
      <w:pPr>
        <w:spacing w:after="0" w:line="83" w:lineRule="exact"/>
        <w:rPr>
          <w:rFonts w:ascii="Arial" w:cs="Arial" w:eastAsia="Arial" w:hAnsi="Arial"/>
          <w:sz w:val="16"/>
          <w:szCs w:val="16"/>
          <w:color w:val="auto"/>
        </w:rPr>
      </w:pPr>
    </w:p>
    <w:p>
      <w:pPr>
        <w:ind w:left="740" w:hanging="368"/>
        <w:spacing w:after="0"/>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restructuring costs of $48.2 million incurred in the first half of 2020 compared to $39.8 million incurred in the first half of 2019;</w:t>
      </w:r>
    </w:p>
    <w:p>
      <w:pPr>
        <w:spacing w:after="0" w:line="184" w:lineRule="exact"/>
        <w:rPr>
          <w:rFonts w:ascii="Arial" w:cs="Arial" w:eastAsia="Arial" w:hAnsi="Arial"/>
          <w:sz w:val="18"/>
          <w:szCs w:val="18"/>
          <w:color w:val="auto"/>
        </w:rPr>
      </w:pPr>
    </w:p>
    <w:p>
      <w:pPr>
        <w:jc w:val="center"/>
        <w:ind w:left="5540" w:right="220" w:hanging="5168"/>
        <w:spacing w:after="0" w:line="512" w:lineRule="auto"/>
        <w:tabs>
          <w:tab w:leader="none" w:pos="7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goodwill and other impairment charges to $72.8 million in the first half of 2020 from $65.6 million in the first half of 2019; and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ind w:left="740" w:right="180" w:hanging="368"/>
        <w:spacing w:after="0" w:line="27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$16.3 million incurred as a result of the franchise acquisitions in the United States in August and October 2019; partially offset by</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2.3% decrease due to the impact of changes in currency exchange rates;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reduction in recurring selling and administrative costs of $36.5 million as a result of the Deconsolidation in July 2019.</w:t>
      </w:r>
    </w:p>
    <w:p>
      <w:pPr>
        <w:spacing w:after="0" w:line="18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Selling and administrative expenses as a percent of revenues increased 190 basis points in the first half of 2020 compared to the first half of 2019 due primarily to:</w:t>
      </w:r>
    </w:p>
    <w:p>
      <w:pPr>
        <w:spacing w:after="0" w:line="143" w:lineRule="exact"/>
        <w:rPr>
          <w:sz w:val="20"/>
          <w:szCs w:val="20"/>
          <w:color w:val="auto"/>
        </w:rPr>
      </w:pPr>
    </w:p>
    <w:p>
      <w:pPr>
        <w:ind w:left="740" w:right="580" w:hanging="368"/>
        <w:spacing w:after="0" w:line="277" w:lineRule="auto"/>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130 basis point unfavorable impact from expense deleveraging, excluding goodwill and other impairment charges, as we were unable to decrease selling and administrative expenses at the same rate as our revenue decline;</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30 basis point unfavorable impact from the increase in goodwill and other impairment charges;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20 basis point unfavorable impact from the increase in restructuring costs in the first half of 2020 compared to 2019;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10 basis point unfavorable impact from changes in currency exchange rates.</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Interest and other expenses (income), net is comprised of interest, foreign exchange gains and losses and other miscellaneous non-operating income and expenses, including noncontrolling interests. Interest and other expenses (income), net was expense of $26.3 million in the first half of 2020 compared to income of $58.3 million in the first half of 2019. Net interest expense decreased $4.1 million in the first half of 2020 to $14.7 million from $18.8 million in the first half of 2019 primarily due to an increase interest income as a result of higher cash balances. Miscellaneous expense was $8 million in the first half of 2020 compared to miscellaneous income of $79.5 million in the first half of 2019. The change is primarily due to the $80.4 million from the acquisition of Manpower Switzerland in the first half of 2019, the pension settlement expense of $10.2 million recorded in the first half of 2020 and the decrease in noncontrolling interest expense as a result of a decrease in earnings in a joint venture in Germany.</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recorded income tax expense on a pre-tax loss resulting in a negative effective rate of 62.4% for the six months ended June 30, 2020, as compared to an income tax expense on pre-tax earnings resulting in an effective rate of 38.6% for the six months ended June 30, 2019. The 2020 rate was negative due to a pre-tax loss that primarily resulted from the impact from the goodwill impairment charge, related to our Germany reporting unit, which was non-deductible. The 2020 rate was also unfavorably impacted by the relatively low level and mix of pre-tax earnings, restructuring costs and tax losses in certain countries for which we did not recognize a corresponding tax benefit due to valuation allowances, and the French business tax. The negative effective tax rate of 62.4% in the first half of 2020 was significantly different than the United States Federal statutory rate of 21% primarily due to the factors noted above, partially offset by a discrete favorable benefit for the successful appeal of a non-United States tax ruling.</w:t>
      </w:r>
    </w:p>
    <w:p>
      <w:pPr>
        <w:spacing w:after="0" w:line="12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Net (loss) earnings per share - diluted was a loss of $1.07 in the six months ended June 30, 2020 compared to earnings of $2.98 in the six months ended June 30, 2019. Foreign currency exchange rates unfavorably impacted net (loss) earnings per share - diluted by approximately $0.05 per share in the first half of 2020. Restructuring costs recorded in the six months ended June 30, 2020 and 2019 negatively impacted net (loss) earnings per share – diluted by approximately $0.68 and $0.52 per share, net of tax, in the six months ended June 30, 2020 and 2019, respectively. Goodwill and other impairment charges recorded in the first half of 2020 and 2019 negatively impacted net earnings per share - diluted by approximately $1.22 and $1.26 per share in the first half of 2020 and 2019, respectively. The pension settlement expense recorded in the six months ended June 30, 2020 negatively impacted net loss per share – diluted by approximately $0.11, net of tax, in the six months ended June 30, 2020. The gain from the acquisition of Manpower Switzerland recorded in the first half of 2019 positively impacted net earnings per share – diluted by approximately $1.32 per share in the first half of 2019.</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Weighted average shares - diluted decreased to 58.5 million in the first half of 2020 from 60.7 million in the first half of 2019. This decrease was due to the impact of share repurchases completed since the first half of 2019 and the full weighting of the repurchases completed in the first half of 2019, partially offset by shares issued as a result of exercises and vesting of share-based awards since the first half of 2019.</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the Americas, revenues from services decreased 21.7% (-16.7% in constant currency; -17.9% in organic constant currency) in the second quarter of 2020 compared to 2019. In the United States, revenues from services decreased 21.0% (-23.0% on an organic basis) in the second quarter of 2020 compared to 2019, primarily driven by decreased demand for our Manpower staffing services and a decrease in our permanent recruitment business of 34.6%, all due to the impacts of the COVID-19 crisis. These decreases in the United States were partially offset by increased demand for our MSP offering and outplacement services. Our RPO business in the United States has experienced significant client hiring freezes in the quarter as a result of the COVID-19 crisis. In Other Americas, revenues from services decreased 22.8% (-10.0% in constant currency) in the second quarter of 2020 compared to 2019. This decline was driven by decreases in Mexico, Canada, Argentina, Peru, Colombia and Brazil of 26.4%, 7.6%, 10.1%, 31.3%, 47.0% and 27.4%, respectively (-10.3%, -4.3%, increase of 38.7%, -29.1%, -37.1% and -0.5%, respectively, in constant currency). The constant currency increase in Argentina was primarily due to inflation.</w:t>
      </w:r>
    </w:p>
    <w:p>
      <w:pPr>
        <w:spacing w:after="0" w:line="15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the Americas, revenues from services decreased 12.0% (-7.9% in constant currency, -9.4% in organic constant currency) in the six months ended June 30, 2020 compared to 2019. In the United States, revenues from services decreased 11.7% (-14.1% on an organic basis) in the six months ended June 30, 2020 compared to 2019, primarily driven by decreased demand for our Manpower staffing services and a decrease in our permanent recruitment business of 13.2%, both due to the impacts of the COVID-19 crisis. These decreases in the United States were partially offset by increased demand for our MSP offering, mostly in the first quarter of 2020, and outplacement services. In Other Americas, revenues from services decreased 12.4% (-2.0% in constant currency) in the six months ended June 30, 2020 compared to 2019. This decline was driven by decreases in Mexico, Canada, Argentina, Peru, Colombia and Brazil of 14.9%, 0.3%, 7.6%, 11.3%, 29.6% and 25.6%, respectively (-5.3%, increase of 1.9%, increase of 44.2%, -8.9%, -19.2% and -5.6%, respectively, in constant currency). The constant currency increase in Argentina was primarily due to inflation.</w:t>
      </w:r>
    </w:p>
    <w:p>
      <w:pPr>
        <w:spacing w:after="0" w:line="13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After adjusting for billing days, the United States experienced monthly organic year-over-year revenue declines of 24% in April, 22% in May, and 23% in June. In July 2020, the United States experienced an organic year-over-year revenue decline of approximately 14%. It is uncertain if additional COVID-19 related restrictions will be introduced in different parts of the United States, and how those developments will impact our revenue trends.</w:t>
      </w:r>
    </w:p>
    <w:p>
      <w:pPr>
        <w:spacing w:after="0" w:line="10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Gross profit margin increased in the second quarter of 2020 compared to 2019 primarily due to gross profit margin increase in the United States from our higher margin MSP offering and outplacement services. This increase was partially offset by the decrease in our permanent recruitment business of 37.9% (-36.5% in constant currency) and a decline in the staffing/interim margin due to client mix changes, as a higher percentage of revenues came from our lower margin enterprise clients. Gross profit margin was flat for the six months ended June 30, 2020 compared to 2019 as the increases in our higher margin MSP offering and outplacement services were offset by the decrease in our permanent recruitment business of 16.3% (-15.0% in constant currency) and a decline in the staffing/interim margin due to client mix changes, as a higher percentage of our revenues came from our lower margin enterprise clients.</w:t>
      </w:r>
    </w:p>
    <w:p>
      <w:pPr>
        <w:spacing w:after="0" w:line="15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 the second quarter of 2020, selling and administrative expenses decreased 6.2% (-2.9% in constant currency and -4.0% in organic constant currency) primarily due to the decrease in salary-related costs, because of lower headcount, and discretionary expenses. These decreases were partially offset by the impairment charge of $6.0 million recorded in the United States related to capitalized software and the additional recurring selling and administrative costs incurred as a result of the franchise acquisitions in the United States in August and October 2019. Selling and administrative expenses increased 0.1%</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(2.9% in constant currency and 1.6% in organic constant currency) in the six months ended June 30, 2020 compared to 2019, primarily due to the software impairment charge in the United States, the increase in restructuring costs to $12.8 million in the first half of 2020 compared to $9.8 million in the first half of 2019, a bad debt expense and a state sales tax related charge incurred in the first half of 2020, and the additional recurring selling and administrative costs incurred as a result of the franchise acquisitions in the United States. These increases were partially offset by decreases in salary-related costs, due to lower headcount, and discretionary expenses.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Unit Profit (“OUP”) margin in the Americas was 2.4% and 5.2% for the second quarter of 2020 and 2019, respectively. In the United States, OUP margin decreased to 1.8% in the second quarter of 2020 from 5.8% in 2019. The margin decrease in 2020 in the United States was primarily due to the software impairment charge and expense deleveraging, as we were unable to decrease expenses at the same rate as our revenue decline. These decreases were partially offset by the increase in the gross profit margin.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ind w:right="80"/>
        <w:spacing w:after="0" w:line="277" w:lineRule="auto"/>
        <w:rPr>
          <w:sz w:val="20"/>
          <w:szCs w:val="20"/>
          <w:color w:val="auto"/>
        </w:rPr>
      </w:pPr>
      <w:r>
        <w:rPr>
          <w:rFonts w:ascii="Arial" w:cs="Arial" w:eastAsia="Arial" w:hAnsi="Arial"/>
          <w:sz w:val="18"/>
          <w:szCs w:val="18"/>
          <w:color w:val="auto"/>
        </w:rPr>
        <w:t>Americas OUP margin decreased to 3.3% in the second quarter of 2020 from 4.3% in the second quarter of 2019 due primarily to the decrease in the gross profit margin and expense deleveraging.</w:t>
      </w:r>
    </w:p>
    <w:p>
      <w:pPr>
        <w:spacing w:after="0" w:line="1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OUP margin in the Americas was 2.0% and 4.2% for the six months ended June 30, 2020 and 2019, respectively. In the United States, OUP margin decreased to 1.0% for the six months ended June 30, 2020 from 4.3% in 2019. The margin decrease in 2020 in the United States was primarily due to the software impairment charge, increase in restructuring costs and expense deleveraging. These decreases were partially offset by the increase in the gross profit margin. Other Americas OUP margin decreased to 3.4% for the six months ended June 30, 2020 from 4.0% in 2019 primarily due to a decline in the gross profit margin.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Southern Europe, which includes operations in France and Italy, revenues from services decreased 38.6% (-37.7% in constant currency) in the second quarter of 2020 compared to 2019. In the second quarter of 2020, revenues from services decreased 48.4% (-47.5% in constant currency) in France (which represents 50% of Southern Europe’s revenues) and decreased 31.9% (-30.7% in constant currency) in Italy (which represents 18% of Southern Europe’s revenues). The decrease in France is primarily due to decreased demand for our Manpower staffing services and a 45.6% decrease (-44.6% in constant currency) in the permanent recruitment business, both due to the impact of the COVID-19 crisis. The decrease in Italy was primarily due to the decreased demand for our Manpower staffing services and a 56.2% decrease (-55.4% in constant currency) in the permanent recruitment business, both due to the impact of the COVID-19 crisis. In Other Southern Europe, revenues from services decreased 18.9% (-18.2% in constant currency) during the second quarter of 2020 compared to 2019, due to decreased demand for our Manpower staffing services and a decrease in our permanent recruitment business of 53.4% (-52.6% in constant currency), both due to the impact of the COVID-19 crisis.</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from services decreased 24.2% (-22.6% in constant currency) in the six months ended June 30, 2020 compared to 2019. In the six months ended June 30, 2020, revenues from services decreased 33.0% (-31.3% in constant currency) in France and decreased 20.6% (-18.6% in constant currency) in Italy. The decrease in France is due to decreased demand for our Manpower staffing services and a 28.9% (-27.1% in constant currency) decrease in our permanent recruitment business, both due to the impact of the COVID-19 crisis. The decrease in Italy was primarily due to decreased demand for our Manpower staffing services and a 37.4% (-35.7% in constant currency) decrease in our permanent recruitment business. In Other Southern Europe, revenues from services decreased 3.1% (-2.3% in constant currency) during the six months ended June 30, 2020 compared to 2019, due to decreased demand for our Manpower staffing services and a decrease in our permanent recruitment business of 28.8% (-27.8% in constant currency), both due to the impact of the COVID-19 crisis.</w:t>
      </w:r>
    </w:p>
    <w:p>
      <w:pPr>
        <w:spacing w:after="0" w:line="1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adjusting for billing days, France experienced monthly year-over-year revenue declines of 62% in April, 49% in May, and 33% in June. In July 2020, France has experienced a year-over-year revenue decline of approximately 25%. Although improvement in revenue trends throughout the quarter were steady in France, the rate of improvement in the revenue trend slowed somewhat in July. After adjusting for billing days, Italy experienced monthly year-over-year revenue declines of 41% in April, 31% in May, and 20% in June. In July 2020, Italy has experienced a year-over-year revenue decline of approximately 15%.</w:t>
      </w:r>
    </w:p>
    <w:p>
      <w:pPr>
        <w:spacing w:after="0" w:line="147"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Gross profit margin decreased in both the second quarter and first half of 2020 compared to 2019 primarily due to the decreases of 51.5% and 31.1%, respectively (-50.6% and -29.6% in constant currency, respectively) in the permanent recruitment business and a decrease in the staffing/interim gross profit margins in France and certain countries within Other Southern Europe.</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Selling and administrative expenses decreased 20.9% (-19.6% in constant currency) during the second quarter of 2020 compared to 2019. Selling and administrative expenses decreased 9.6% (-7.7% in constant currency) in the six months ended June 30, 2020 compared to 2019. We took significant actions in France and Italy in March and April to reduce our costs to help offset the materially reduced revenues in the second quarter of 2020. In both France and Italy, we transitioned full-time equivalent employees onto government temporary unemployment programs and other initiatives and eliminated a significant amount of discretionary spend to manage through the COVID-19 crisis. The decrease in selling and administrative expenses in the second quarter and first half of 2020 was primarily due to the decreases in personnel costs, as a result of a reduction in headcount, decrease in variable incentive costs due to a decline in profitability in most markets, and the benefits related to the transition of full-time equivalent employees onto government temporary unemployment programs in certain markets. The decreases are also due to the reduction of our discretionary expenses. The decreases in the first half of 2020 were offset by the increase in restructuring costs to $13.1 million in the first half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2" w:name="page33"/>
    <w:bookmarkEnd w:id="32"/>
    <w:p>
      <w:pPr>
        <w:ind w:right="180"/>
        <w:spacing w:after="0" w:line="277" w:lineRule="auto"/>
        <w:rPr>
          <w:sz w:val="20"/>
          <w:szCs w:val="20"/>
          <w:color w:val="auto"/>
        </w:rPr>
      </w:pPr>
      <w:r>
        <w:rPr>
          <w:rFonts w:ascii="Arial" w:cs="Arial" w:eastAsia="Arial" w:hAnsi="Arial"/>
          <w:sz w:val="18"/>
          <w:szCs w:val="18"/>
          <w:color w:val="auto"/>
        </w:rPr>
        <w:t>2020 compared to $5.4 million in the first half of 2019 and the additional recurring selling and administrative costs from our acquisition of the remaining interest in Manpower Switzerland.</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OUP margin in Southern Europe was 0.8% for the second quarter of 2020 compared to 5.2% for 2019. France experienced a decrease to an operating unit loss of 0.3% for the second quarter of 2020 from an OUP of 5.3% in 2019. In Italy, the OUP margin decreased to 4.1% for the second quarter of 2020 from 7.5% for 2019. The decreases in France and Italy were primarily due to the decline in the gross profit margin and expense deleveraging. Other Southern Europe’s OUP margin decreased to 0.7% for the second quarter of 2020 from 3.1% in 2019, due to the decrease in the gross profit margin and expense deleveraging.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OUP margin in Southern Europe was 1.9% for the six months ended June 30, 2020 compared to 4.7% in 2019. In France, the OUP margin decreased to</w:t>
      </w:r>
    </w:p>
    <w:p>
      <w:pPr>
        <w:spacing w:after="0" w:line="46"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1.9% in the six months ended June 30, 2020 compared to 4.8% in 2019. In Italy, the OUP margin decreased to 4.2% in the six months ended June 30, 2020 compared to 6.7% in 2019. The decreases in France and Italy were primarily due to the decline in the gross profit margin and expense deleveraging. Other Southern Europe’s OUP margin decreased to 0.4% in the six months ended June 30, 2020 compared to 2.8% in 2019, due to the decrease in the gross profit margin, the increase in restructuring costs to $11.5 million in the first half of 2020 from $3.1 million in the first half of 2019, and expense deleveraging.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Northern Europe, which includes operations in the United Kingdom, Germany, the Nordics, the Netherlands and Belgium (comprising 35%, 16%, 22%, 11%, and 7%, respectively, of Northern Europe’s revenues), revenues from services decreased 27.5% (-24.2% in constant currency) in the second quarter of 2020 compared to 2019. We experienced revenue declines in the United Kingdom, Germany, the Nordics, the Netherlands and Belgium of 24.2%, 33.5%, 26.8%, 27.9% and 39.2% (-21.6%, -32.2%, -20.3%, -26.4% and -38.0%, respectively, in constant currency). The Northern Europe revenue decrease is primarily due to reduced demand for our Manpower staffing services, primarily because of the impact of the COVID-19 crisis and reduced demand from very challenging conditions in the manufacturing sector, particularly the automotive sector, in Germany, which did not experience the improvement in the rate of revenue decline as the second quarter progressed that many of our other European markets have experienced. The decrease was also due to a 47.2% decrease (-45.0% in constant currency) in the permanent recruitment business primarily due to the impact of the COVID-19 crisis.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Revenues from services decreased 19.2% (-16.0% in constant currency) in the six months ended June 30, 2020 compared to 2019. We experienced revenue declines in the United Kingdom, Germany, the Nordics, the Netherlands and Belgium of 13.2%, 25.2%, 21.7%, 23.5% and 28.9% (-11.0%, -23.3%, -15.4%, -21.5% and -27.1%, respectively, in constant currency). The Northern Europe revenue decrease is primarily due to reduced demand for our Manpower staffing services and a 31.7% decrease (-29.3% in constant currency) in the permanent recruitment business, both primarily due to the impact of the COVID-19 crisis.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adjusting for billing days, the United Kingdom experienced monthly year-over-year revenue declines of 17% in April, 26% in May, and 23% in June. In July 2020, the United Kingdom has experienced a year-over-year revenue decline of approximately 21%. After adjusting for billing days, Germany experienced monthly year-over-year revenue declines of 33% in April, 32% in May, and 32% in June. In July 2020, Germany has experienced a year-over-year revenue decline of approximately 33%.</w:t>
      </w:r>
    </w:p>
    <w:p>
      <w:pPr>
        <w:spacing w:after="0" w:line="16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Gross profit margin decreased in both the second quarter and first half of 2020 compared to 2019 due to the decreases in our permanent recruitment business for the second quarter and six months ended June 30, 2020 compared to 2019, and the declines in the Experis interim margins due to client mix changes, as a higher percentage of revenues consisted of revenues from our lower margin enterprise clients, and the margin decrease in our Talent Based Outsourcing business primarily related to the lower utilization of consultants in Germany.</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Selling and administrative expenses decreased 22.8% (-19.6% in constant currency) in the second quarter of 2020 compared to 2019. Selling and administrative expenses decreased 14.7% (-11.4% in constant currency) in the six months ended June 30, 2020 compared to 2019. The decreases were primarily due to the decreases in personnel costs, as a result of reductions in headcount, decreases in variable incentive costs due to declines in profitability in most markets, and the benefits related to the transition of full-time equivalent employees onto government temporary unemployment programs in certain markets. The decreases are also due to the decline in office-related expenses driven by a decrease in the number of offices, and a reduction of our discretionary expenses. These decreases were partially offset by the increase in the goodwill impairment charge in Germany of $66.8 million in the second quarter and first half of 2020 compared to $60.2 million in the second quarter and first half of 2019. The decrease in the first half of 2020 was also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partially offset by the increase of restructuring costs to $19.5 million in the first half of 2020 from $18.7 million in the first half of 2019.</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OUP margin for Northern Europe for the second quarter of 2020 decreased to 0.0% compared to 2.1% in 2019. Northern Europe experienced a decrease to an operating unit loss of 0.7% in the six months ended June 30, 2020 from an OUP of 1.1% in the six months ended June 30, 2019. The decreases were primarily due to the declines in the gross profit margins, increase in the goodwill impairment charge, and expense deleveraging. The decrease in the six months ended June 20, 2020 was also due to the increase in restructuring costs.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Revenues from services decreased 20.6% (-19.1% in constant currency and -3.4% in organic constant currency) in the second quarter of 2020 compared to 2019. In Japan (which represents 47% of APME’s revenues), revenues from services increased 11.3% (8.9% in constant currency) due to the increased demand for our staffing/interim services and an increase in our Talent Solutions business, partially offset by a 6.0% decrease (-8.2% in constant currency) in our permanent recruitment business,. In Australia (which represents 16% of APME’s revenues), revenues from services decreased 24.9% (-20.1% in constant currency) due to the decline in demand for our staffing/interim business and the 14.3% (-9.0% in constant currency) decrease in our permanent recruitment business, both due to the impact of the COVID-19 crisis. The revenue decrease in the remaining markets in APME is due to the Deconsolidation, and the decline in demand for our staffing and Talent-Based Outsourcing services within our Manpower business due to the COVID-19 crisis.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from services decreased 18.1% (-16.6% in constant currency and -1.1% in organic constant currency) in the six months ended June 30, 2020 compared to 2019. In Japan, revenues from services increased 10.5% (8.7% in constant currency) due to increased demand for our staffing/interim services, an increase in our Talent Solutions business and the favorable impact of approximately two additional billings days in the first half of 2020 compared to 2019. These increases were partially offset by a 1.0% decrease (-2.7% in constant currency) decrease in our permanent recruitment business. In Australia, revenues from services decreased 27.0% (-21.5% in constant currency) due to the decrease in our staffing/interim revenues, as a result of our decision to exit certain businesses with low-margins to improve profitability and the impact of the COVID-19 crisis, and the 10.4% (-4.0% in constant currency) decline in our permanent recruitment business. The revenue decrease in the remaining markets in APME is due to the Deconsolidation, and the decline in demand for our staffing and Talent-Based Outsourcing services within our Manpower business due to the COVID-19 crisis.</w:t>
      </w:r>
    </w:p>
    <w:p>
      <w:pPr>
        <w:spacing w:after="0" w:line="12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Gross profit margin decreased in both the second quarter and first half of 2020 compared to 2019 due to the decreases in our permanent recruitment business of 41.9% and 35.6%, respectively (-39.8 and -32.8%, respectively, in constant currency; -14.3% and -8.3%, respectively, in organic constant currency), partially offset by the increases in our staffing/interim margins due to the Deconsolidation.</w:t>
      </w:r>
    </w:p>
    <w:p>
      <w:pPr>
        <w:spacing w:after="0" w:line="1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Selling and administrative expenses decreased 18.2% (-16.6% in constant currency; and increase of 6.1% in organic constant currency) in the second quarter of 2020 compared to 2019. Selling and administrative expenses decreased 16.6% (-14.7% in constant currency; and increase of 6.1% in organic constant currency) in the first half of 2020 compared to 2019. These decreases were primarily due to the reduction of recurring selling and administrative costs as a result of the Deconsolidation. The decrease in the first half of 2020 was also due to the decrease of restructuring costs to $2.6 million in the first half of 2020 compared to $4.4 million in the first half of 2019. These decreases in the second quarter and first half of 2020 were partially offset by increases in costs to support the increases in revenues in certain markets</w:t>
      </w:r>
    </w:p>
    <w:p>
      <w:pPr>
        <w:spacing w:after="0" w:line="15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OUP margin for APME decreased to 3.1% in the second quarter of 2020 from 4.1%. OUP margin decreased to 3.0% in the first half of 2020 from 3.5% in 2019. The decreases were due to the declines in the gross profit margins and expense deleveraging. In the first half of 2020, these decreases were partially offset by the decrease in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gridSpan w:val="8"/>
          </w:tcPr>
          <w:p>
            <w:pPr>
              <w:ind w:left="1200"/>
              <w:spacing w:after="0"/>
              <w:rPr>
                <w:sz w:val="20"/>
                <w:szCs w:val="20"/>
                <w:color w:val="auto"/>
              </w:rPr>
            </w:pPr>
            <w:r>
              <w:rPr>
                <w:rFonts w:ascii="Arial" w:cs="Arial" w:eastAsia="Arial" w:hAnsi="Arial"/>
                <w:sz w:val="16"/>
                <w:szCs w:val="16"/>
                <w:b w:val="1"/>
                <w:bCs w:val="1"/>
                <w:color w:val="auto"/>
              </w:rPr>
              <w:t>3 Months Ended June 30, 2020 Compared to 2019</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00" w:type="dxa"/>
            <w:vAlign w:val="bottom"/>
          </w:tcPr>
          <w:p>
            <w:pPr>
              <w:spacing w:after="0"/>
              <w:rPr>
                <w:sz w:val="17"/>
                <w:szCs w:val="17"/>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60" w:type="dxa"/>
            <w:vAlign w:val="bottom"/>
          </w:tcPr>
          <w:p>
            <w:pPr>
              <w:spacing w:after="0"/>
              <w:rPr>
                <w:sz w:val="17"/>
                <w:szCs w:val="17"/>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Reported</w:t>
            </w: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40" w:type="dxa"/>
            <w:vAlign w:val="bottom"/>
          </w:tcPr>
          <w:p>
            <w:pPr>
              <w:jc w:val="right"/>
              <w:ind w:right="25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6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0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0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78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10"/>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20"/>
                <w:szCs w:val="20"/>
                <w:color w:val="auto"/>
              </w:rPr>
            </w:pPr>
            <w:r>
              <w:rPr>
                <w:rFonts w:ascii="Arial" w:cs="Arial" w:eastAsia="Arial" w:hAnsi="Arial"/>
                <w:sz w:val="16"/>
                <w:szCs w:val="16"/>
                <w:color w:val="auto"/>
              </w:rPr>
              <w:t>Americas:</w:t>
            </w: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515.9</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320.7</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w:t>
            </w:r>
          </w:p>
        </w:tc>
        <w:tc>
          <w:tcPr>
            <w:tcW w:w="6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836.6</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6"/>
        </w:trPr>
        <w:tc>
          <w:tcPr>
            <w:tcW w:w="2600" w:type="dxa"/>
            <w:vAlign w:val="bottom"/>
          </w:tcPr>
          <w:p>
            <w:pPr>
              <w:spacing w:after="0"/>
              <w:rPr>
                <w:sz w:val="20"/>
                <w:szCs w:val="20"/>
                <w:color w:val="auto"/>
              </w:rPr>
            </w:pPr>
            <w:r>
              <w:rPr>
                <w:rFonts w:ascii="Arial" w:cs="Arial" w:eastAsia="Arial" w:hAnsi="Arial"/>
                <w:sz w:val="16"/>
                <w:szCs w:val="16"/>
                <w:color w:val="auto"/>
              </w:rPr>
              <w:t>Southern Europe: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736.0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2600" w:type="dxa"/>
            <w:vAlign w:val="bottom"/>
          </w:tcPr>
          <w:p>
            <w:pPr>
              <w:ind w:left="260"/>
              <w:spacing w:after="0"/>
              <w:rPr>
                <w:sz w:val="20"/>
                <w:szCs w:val="20"/>
                <w:color w:val="auto"/>
              </w:rPr>
            </w:pPr>
            <w:r>
              <w:rPr>
                <w:rFonts w:ascii="Arial" w:cs="Arial" w:eastAsia="Arial" w:hAnsi="Arial"/>
                <w:sz w:val="16"/>
                <w:szCs w:val="16"/>
                <w:color w:val="auto"/>
              </w:rPr>
              <w:t>Italy</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268.5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(31.9)%</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466.3</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6"/>
        </w:trPr>
        <w:tc>
          <w:tcPr>
            <w:tcW w:w="26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1,470.8</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(38.6)%</w:t>
            </w:r>
          </w:p>
        </w:tc>
        <w:tc>
          <w:tcPr>
            <w:tcW w:w="8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(0.9)%</w:t>
            </w:r>
          </w:p>
        </w:tc>
        <w:tc>
          <w:tcPr>
            <w:tcW w:w="8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(37.7)%</w:t>
            </w:r>
          </w:p>
        </w:tc>
        <w:tc>
          <w:tcPr>
            <w:tcW w:w="60" w:type="dxa"/>
            <w:vAlign w:val="bottom"/>
            <w:tcBorders>
              <w:bottom w:val="single" w:sz="8" w:color="CFF0FC"/>
            </w:tcBorders>
          </w:tcPr>
          <w:p>
            <w:pPr>
              <w:spacing w:after="0"/>
              <w:rPr>
                <w:sz w:val="17"/>
                <w:szCs w:val="17"/>
                <w:color w:val="auto"/>
              </w:rPr>
            </w:pPr>
          </w:p>
        </w:tc>
        <w:tc>
          <w:tcPr>
            <w:tcW w:w="178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3"/>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865.7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w:t>
            </w:r>
          </w:p>
        </w:tc>
        <w:tc>
          <w:tcPr>
            <w:tcW w:w="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13"/>
        </w:trPr>
        <w:tc>
          <w:tcPr>
            <w:tcW w:w="2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569.1</w:t>
            </w:r>
          </w:p>
        </w:tc>
        <w:tc>
          <w:tcPr>
            <w:tcW w:w="1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(19.1)%</w:t>
            </w:r>
          </w:p>
        </w:tc>
        <w:tc>
          <w:tcPr>
            <w:tcW w:w="6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(15.7)%</w:t>
            </w:r>
          </w:p>
        </w:tc>
        <w:tc>
          <w:tcPr>
            <w:tcW w:w="6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2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3,742.2</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8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0"/>
        </w:trPr>
        <w:tc>
          <w:tcPr>
            <w:tcW w:w="260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(31.9)%</w:t>
            </w:r>
          </w:p>
        </w:tc>
        <w:tc>
          <w:tcPr>
            <w:tcW w:w="6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line="20" w:lineRule="exact"/>
              <w:rPr>
                <w:sz w:val="1"/>
                <w:szCs w:val="1"/>
                <w:color w:val="auto"/>
              </w:rPr>
            </w:pPr>
          </w:p>
        </w:tc>
      </w:tr>
      <w:tr>
        <w:trPr>
          <w:trHeight w:val="197"/>
        </w:trPr>
        <w:tc>
          <w:tcPr>
            <w:tcW w:w="2600" w:type="dxa"/>
            <w:vAlign w:val="bottom"/>
            <w:vMerge w:val="continue"/>
          </w:tcPr>
          <w:p>
            <w:pPr>
              <w:spacing w:after="0"/>
              <w:rPr>
                <w:sz w:val="17"/>
                <w:szCs w:val="17"/>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576.7</w:t>
            </w:r>
          </w:p>
        </w:tc>
        <w:tc>
          <w:tcPr>
            <w:tcW w:w="14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00" w:type="dxa"/>
            <w:vAlign w:val="bottom"/>
            <w:shd w:val="clear" w:color="auto" w:fill="CFF0FC"/>
          </w:tcPr>
          <w:p>
            <w:pPr>
              <w:spacing w:after="0"/>
              <w:rPr>
                <w:sz w:val="20"/>
                <w:szCs w:val="20"/>
                <w:color w:val="auto"/>
              </w:rPr>
            </w:pPr>
            <w:r>
              <w:rPr>
                <w:rFonts w:ascii="Arial" w:cs="Arial" w:eastAsia="Arial" w:hAnsi="Arial"/>
                <w:sz w:val="16"/>
                <w:szCs w:val="16"/>
                <w:color w:val="auto"/>
                <w:w w:val="99"/>
              </w:rPr>
              <w:t>Selling and Administrative Expenses</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626.7</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(15.3)%</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6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6"/>
                <w:szCs w:val="16"/>
                <w:color w:val="auto"/>
              </w:rPr>
              <w:t>Operating Loss</w:t>
            </w: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60" w:type="dxa"/>
            <w:vAlign w:val="bottom"/>
          </w:tcPr>
          <w:p>
            <w:pPr>
              <w:spacing w:after="0"/>
              <w:rPr>
                <w:sz w:val="18"/>
                <w:szCs w:val="18"/>
                <w:color w:val="auto"/>
              </w:rPr>
            </w:pPr>
          </w:p>
        </w:tc>
        <w:tc>
          <w:tcPr>
            <w:tcW w:w="142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840"/>
              <w:spacing w:after="0"/>
              <w:rPr>
                <w:sz w:val="20"/>
                <w:szCs w:val="20"/>
                <w:color w:val="auto"/>
              </w:rPr>
            </w:pPr>
            <w:r>
              <w:rPr>
                <w:rFonts w:ascii="Arial" w:cs="Arial" w:eastAsia="Arial" w:hAnsi="Arial"/>
                <w:sz w:val="16"/>
                <w:szCs w:val="16"/>
                <w:color w:val="auto"/>
              </w:rPr>
              <w:t>N/A</w:t>
            </w:r>
          </w:p>
        </w:tc>
        <w:tc>
          <w:tcPr>
            <w:tcW w:w="1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millions for the three months ended June 30,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3"/>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60" w:type="dxa"/>
            <w:vAlign w:val="bottom"/>
            <w:tcBorders>
              <w:bottom w:val="single" w:sz="8" w:color="auto"/>
            </w:tcBorders>
            <w:gridSpan w:val="8"/>
          </w:tcPr>
          <w:p>
            <w:pPr>
              <w:ind w:left="1200"/>
              <w:spacing w:after="0"/>
              <w:rPr>
                <w:sz w:val="20"/>
                <w:szCs w:val="20"/>
                <w:color w:val="auto"/>
              </w:rPr>
            </w:pPr>
            <w:r>
              <w:rPr>
                <w:rFonts w:ascii="Arial" w:cs="Arial" w:eastAsia="Arial" w:hAnsi="Arial"/>
                <w:sz w:val="16"/>
                <w:szCs w:val="16"/>
                <w:b w:val="1"/>
                <w:bCs w:val="1"/>
                <w:color w:val="auto"/>
              </w:rPr>
              <w:t>6 Months Ended June 30, 2020 Compared to 2019</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color w:val="auto"/>
                <w:w w:val="97"/>
              </w:rPr>
              <w:t>Impact of</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Acquisitions</w:t>
            </w:r>
          </w:p>
        </w:tc>
        <w:tc>
          <w:tcPr>
            <w:tcW w:w="1320" w:type="dxa"/>
            <w:vAlign w:val="bottom"/>
          </w:tcPr>
          <w:p>
            <w:pPr>
              <w:jc w:val="center"/>
              <w:ind w:right="11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Constant</w:t>
            </w: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and Dispositions</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10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Reported</w:t>
            </w:r>
          </w:p>
        </w:tc>
        <w:tc>
          <w:tcPr>
            <w:tcW w:w="1420" w:type="dxa"/>
            <w:vAlign w:val="bottom"/>
            <w:gridSpan w:val="2"/>
          </w:tcPr>
          <w:p>
            <w:pPr>
              <w:ind w:left="240"/>
              <w:spacing w:after="0"/>
              <w:rPr>
                <w:sz w:val="20"/>
                <w:szCs w:val="20"/>
                <w:color w:val="auto"/>
              </w:rPr>
            </w:pPr>
            <w:r>
              <w:rPr>
                <w:rFonts w:ascii="Arial" w:cs="Arial" w:eastAsia="Arial" w:hAnsi="Arial"/>
                <w:sz w:val="16"/>
                <w:szCs w:val="16"/>
                <w:color w:val="auto"/>
              </w:rPr>
              <w:t>Impact of</w:t>
            </w:r>
          </w:p>
        </w:tc>
        <w:tc>
          <w:tcPr>
            <w:tcW w:w="1420" w:type="dxa"/>
            <w:vAlign w:val="bottom"/>
            <w:gridSpan w:val="2"/>
          </w:tcPr>
          <w:p>
            <w:pPr>
              <w:ind w:left="240"/>
              <w:spacing w:after="0"/>
              <w:rPr>
                <w:sz w:val="20"/>
                <w:szCs w:val="20"/>
                <w:color w:val="auto"/>
              </w:rPr>
            </w:pPr>
            <w:r>
              <w:rPr>
                <w:rFonts w:ascii="Arial" w:cs="Arial" w:eastAsia="Arial" w:hAnsi="Arial"/>
                <w:sz w:val="16"/>
                <w:szCs w:val="16"/>
                <w:color w:val="auto"/>
              </w:rPr>
              <w:t>Currency</w:t>
            </w:r>
          </w:p>
        </w:tc>
        <w:tc>
          <w:tcPr>
            <w:tcW w:w="180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(In Constant</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5"/>
              </w:rPr>
              <w:t>Currency</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100" w:type="dxa"/>
            <w:vAlign w:val="bottom"/>
          </w:tcPr>
          <w:p>
            <w:pPr>
              <w:spacing w:after="0"/>
              <w:rPr>
                <w:sz w:val="18"/>
                <w:szCs w:val="18"/>
                <w:color w:val="auto"/>
              </w:rPr>
            </w:pPr>
          </w:p>
        </w:tc>
        <w:tc>
          <w:tcPr>
            <w:tcW w:w="142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Variance</w:t>
            </w: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color w:val="auto"/>
                <w:w w:val="93"/>
              </w:rPr>
              <w:t>Currency)</w:t>
            </w:r>
          </w:p>
        </w:tc>
        <w:tc>
          <w:tcPr>
            <w:tcW w:w="1320" w:type="dxa"/>
            <w:vAlign w:val="bottom"/>
          </w:tcPr>
          <w:p>
            <w:pPr>
              <w:jc w:val="center"/>
              <w:ind w:right="139"/>
              <w:spacing w:after="0"/>
              <w:rPr>
                <w:sz w:val="20"/>
                <w:szCs w:val="20"/>
                <w:color w:val="auto"/>
              </w:rPr>
            </w:pPr>
            <w:r>
              <w:rPr>
                <w:rFonts w:ascii="Arial" w:cs="Arial" w:eastAsia="Arial" w:hAnsi="Arial"/>
                <w:sz w:val="16"/>
                <w:szCs w:val="16"/>
                <w:color w:val="auto"/>
                <w:w w:val="91"/>
              </w:rPr>
              <w:t>Variance</w:t>
            </w:r>
          </w:p>
        </w:tc>
        <w:tc>
          <w:tcPr>
            <w:tcW w:w="0" w:type="dxa"/>
            <w:vAlign w:val="bottom"/>
          </w:tcPr>
          <w:p>
            <w:pPr>
              <w:spacing w:after="0"/>
              <w:rPr>
                <w:sz w:val="1"/>
                <w:szCs w:val="1"/>
                <w:color w:val="auto"/>
              </w:rPr>
            </w:pPr>
          </w:p>
        </w:tc>
      </w:tr>
      <w:tr>
        <w:trPr>
          <w:trHeight w:val="209"/>
        </w:trPr>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1,126.8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720.8</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FF0FC"/>
            </w:tcBorders>
          </w:tcPr>
          <w:p>
            <w:pPr>
              <w:spacing w:after="0"/>
              <w:rPr>
                <w:sz w:val="18"/>
                <w:szCs w:val="18"/>
                <w:color w:val="auto"/>
              </w:rPr>
            </w:pPr>
          </w:p>
        </w:tc>
        <w:tc>
          <w:tcPr>
            <w:tcW w:w="1800" w:type="dxa"/>
            <w:vAlign w:val="bottom"/>
            <w:tcBorders>
              <w:bottom w:val="single" w:sz="8" w:color="CFF0FC"/>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25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1,847.6</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6"/>
                <w:szCs w:val="16"/>
                <w:color w:val="auto"/>
              </w:rPr>
              <w:t>Southern Europe:</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1,829.8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3"/>
        </w:trPr>
        <w:tc>
          <w:tcPr>
            <w:tcW w:w="2540" w:type="dxa"/>
            <w:vAlign w:val="bottom"/>
          </w:tcPr>
          <w:p>
            <w:pPr>
              <w:ind w:left="260"/>
              <w:spacing w:after="0"/>
              <w:rPr>
                <w:sz w:val="20"/>
                <w:szCs w:val="20"/>
                <w:color w:val="auto"/>
              </w:rPr>
            </w:pPr>
            <w:r>
              <w:rPr>
                <w:rFonts w:ascii="Arial" w:cs="Arial" w:eastAsia="Arial" w:hAnsi="Arial"/>
                <w:sz w:val="16"/>
                <w:szCs w:val="16"/>
                <w:color w:val="auto"/>
              </w:rPr>
              <w:t>Italy</w:t>
            </w: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596.2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989.5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3,415.5</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FF0FC"/>
            </w:tcBorders>
          </w:tcPr>
          <w:p>
            <w:pPr>
              <w:spacing w:after="0"/>
              <w:rPr>
                <w:sz w:val="17"/>
                <w:szCs w:val="17"/>
                <w:color w:val="auto"/>
              </w:rPr>
            </w:pPr>
          </w:p>
        </w:tc>
        <w:tc>
          <w:tcPr>
            <w:tcW w:w="16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1,934.2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3"/>
        </w:trPr>
        <w:tc>
          <w:tcPr>
            <w:tcW w:w="2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APME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1,164.0</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FF0FC"/>
            </w:tcBorders>
          </w:tcPr>
          <w:p>
            <w:pPr>
              <w:spacing w:after="0"/>
              <w:rPr>
                <w:sz w:val="18"/>
                <w:szCs w:val="18"/>
                <w:color w:val="auto"/>
              </w:rPr>
            </w:pPr>
          </w:p>
        </w:tc>
        <w:tc>
          <w:tcPr>
            <w:tcW w:w="16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8,361.3</w:t>
            </w:r>
          </w:p>
        </w:tc>
        <w:tc>
          <w:tcPr>
            <w:tcW w:w="1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line="20" w:lineRule="exact"/>
              <w:rPr>
                <w:sz w:val="1"/>
                <w:szCs w:val="1"/>
                <w:color w:val="auto"/>
              </w:rPr>
            </w:pPr>
          </w:p>
        </w:tc>
      </w:tr>
      <w:tr>
        <w:trPr>
          <w:trHeight w:val="196"/>
        </w:trPr>
        <w:tc>
          <w:tcPr>
            <w:tcW w:w="254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1,300.7</w:t>
            </w:r>
          </w:p>
        </w:tc>
        <w:tc>
          <w:tcPr>
            <w:tcW w:w="14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w w:val="97"/>
              </w:rPr>
              <w:t>Selling and Administrative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1,313.0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20"/>
                <w:szCs w:val="20"/>
                <w:color w:val="auto"/>
              </w:rPr>
            </w:pPr>
            <w:r>
              <w:rPr>
                <w:rFonts w:ascii="Arial" w:cs="Arial" w:eastAsia="Arial" w:hAnsi="Arial"/>
                <w:sz w:val="16"/>
                <w:szCs w:val="16"/>
                <w:color w:val="auto"/>
              </w:rPr>
              <w:t>Operating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42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ind w:left="820"/>
              <w:spacing w:after="0"/>
              <w:rPr>
                <w:sz w:val="20"/>
                <w:szCs w:val="20"/>
                <w:color w:val="auto"/>
              </w:rPr>
            </w:pPr>
            <w:r>
              <w:rPr>
                <w:rFonts w:ascii="Arial" w:cs="Arial" w:eastAsia="Arial" w:hAnsi="Arial"/>
                <w:sz w:val="16"/>
                <w:szCs w:val="16"/>
                <w:color w:val="auto"/>
              </w:rPr>
              <w:t>N/A</w:t>
            </w: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7160" w:firstLine="8"/>
        <w:spacing w:after="0" w:line="461" w:lineRule="auto"/>
        <w:tabs>
          <w:tab w:leader="none" w:pos="3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In millions for the six months ended June 30, 2020. </w:t>
      </w:r>
      <w:r>
        <w:rPr>
          <w:rFonts w:ascii="Arial" w:cs="Arial" w:eastAsia="Arial" w:hAnsi="Arial"/>
          <w:sz w:val="18"/>
          <w:szCs w:val="18"/>
          <w:u w:val="single" w:color="auto"/>
          <w:color w:val="auto"/>
        </w:rPr>
        <w:t>Liquidity and Capital Resources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June 30, 2020, we had $1,295.9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provided by operating activities was $596.1 million and $277.1 million during the six months ended June 30, 2020 and 2019, respectively. Changes in operating assets and liabilities generated $536.0 million of cash during the six months ended June 30, 2020 compared to $35.6 million of cash generated during the six months ended June 30, 2019. These changes were primarily attributable to a decrease in accounts receivable, due to collections and the receivables not being replaced at the same level as a result of a decrease in demand for our services, and the benefit of certain government payment deferral measures introduced as part of the COVID-19 crisis. These improvements in our cash flows were partially offset by the decrease in our payroll-related liabilities due to lower activity.</w:t>
      </w:r>
    </w:p>
    <w:p>
      <w:pPr>
        <w:spacing w:after="0" w:line="15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Accounts receivable decreased to $4,224.6 million as of June 30, 2020 from $5,273.1 million as of December 31, 2019. This decrease is primarily due to the revenue decline and changes in currency exchange rates. Days Sales Outstanding ("DSO") increased by approximately 1.0 day from December 31, 2019 due to unfavorable mix changes, as a higher percentage of our consolidated revenues consisted of countries with a higher average DSO.</w:t>
      </w:r>
    </w:p>
    <w:p>
      <w:pPr>
        <w:spacing w:after="0" w:line="12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nature of our operations is such that our most significant current asset is accounts receivable, with an average days sales outstanding of between 55 and 60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ind w:right="20"/>
        <w:spacing w:after="0" w:line="271" w:lineRule="auto"/>
        <w:rPr>
          <w:sz w:val="20"/>
          <w:szCs w:val="20"/>
          <w:color w:val="auto"/>
        </w:rPr>
      </w:pPr>
      <w:r>
        <w:rPr>
          <w:rFonts w:ascii="Arial" w:cs="Arial" w:eastAsia="Arial" w:hAnsi="Arial"/>
          <w:sz w:val="17"/>
          <w:szCs w:val="17"/>
          <w:color w:val="auto"/>
        </w:rPr>
        <w:t>Conversely, as the demand for our services declines, as we saw starting in late March and continuing through the second quarter of 2020 due to the impact of the COVID-19 crisis,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 During the second quarter of 2020, we were highly successful in receivable collections while incurring lower payroll costs on lower activity. Our improved cash flow also benefited from certain government payment deferral measures introduced as part of the COVID-19 crisis. The impact of these benefits is expected to mature in the second half of the year and we expect lower levels of operating cash flow during the third and fourth quarters of 2020.</w:t>
      </w:r>
    </w:p>
    <w:p>
      <w:pPr>
        <w:spacing w:after="0" w:line="15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Capital expenditures were $18.9 million for the six months ended June 30, 2020 compared to $24.0 million for the six months ended June 30, 2019. These expenditures were primarily comprised of purchases of computer equipment, office furniture and other costs related to office openings and refurbishments, as well as capitalized software costs. The lower expenditures in 2020 compared to 2019 is primarily due to overall scale-back of activities in 2020 due to the COVID-19 crisis and the completion of a software development project in 2019, as well as the timing of capital expenditures.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six months ended June 30, 2020, the total cash consideration paid for acquisitions, net of cash acquired, was $1.7 million, which represents a deferred consideration payment related to a previous acquisition.</w:t>
      </w:r>
    </w:p>
    <w:p>
      <w:pPr>
        <w:spacing w:after="0" w:line="1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$212.7 million as of June 30, 2019 and was funded through cash on hand. Of the total consideration paid, $58.3 million was for the acquired interests and the remaining $154.4 million was for cash and cash equivalents. The total cash impact of the acquisition was an inflow of $104.8 million, net of cash acquired of $317.5 million. The acquisition of the remaining interest of Experis AG was accounted for as an equity transaction as we previously consolidated the entity.</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business combination, we recognized a one-time, non-cash gain on the disposition of our previously held equity interest in Manpower Switzerland of $80.4 million, which is included within interest and other expenses (income), net on the Consolidated Statements of Operations. Of the $80.4 million, $32.5 million represented the reclassification of foreign currency translation adjustments related to the previously held equity interest, from accumulated other comprehensive income.</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Excluding Manpower Switzerland and Experis AG, the total cash consideration paid for acquisitions, net of cash acquired, was $17.7 million for the six months ended June 30, 2019. This balance represents contingent consideration payments related to previous acquisitions, of which $12.9 million had been recognized as a liability at the acquisition date.</w:t>
      </w:r>
    </w:p>
    <w:p>
      <w:pPr>
        <w:spacing w:after="0" w:line="14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Net debt repayments was $16.8 million in the six months ended June 30, 2020 compared to cash provided by net borrowings of $4.5 million in the six months ended June 30, 2019.</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we had letters of credit totaling $0.5 million issued under our $600.0 million revolving credit facility. Additional borrowings of $599.5 million were available to us under the facility as of June 30, 2020.</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had a Net Debt-to-EBITDA ratio of 0.03 to 1 and a fixed charge coverage ratio of 3.88 to 1 as of June 30, 2020. Based on our current forecast, we expect to be in compliance with our financial covenants for the next 12 months.</w:t>
      </w:r>
    </w:p>
    <w:p>
      <w:pPr>
        <w:spacing w:after="0" w:line="14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assessed what impact the COVID-19 crisis has had or may have on our liquidity position as of June 30, 2020 and for the near future. As of June 30, 2020, our cash and cash equivalents balance was $1,438.6 million. We also have access to the previously mentioned revolving credit facility that could immediately provide us with up to $600 million of additional cash, which remains unused as of June 30, 2020, and we have an option to request an increase to the total availability under the revolving credit facility by an additional $200 million and each lender may participate in the requested increase at their discretion. In addition, we have access to the previously mentioned credit lines of up to $300 million ($600 million in the third quarter) to meet the working capital needs of our subsidiaries, of which $250.7 million was available to use as of June 30, 2020. Our €500.0 million notes and €400.0 million notes that total $1,005.5 million as of June 30, 2020 mature in 2022 and 2026, thus, there are no payments due in the very near term except for annual interest payments. Based on the above, we believe we have sufficient liquidity and capital resources to satisfy future requirements and meet our obligations currently and in the near future should the COVID-19 crisis cause any additional cash flow needs.</w:t>
      </w:r>
    </w:p>
    <w:p>
      <w:pPr>
        <w:spacing w:after="0" w:line="14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Board of Directors declared a semi-annual dividend of $1.09 per share on both May 8, 2020 and May 10, 2019. The 2020 dividends were paid on June 15, 2020 to shareholders of record as of June 1, 2020. The 2019 dividends were paid on June 14, 2019 to shareholders of record on June 3, 2019.</w:t>
      </w:r>
    </w:p>
    <w:p>
      <w:pPr>
        <w:spacing w:after="0" w:line="8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August 2019, the Board of Directors authorized the repurchase of 6.0 million shares of our common stock, with terms consistent with the previous authorizations. This authorization is in addition to the August 2018 Board authorizations to purchase 6.0 million shares of our common stock. Share repurchases may be made from time to time through a variety of methods, including open market purchases, block transactions, privately negotiated transactions or similar facilities. During the first six months of 2020, we repurchased a total of 0.9 million shares comprised of 0.8 million shares under the 2018 authorization and 0.1 million shares under the 2019 authorization, at a total cost of $63.8 million. The repurchases in the first half of 2020 all occurred within the first quarter of 2020. During the first six months of 2019, we repurchased a total of 1.2 million shares at a cost of $101.0 million under the 2018 authorization. As of June 30, 2020, there were 5.9 million shares remaining authorized for repurchase under the 2019 authorization and no shares remaining authorized for repurchase under the 2018 authorization.</w:t>
      </w:r>
    </w:p>
    <w:p>
      <w:pPr>
        <w:spacing w:after="0" w:line="151"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had aggregate commitments of $2,148.5 million as of June 30, 2020 related to debt, operating leases, severances and office closure costs, transition tax resulting from the Tax Act and certain other commitments compared to $2,202.8 million as of December 31, 2019.</w:t>
      </w:r>
    </w:p>
    <w:p>
      <w:pPr>
        <w:spacing w:after="0" w:line="130" w:lineRule="exact"/>
        <w:rPr>
          <w:sz w:val="20"/>
          <w:szCs w:val="20"/>
          <w:color w:val="auto"/>
        </w:rPr>
      </w:pPr>
    </w:p>
    <w:p>
      <w:pPr>
        <w:jc w:val="both"/>
        <w:ind w:right="80"/>
        <w:spacing w:after="0" w:line="285" w:lineRule="auto"/>
        <w:rPr>
          <w:sz w:val="20"/>
          <w:szCs w:val="20"/>
          <w:color w:val="auto"/>
        </w:rPr>
      </w:pPr>
      <w:r>
        <w:rPr>
          <w:rFonts w:ascii="Arial" w:cs="Arial" w:eastAsia="Arial" w:hAnsi="Arial"/>
          <w:sz w:val="16"/>
          <w:szCs w:val="16"/>
          <w:color w:val="auto"/>
        </w:rPr>
        <w:t>We also have entered into guarantee contracts and stand-by letters of credit totaling approximately $902.6 million and $845.0 million as of June 30, 2020 and December 31, 2019, respectively ($851.0 million and $793.4 million for guarantees, respectively, and $51.6 million for stand-by letters of credit as of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arrangements. Therefore, they have been excluded from our aggregate commitments. The cost of these guarantees and letters of credit was $0.9 million and $0.8 million for the six months ended June 30, 2020 and 2019, respectively.</w:t>
      </w:r>
    </w:p>
    <w:p>
      <w:pPr>
        <w:spacing w:after="0" w:line="14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recorded net restructuring costs of $48.2 million and $41.4 million during the six months ended June 30, 2020 and 2019, respectively, in selling and administrative expenses, primarily related to severances and office closures and consolidations in multiple countries and territories. As a result of the adoption of the new accounting guidance on leases as of January 1, 2019, the office closure costs of $8.2 million during the six months ended June 30, 2020 were recorded as an impairment to the operating lease right-of-use asset and, thus, are not included in the restructuring reserve balance as of June 30, 2020. The costs paid, utilized or transferred out of our restructuring reserve were $32.1 million during the six months ended June 30, 2020. We expect a majority of the remaining $23.4 million reserve will be paid by the end of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9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Our 2019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3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center"/>
        <w:ind w:right="-319"/>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the date of this filing, the Company and its operations continue to be subject to the risk factors previously disclosed in the “Risk Factors” sections contained in the 2019 Annual Report on Form 10-K and our Quarterly Report on Form 10-Q for the quarter ended March 31, 2020.</w:t>
      </w:r>
    </w:p>
    <w:p>
      <w:pPr>
        <w:spacing w:after="0" w:line="36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1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2020. As of June 30, 2020, there were 5.9 million shares remaining authorized for repurchase under the 2019 authorization.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60" w:type="dxa"/>
            <w:vAlign w:val="bottom"/>
            <w:gridSpan w:val="10"/>
          </w:tcPr>
          <w:p>
            <w:pPr>
              <w:ind w:left="3580"/>
              <w:spacing w:after="0"/>
              <w:rPr>
                <w:sz w:val="20"/>
                <w:szCs w:val="20"/>
                <w:color w:val="auto"/>
              </w:rPr>
            </w:pPr>
            <w:r>
              <w:rPr>
                <w:rFonts w:ascii="Arial" w:cs="Arial" w:eastAsia="Arial" w:hAnsi="Arial"/>
                <w:sz w:val="18"/>
                <w:szCs w:val="18"/>
                <w:b w:val="1"/>
                <w:bCs w:val="1"/>
                <w:color w:val="auto"/>
              </w:rPr>
              <w:t>ISSUER PURCHASES OF EQUITY SECURITIES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Total number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4"/>
              </w:rPr>
              <w:t>of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purchased as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3640" w:type="dxa"/>
            <w:vAlign w:val="bottom"/>
          </w:tcPr>
          <w:p>
            <w:pPr>
              <w:spacing w:after="0"/>
              <w:rPr>
                <w:sz w:val="18"/>
                <w:szCs w:val="18"/>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Total</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part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2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3640" w:type="dxa"/>
            <w:vAlign w:val="bottom"/>
          </w:tcPr>
          <w:p>
            <w:pPr>
              <w:spacing w:after="0"/>
              <w:rPr>
                <w:sz w:val="18"/>
                <w:szCs w:val="18"/>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number</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publicly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shares that</w:t>
            </w:r>
          </w:p>
        </w:tc>
      </w:tr>
      <w:tr>
        <w:trPr>
          <w:trHeight w:val="216"/>
        </w:trPr>
        <w:tc>
          <w:tcPr>
            <w:tcW w:w="3640" w:type="dxa"/>
            <w:vAlign w:val="bottom"/>
          </w:tcPr>
          <w:p>
            <w:pPr>
              <w:spacing w:after="0"/>
              <w:rPr>
                <w:sz w:val="18"/>
                <w:szCs w:val="18"/>
                <w:color w:val="auto"/>
              </w:rPr>
            </w:pPr>
          </w:p>
        </w:tc>
        <w:tc>
          <w:tcPr>
            <w:tcW w:w="1220" w:type="dxa"/>
            <w:vAlign w:val="bottom"/>
          </w:tcPr>
          <w:p>
            <w:pPr>
              <w:jc w:val="center"/>
              <w:ind w:left="330"/>
              <w:spacing w:after="0"/>
              <w:rPr>
                <w:sz w:val="20"/>
                <w:szCs w:val="20"/>
                <w:color w:val="auto"/>
              </w:rPr>
            </w:pPr>
            <w:r>
              <w:rPr>
                <w:rFonts w:ascii="Arial" w:cs="Arial" w:eastAsia="Arial" w:hAnsi="Arial"/>
                <w:sz w:val="18"/>
                <w:szCs w:val="18"/>
                <w:b w:val="1"/>
                <w:bCs w:val="1"/>
                <w:color w:val="auto"/>
                <w:w w:val="84"/>
              </w:rPr>
              <w:t>of shares</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Average price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announced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ind w:left="400"/>
              <w:spacing w:after="0"/>
              <w:rPr>
                <w:sz w:val="20"/>
                <w:szCs w:val="20"/>
                <w:color w:val="auto"/>
              </w:rPr>
            </w:pPr>
            <w:r>
              <w:rPr>
                <w:rFonts w:ascii="Arial" w:cs="Arial" w:eastAsia="Arial" w:hAnsi="Arial"/>
                <w:sz w:val="18"/>
                <w:szCs w:val="18"/>
                <w:b w:val="1"/>
                <w:bCs w:val="1"/>
                <w:color w:val="auto"/>
              </w:rPr>
              <w:t>may yet be</w:t>
            </w:r>
          </w:p>
        </w:tc>
      </w:tr>
      <w:tr>
        <w:trPr>
          <w:trHeight w:val="234"/>
        </w:trPr>
        <w:tc>
          <w:tcPr>
            <w:tcW w:w="3640" w:type="dxa"/>
            <w:vAlign w:val="bottom"/>
            <w:tcBorders>
              <w:bottom w:val="single" w:sz="8" w:color="CFF0FC"/>
            </w:tcBorders>
          </w:tcPr>
          <w:p>
            <w:pPr>
              <w:spacing w:after="0"/>
              <w:rPr>
                <w:sz w:val="20"/>
                <w:szCs w:val="20"/>
                <w:color w:val="auto"/>
              </w:rPr>
            </w:pPr>
          </w:p>
        </w:tc>
        <w:tc>
          <w:tcPr>
            <w:tcW w:w="12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7"/>
              </w:rPr>
              <w:t>purchased</w:t>
            </w:r>
          </w:p>
        </w:tc>
        <w:tc>
          <w:tcPr>
            <w:tcW w:w="4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paid per share</w:t>
            </w:r>
          </w:p>
        </w:tc>
        <w:tc>
          <w:tcPr>
            <w:tcW w:w="340" w:type="dxa"/>
            <w:vAlign w:val="bottom"/>
            <w:tcBorders>
              <w:bottom w:val="single" w:sz="8" w:color="auto"/>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plan</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purchased</w:t>
            </w: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April 1 - 30, 2020</w:t>
            </w:r>
          </w:p>
        </w:tc>
        <w:tc>
          <w:tcPr>
            <w:tcW w:w="12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1,109</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w:t>
            </w:r>
          </w:p>
        </w:tc>
        <w:tc>
          <w:tcPr>
            <w:tcW w:w="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5,879,887</w:t>
            </w:r>
          </w:p>
        </w:tc>
      </w:tr>
      <w:tr>
        <w:trPr>
          <w:trHeight w:val="229"/>
        </w:trPr>
        <w:tc>
          <w:tcPr>
            <w:tcW w:w="4860" w:type="dxa"/>
            <w:vAlign w:val="bottom"/>
            <w:gridSpan w:val="2"/>
          </w:tcPr>
          <w:p>
            <w:pPr>
              <w:spacing w:after="0"/>
              <w:rPr>
                <w:sz w:val="20"/>
                <w:szCs w:val="20"/>
                <w:color w:val="auto"/>
              </w:rPr>
            </w:pPr>
            <w:r>
              <w:rPr>
                <w:rFonts w:ascii="Arial" w:cs="Arial" w:eastAsia="Arial" w:hAnsi="Arial"/>
                <w:sz w:val="18"/>
                <w:szCs w:val="18"/>
                <w:color w:val="auto"/>
              </w:rPr>
              <w:t>May 1 - 31, 2020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3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5,879,887</w:t>
            </w:r>
          </w:p>
        </w:tc>
      </w:tr>
      <w:tr>
        <w:trPr>
          <w:trHeight w:val="229"/>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1 - 30, 2020</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w:t>
            </w:r>
          </w:p>
        </w:tc>
        <w:tc>
          <w:tcPr>
            <w:tcW w:w="1460" w:type="dxa"/>
            <w:vAlign w:val="bottom"/>
            <w:gridSpan w:val="2"/>
            <w:shd w:val="clear" w:color="auto" w:fill="CFF0FC"/>
          </w:tcPr>
          <w:p>
            <w:pPr>
              <w:jc w:val="right"/>
              <w:ind w:right="123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5,879,887</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2,059</w:t>
            </w: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20" w:type="dxa"/>
            <w:vAlign w:val="bottom"/>
            <w:tcBorders>
              <w:top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30"/>
              <w:spacing w:after="0"/>
              <w:rPr>
                <w:sz w:val="20"/>
                <w:szCs w:val="20"/>
                <w:color w:val="auto"/>
              </w:rPr>
            </w:pPr>
            <w:r>
              <w:rPr>
                <w:rFonts w:ascii="Arial" w:cs="Arial" w:eastAsia="Arial" w:hAnsi="Arial"/>
                <w:sz w:val="18"/>
                <w:szCs w:val="18"/>
                <w:color w:val="auto"/>
              </w:rPr>
              <w:t>5,879,887</w:t>
            </w:r>
          </w:p>
        </w:tc>
      </w:tr>
      <w:tr>
        <w:trPr>
          <w:trHeight w:val="20"/>
        </w:trPr>
        <w:tc>
          <w:tcPr>
            <w:tcW w:w="36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3" w:lineRule="exact"/>
        <w:rPr>
          <w:sz w:val="20"/>
          <w:szCs w:val="20"/>
          <w:color w:val="auto"/>
        </w:rPr>
      </w:pPr>
    </w:p>
    <w:p>
      <w:pPr>
        <w:ind w:left="380" w:right="180" w:hanging="372"/>
        <w:spacing w:after="0" w:line="27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common stock withheld by ManpowerGroup to satisfy tax withholding obligations on shares acquired by certain officers in settlement of restricted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2020:</w:t>
      </w:r>
    </w:p>
    <w:p>
      <w:pPr>
        <w:spacing w:after="0" w:line="130" w:lineRule="exact"/>
        <w:rPr>
          <w:sz w:val="20"/>
          <w:szCs w:val="20"/>
          <w:color w:val="auto"/>
        </w:rPr>
      </w:pPr>
    </w:p>
    <w:p>
      <w:pPr>
        <w:ind w:left="460" w:right="2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29"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auto"/>
        </w:rPr>
        <w:t>Item 6 –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20"/>
                <w:szCs w:val="20"/>
                <w:color w:val="auto"/>
              </w:rPr>
              <w:t>10.1</w:t>
            </w:r>
          </w:p>
        </w:tc>
        <w:tc>
          <w:tcPr>
            <w:tcW w:w="10020" w:type="dxa"/>
            <w:vAlign w:val="bottom"/>
            <w:gridSpan w:val="5"/>
          </w:tcPr>
          <w:p>
            <w:pPr>
              <w:spacing w:after="0"/>
              <w:rPr>
                <w:rFonts w:ascii="Arial" w:cs="Arial" w:eastAsia="Arial" w:hAnsi="Arial"/>
                <w:sz w:val="20"/>
                <w:szCs w:val="20"/>
                <w:color w:val="0000EE"/>
                <w:w w:val="97"/>
              </w:rPr>
            </w:pPr>
            <w:hyperlink r:id="rId56">
              <w:r>
                <w:rPr>
                  <w:rFonts w:ascii="Arial" w:cs="Arial" w:eastAsia="Arial" w:hAnsi="Arial"/>
                  <w:sz w:val="20"/>
                  <w:szCs w:val="20"/>
                  <w:color w:val="0000EE"/>
                  <w:w w:val="97"/>
                </w:rPr>
                <w:t>2011 Equity Incentive Plan of ManpowerGroup Inc. (Amended and Restated Effective May 8, 2020), incorporated by</w:t>
              </w:r>
            </w:hyperlink>
          </w:p>
        </w:tc>
      </w:tr>
      <w:tr>
        <w:trPr>
          <w:trHeight w:val="209"/>
        </w:trPr>
        <w:tc>
          <w:tcPr>
            <w:tcW w:w="1140" w:type="dxa"/>
            <w:vAlign w:val="bottom"/>
          </w:tcPr>
          <w:p>
            <w:pPr>
              <w:spacing w:after="0"/>
              <w:rPr>
                <w:sz w:val="18"/>
                <w:szCs w:val="18"/>
                <w:color w:val="auto"/>
              </w:rPr>
            </w:pPr>
          </w:p>
        </w:tc>
        <w:tc>
          <w:tcPr>
            <w:tcW w:w="678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9"/>
              </w:rPr>
            </w:pPr>
            <w:hyperlink r:id="rId56">
              <w:r>
                <w:rPr>
                  <w:rFonts w:ascii="Arial" w:cs="Arial" w:eastAsia="Arial" w:hAnsi="Arial"/>
                  <w:sz w:val="20"/>
                  <w:szCs w:val="20"/>
                  <w:color w:val="0000EE"/>
                  <w:w w:val="89"/>
                </w:rPr>
                <w:t>reference to the Company’s Registration Statement on Form S-8 dated May 29, 2020.</w:t>
              </w:r>
            </w:hyperlink>
          </w:p>
        </w:tc>
        <w:tc>
          <w:tcPr>
            <w:tcW w:w="2540" w:type="dxa"/>
            <w:vAlign w:val="bottom"/>
            <w:tcBorders>
              <w:top w:val="single" w:sz="8" w:color="0000EE"/>
            </w:tcBorders>
          </w:tcPr>
          <w:p>
            <w:pPr>
              <w:spacing w:after="0"/>
              <w:rPr>
                <w:sz w:val="18"/>
                <w:szCs w:val="18"/>
                <w:color w:val="auto"/>
              </w:rPr>
            </w:pPr>
          </w:p>
        </w:tc>
        <w:tc>
          <w:tcPr>
            <w:tcW w:w="700" w:type="dxa"/>
            <w:vAlign w:val="bottom"/>
            <w:gridSpan w:val="2"/>
          </w:tcPr>
          <w:p>
            <w:pPr>
              <w:spacing w:after="0"/>
              <w:rPr>
                <w:sz w:val="18"/>
                <w:szCs w:val="18"/>
                <w:color w:val="auto"/>
              </w:rPr>
            </w:pPr>
          </w:p>
        </w:tc>
      </w:tr>
      <w:tr>
        <w:trPr>
          <w:trHeight w:val="470"/>
        </w:trPr>
        <w:tc>
          <w:tcPr>
            <w:tcW w:w="1140" w:type="dxa"/>
            <w:vAlign w:val="bottom"/>
          </w:tcPr>
          <w:p>
            <w:pPr>
              <w:spacing w:after="0"/>
              <w:rPr>
                <w:sz w:val="20"/>
                <w:szCs w:val="20"/>
                <w:color w:val="auto"/>
              </w:rPr>
            </w:pPr>
            <w:r>
              <w:rPr>
                <w:rFonts w:ascii="Arial" w:cs="Arial" w:eastAsia="Arial" w:hAnsi="Arial"/>
                <w:sz w:val="20"/>
                <w:szCs w:val="20"/>
                <w:color w:val="auto"/>
              </w:rPr>
              <w:t>31.1</w:t>
            </w:r>
          </w:p>
        </w:tc>
        <w:tc>
          <w:tcPr>
            <w:tcW w:w="10020" w:type="dxa"/>
            <w:vAlign w:val="bottom"/>
            <w:gridSpan w:val="5"/>
          </w:tcPr>
          <w:p>
            <w:pPr>
              <w:spacing w:after="0"/>
              <w:rPr>
                <w:rFonts w:ascii="Arial" w:cs="Arial" w:eastAsia="Arial" w:hAnsi="Arial"/>
                <w:sz w:val="20"/>
                <w:szCs w:val="20"/>
                <w:color w:val="0000EE"/>
                <w:w w:val="90"/>
              </w:rPr>
            </w:pPr>
            <w:hyperlink w:anchor="page44">
              <w:r>
                <w:rPr>
                  <w:rFonts w:ascii="Arial" w:cs="Arial" w:eastAsia="Arial" w:hAnsi="Arial"/>
                  <w:sz w:val="20"/>
                  <w:szCs w:val="20"/>
                  <w:u w:val="single" w:color="auto"/>
                  <w:color w:val="0000EE"/>
                  <w:w w:val="90"/>
                </w:rPr>
                <w:t>Certification of Jonas Prising, Chief Executive Officer, pursuant to Section 13a-14(a) of the Securities Exchange Act of 1934</w:t>
              </w:r>
              <w:r>
                <w:rPr>
                  <w:rFonts w:ascii="Arial" w:cs="Arial" w:eastAsia="Arial" w:hAnsi="Arial"/>
                  <w:sz w:val="20"/>
                  <w:szCs w:val="20"/>
                  <w:color w:val="0000EE"/>
                  <w:w w:val="90"/>
                </w:rPr>
                <w:t>.</w:t>
              </w:r>
            </w:hyperlink>
          </w:p>
        </w:tc>
      </w:tr>
      <w:tr>
        <w:trPr>
          <w:trHeight w:val="414"/>
        </w:trPr>
        <w:tc>
          <w:tcPr>
            <w:tcW w:w="1140" w:type="dxa"/>
            <w:vAlign w:val="bottom"/>
          </w:tcPr>
          <w:p>
            <w:pPr>
              <w:spacing w:after="0"/>
              <w:rPr>
                <w:sz w:val="20"/>
                <w:szCs w:val="20"/>
                <w:color w:val="auto"/>
              </w:rPr>
            </w:pPr>
            <w:r>
              <w:rPr>
                <w:rFonts w:ascii="Arial" w:cs="Arial" w:eastAsia="Arial" w:hAnsi="Arial"/>
                <w:sz w:val="20"/>
                <w:szCs w:val="20"/>
                <w:color w:val="auto"/>
              </w:rPr>
              <w:t>31.2</w:t>
            </w:r>
          </w:p>
        </w:tc>
        <w:tc>
          <w:tcPr>
            <w:tcW w:w="10020" w:type="dxa"/>
            <w:vAlign w:val="bottom"/>
            <w:gridSpan w:val="5"/>
          </w:tcPr>
          <w:p>
            <w:pPr>
              <w:spacing w:after="0"/>
              <w:rPr>
                <w:rFonts w:ascii="Arial" w:cs="Arial" w:eastAsia="Arial" w:hAnsi="Arial"/>
                <w:sz w:val="20"/>
                <w:szCs w:val="20"/>
                <w:color w:val="0000EE"/>
                <w:w w:val="91"/>
              </w:rPr>
            </w:pPr>
            <w:hyperlink w:anchor="page45">
              <w:r>
                <w:rPr>
                  <w:rFonts w:ascii="Arial" w:cs="Arial" w:eastAsia="Arial" w:hAnsi="Arial"/>
                  <w:sz w:val="20"/>
                  <w:szCs w:val="20"/>
                  <w:color w:val="0000EE"/>
                  <w:w w:val="91"/>
                </w:rPr>
                <w:t>Certification of John T. McGinnis, Executive Vice President and Chief Financial Officer, pursuant to Section 13a-14(a) of the</w:t>
              </w:r>
            </w:hyperlink>
          </w:p>
        </w:tc>
      </w:tr>
      <w:tr>
        <w:trPr>
          <w:trHeight w:val="210"/>
        </w:trPr>
        <w:tc>
          <w:tcPr>
            <w:tcW w:w="1140" w:type="dxa"/>
            <w:vAlign w:val="bottom"/>
          </w:tcPr>
          <w:p>
            <w:pPr>
              <w:spacing w:after="0"/>
              <w:rPr>
                <w:sz w:val="18"/>
                <w:szCs w:val="18"/>
                <w:color w:val="auto"/>
              </w:rPr>
            </w:pPr>
          </w:p>
        </w:tc>
        <w:tc>
          <w:tcPr>
            <w:tcW w:w="266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45">
              <w:r>
                <w:rPr>
                  <w:rFonts w:ascii="Arial" w:cs="Arial" w:eastAsia="Arial" w:hAnsi="Arial"/>
                  <w:sz w:val="20"/>
                  <w:szCs w:val="20"/>
                  <w:color w:val="0000EE"/>
                  <w:w w:val="89"/>
                </w:rPr>
                <w:t>Securities Exchange Act of 1934.</w:t>
              </w:r>
            </w:hyperlink>
          </w:p>
        </w:tc>
        <w:tc>
          <w:tcPr>
            <w:tcW w:w="7280" w:type="dxa"/>
            <w:vAlign w:val="bottom"/>
            <w:tcBorders>
              <w:top w:val="single" w:sz="8" w:color="0000EE"/>
            </w:tcBorders>
            <w:gridSpan w:val="3"/>
          </w:tcPr>
          <w:p>
            <w:pPr>
              <w:spacing w:after="0"/>
              <w:rPr>
                <w:sz w:val="18"/>
                <w:szCs w:val="18"/>
                <w:color w:val="auto"/>
              </w:rPr>
            </w:pPr>
          </w:p>
        </w:tc>
        <w:tc>
          <w:tcPr>
            <w:tcW w:w="80" w:type="dxa"/>
            <w:vAlign w:val="bottom"/>
          </w:tcPr>
          <w:p>
            <w:pPr>
              <w:spacing w:after="0"/>
              <w:rPr>
                <w:sz w:val="18"/>
                <w:szCs w:val="18"/>
                <w:color w:val="auto"/>
              </w:rPr>
            </w:pPr>
          </w:p>
        </w:tc>
      </w:tr>
      <w:tr>
        <w:trPr>
          <w:trHeight w:val="483"/>
        </w:trPr>
        <w:tc>
          <w:tcPr>
            <w:tcW w:w="1140" w:type="dxa"/>
            <w:vAlign w:val="bottom"/>
          </w:tcPr>
          <w:p>
            <w:pPr>
              <w:spacing w:after="0"/>
              <w:rPr>
                <w:sz w:val="20"/>
                <w:szCs w:val="20"/>
                <w:color w:val="auto"/>
              </w:rPr>
            </w:pPr>
            <w:r>
              <w:rPr>
                <w:rFonts w:ascii="Arial" w:cs="Arial" w:eastAsia="Arial" w:hAnsi="Arial"/>
                <w:sz w:val="20"/>
                <w:szCs w:val="20"/>
                <w:color w:val="auto"/>
              </w:rPr>
              <w:t>32.1</w:t>
            </w:r>
          </w:p>
        </w:tc>
        <w:tc>
          <w:tcPr>
            <w:tcW w:w="10020" w:type="dxa"/>
            <w:vAlign w:val="bottom"/>
            <w:gridSpan w:val="5"/>
          </w:tcPr>
          <w:p>
            <w:pPr>
              <w:spacing w:after="0"/>
              <w:rPr>
                <w:rFonts w:ascii="Arial" w:cs="Arial" w:eastAsia="Arial" w:hAnsi="Arial"/>
                <w:sz w:val="20"/>
                <w:szCs w:val="20"/>
                <w:u w:val="single" w:color="auto"/>
                <w:color w:val="0000EE"/>
              </w:rPr>
            </w:pPr>
            <w:hyperlink w:anchor="page46">
              <w:r>
                <w:rPr>
                  <w:rFonts w:ascii="Arial" w:cs="Arial" w:eastAsia="Arial" w:hAnsi="Arial"/>
                  <w:sz w:val="20"/>
                  <w:szCs w:val="20"/>
                  <w:u w:val="single" w:color="auto"/>
                  <w:color w:val="0000EE"/>
                </w:rPr>
                <w:t>Statement of Jonas Prising, Chief Executive Officer, pursuant to 18 U.S.C. ss. 1350.</w:t>
              </w:r>
            </w:hyperlink>
          </w:p>
        </w:tc>
      </w:tr>
      <w:tr>
        <w:trPr>
          <w:trHeight w:val="459"/>
        </w:trPr>
        <w:tc>
          <w:tcPr>
            <w:tcW w:w="1140" w:type="dxa"/>
            <w:vAlign w:val="bottom"/>
          </w:tcPr>
          <w:p>
            <w:pPr>
              <w:spacing w:after="0"/>
              <w:rPr>
                <w:sz w:val="20"/>
                <w:szCs w:val="20"/>
                <w:color w:val="auto"/>
              </w:rPr>
            </w:pPr>
            <w:r>
              <w:rPr>
                <w:rFonts w:ascii="Arial" w:cs="Arial" w:eastAsia="Arial" w:hAnsi="Arial"/>
                <w:sz w:val="20"/>
                <w:szCs w:val="20"/>
                <w:color w:val="auto"/>
              </w:rPr>
              <w:t>32.2</w:t>
            </w:r>
          </w:p>
        </w:tc>
        <w:tc>
          <w:tcPr>
            <w:tcW w:w="10020" w:type="dxa"/>
            <w:vAlign w:val="bottom"/>
            <w:gridSpan w:val="5"/>
          </w:tcPr>
          <w:p>
            <w:pPr>
              <w:spacing w:after="0"/>
              <w:rPr>
                <w:rFonts w:ascii="Arial" w:cs="Arial" w:eastAsia="Arial" w:hAnsi="Arial"/>
                <w:sz w:val="20"/>
                <w:szCs w:val="20"/>
                <w:u w:val="single" w:color="auto"/>
                <w:color w:val="0000EE"/>
                <w:w w:val="96"/>
              </w:rPr>
            </w:pPr>
            <w:hyperlink w:anchor="page47">
              <w:r>
                <w:rPr>
                  <w:rFonts w:ascii="Arial" w:cs="Arial" w:eastAsia="Arial" w:hAnsi="Arial"/>
                  <w:sz w:val="20"/>
                  <w:szCs w:val="20"/>
                  <w:u w:val="single" w:color="auto"/>
                  <w:color w:val="0000EE"/>
                  <w:w w:val="96"/>
                </w:rPr>
                <w:t>Statement of John T. McGinnis, Executive Vice President and Chief Financial Officer, pursuant to 18 U.S.C. ss. 1350.</w:t>
              </w:r>
            </w:hyperlink>
          </w:p>
        </w:tc>
      </w:tr>
      <w:tr>
        <w:trPr>
          <w:trHeight w:val="427"/>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5"/>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2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5"/>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46"/>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5"/>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5"/>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5"/>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5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5"/>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29" w:lineRule="exact"/>
        <w:rPr>
          <w:sz w:val="20"/>
          <w:szCs w:val="20"/>
          <w:color w:val="auto"/>
        </w:rPr>
      </w:pPr>
    </w:p>
    <w:p>
      <w:pPr>
        <w:ind w:left="1140" w:right="380" w:hanging="1132"/>
        <w:spacing w:after="0" w:line="277"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2" w:name="page43"/>
    <w:bookmarkEnd w:id="4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31750</wp:posOffset>
            </wp:positionV>
            <wp:extent cx="1628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August 7, 2020</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14605</wp:posOffset>
            </wp:positionV>
            <wp:extent cx="34632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Donald Mondano</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340"/>
          </w:cols>
          <w:pgMar w:left="320" w:top="337" w:right="1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60" w:hanging="401"/>
        <w:spacing w:after="0" w:line="263"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33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jc w:val="both"/>
        <w:ind w:left="400" w:right="380" w:hanging="392"/>
        <w:spacing w:after="0" w:line="263"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00" w:right="340" w:hanging="392"/>
        <w:spacing w:after="0" w:line="308"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400" w:right="360" w:hanging="392"/>
        <w:spacing w:after="0" w:line="263" w:lineRule="auto"/>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800" w:right="240" w:hanging="401"/>
        <w:spacing w:after="0" w:line="263"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00" w:right="560" w:hanging="401"/>
        <w:spacing w:after="0" w:line="263"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00" w:right="720" w:hanging="401"/>
        <w:spacing w:after="0" w:line="342" w:lineRule="auto"/>
        <w:tabs>
          <w:tab w:leader="none" w:pos="8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240" w:hanging="401"/>
        <w:spacing w:after="0" w:line="263"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00" w:right="80" w:hanging="392"/>
        <w:spacing w:after="0" w:line="308" w:lineRule="auto"/>
        <w:tabs>
          <w:tab w:leader="none" w:pos="4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00" w:right="140" w:hanging="401"/>
        <w:spacing w:after="0" w:line="277"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100" w:hanging="401"/>
        <w:spacing w:after="0" w:line="277" w:lineRule="auto"/>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3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340" w:hanging="401"/>
        <w:spacing w:after="0" w:line="277"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240"/>
          </w:cols>
          <w:pgMar w:left="320" w:top="33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340" w:hanging="401"/>
        <w:spacing w:after="0" w:line="277"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2020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120" w:firstLine="399"/>
        <w:spacing w:after="0" w:line="453" w:lineRule="auto"/>
        <w:tabs>
          <w:tab w:leader="none" w:pos="78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Dated: August 7,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404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4"/>
    </w:lvl>
  </w:abstractNum>
  <w:abstractNum w:abstractNumId="6">
    <w:nsid w:val="4353D0CD"/>
    <w:multiLevelType w:val="hybridMultilevel"/>
    <w:lvl w:ilvl="0">
      <w:lvlJc w:val="left"/>
      <w:lvlText w:val="(%1)"/>
      <w:numFmt w:val="decimal"/>
      <w:start w:val="5"/>
    </w:lvl>
  </w:abstractNum>
  <w:abstractNum w:abstractNumId="7">
    <w:nsid w:val="B03E0C6"/>
    <w:multiLevelType w:val="hybridMultilevel"/>
    <w:lvl w:ilvl="0">
      <w:lvlJc w:val="left"/>
      <w:lvlText w:val="(%1)"/>
      <w:numFmt w:val="decimal"/>
      <w:start w:val="6"/>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7"/>
    </w:lvl>
  </w:abstractNum>
  <w:abstractNum w:abstractNumId="10">
    <w:nsid w:val="71F32454"/>
    <w:multiLevelType w:val="hybridMultilevel"/>
    <w:lvl w:ilvl="0">
      <w:lvlJc w:val="left"/>
      <w:lvlText w:val="(%1)"/>
      <w:numFmt w:val="decimal"/>
      <w:start w:val="8"/>
    </w:lvl>
  </w:abstractNum>
  <w:abstractNum w:abstractNumId="11">
    <w:nsid w:val="2CA88611"/>
    <w:multiLevelType w:val="hybridMultilevel"/>
    <w:lvl w:ilvl="0">
      <w:lvlJc w:val="left"/>
      <w:lvlText w:val="(%1)"/>
      <w:numFmt w:val="decimal"/>
      <w:start w:val="9"/>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lvl w:ilvl="1">
      <w:lvlJc w:val="left"/>
      <w:lvlText w:val="(%2)"/>
      <w:numFmt w:val="decimal"/>
      <w:start w:val="3"/>
    </w:lvl>
  </w:abstractNum>
  <w:abstractNum w:abstractNumId="14">
    <w:nsid w:val="3A95F874"/>
    <w:multiLevelType w:val="hybridMultilevel"/>
    <w:lvl w:ilvl="0">
      <w:lvlJc w:val="left"/>
      <w:lvlText w:val="(%1)"/>
      <w:numFmt w:val="decimal"/>
      <w:start w:val="10"/>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3"/>
    </w:lvl>
  </w:abstractNum>
  <w:abstractNum w:abstractNumId="17">
    <w:nsid w:val="7C3DBD3D"/>
    <w:multiLevelType w:val="hybridMultilevel"/>
    <w:lvl w:ilvl="0">
      <w:lvlJc w:val="left"/>
      <w:lvlText w:val="(%1)"/>
      <w:numFmt w:val="decimal"/>
      <w:start w:val="14"/>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5"/>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decimal"/>
      <w:start w:val="10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6" Type="http://schemas.openxmlformats.org/officeDocument/2006/relationships/hyperlink" Target="http://www.sec.gov/Archives/edgar/data/871763/000089271220000224/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2020-08-07T07:04:29Z</dcterms:created>
  <dcterms:modified xsi:type="dcterms:W3CDTF">2020-08-07T07:04:29Z</dcterms:modified>
</cp:coreProperties>
</file>