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McGinnis John 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MANPOWERGROUP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ManpowerGroup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02/11/2025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237"/>
        <w:spacing w:after="0"/>
        <w:rPr>
          <w:sz w:val="20"/>
          <w:szCs w:val="20"/>
          <w:color w:val="auto"/>
        </w:rPr>
      </w:pPr>
      <w:r>
        <w:rPr>
          <w:rFonts w:ascii="Times New Roman" w:cs="Times New Roman" w:eastAsia="Times New Roman" w:hAnsi="Times New Roman"/>
          <w:sz w:val="17"/>
          <w:szCs w:val="17"/>
          <w:color w:val="0000FF"/>
        </w:rPr>
        <w:t>EVP, CFO</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7"/>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MILWAUKEE   WI</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53212</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02/11/2025</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61"/>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12,261</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82,900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02/11/2025</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5,826</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55.69</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77,074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12,261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02/11/2025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12,261</w:t>
            </w: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on February 11, 2025 and were settled in shares of ManpowerGroup common stock on a 1 for 1 basis upon vesting.</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tax withholding obligations on shares acquired on settlement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on the New York Stock Exchange on February 10, 2025.</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Shannon Kobylarczyk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77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7595"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(pursuant to Power of Attorney 02/13/2025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filed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629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2992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color w:val="auto"/>
        </w:rPr>
        <w:t>Exhibit 24.1</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 Executing Forms 3, 4 and 5 and 144</w:t>
      </w:r>
    </w:p>
    <w:p>
      <w:pPr>
        <w:spacing w:after="0" w:line="2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Know all by these present, that the undersigned constitutes and appoints each of Jonas Prising, Michelle Nettles, 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Shannon Kobylarczyk, signing singly, his true and lawful attorney-in-fact to:</w:t>
      </w:r>
    </w:p>
    <w:p>
      <w:pPr>
        <w:spacing w:after="0" w:line="201" w:lineRule="exact"/>
        <w:rPr>
          <w:sz w:val="20"/>
          <w:szCs w:val="20"/>
          <w:color w:val="auto"/>
        </w:rPr>
      </w:pPr>
    </w:p>
    <w:p>
      <w:pPr>
        <w:ind w:left="1800" w:right="760" w:hanging="742"/>
        <w:spacing w:after="0" w:line="257"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Forms 3, 4 and 5 in accordance with Section 16(a) of the Securities Exchange Act of 1934 and the rules thereunder;</w:t>
      </w:r>
    </w:p>
    <w:p>
      <w:pPr>
        <w:spacing w:after="0" w:line="179" w:lineRule="exact"/>
        <w:rPr>
          <w:rFonts w:ascii="Times New Roman" w:cs="Times New Roman" w:eastAsia="Times New Roman" w:hAnsi="Times New Roman"/>
          <w:sz w:val="21"/>
          <w:szCs w:val="21"/>
          <w:color w:val="auto"/>
        </w:rPr>
      </w:pPr>
    </w:p>
    <w:p>
      <w:pPr>
        <w:ind w:left="1800" w:right="500" w:hanging="742"/>
        <w:spacing w:after="0" w:line="257"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notices on Form 144 in accordance with Rule 144 under the Securities Act of 1933;</w:t>
      </w:r>
    </w:p>
    <w:p>
      <w:pPr>
        <w:spacing w:after="0" w:line="179" w:lineRule="exact"/>
        <w:rPr>
          <w:rFonts w:ascii="Times New Roman" w:cs="Times New Roman" w:eastAsia="Times New Roman" w:hAnsi="Times New Roman"/>
          <w:sz w:val="21"/>
          <w:szCs w:val="21"/>
          <w:color w:val="auto"/>
        </w:rPr>
      </w:pPr>
    </w:p>
    <w:p>
      <w:pPr>
        <w:jc w:val="both"/>
        <w:ind w:left="1800" w:right="220" w:hanging="742"/>
        <w:spacing w:after="0" w:line="244"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2" w:lineRule="exact"/>
        <w:rPr>
          <w:rFonts w:ascii="Times New Roman" w:cs="Times New Roman" w:eastAsia="Times New Roman" w:hAnsi="Times New Roman"/>
          <w:sz w:val="21"/>
          <w:szCs w:val="21"/>
          <w:color w:val="auto"/>
        </w:rPr>
      </w:pPr>
    </w:p>
    <w:p>
      <w:pPr>
        <w:ind w:left="1800" w:right="160" w:hanging="742"/>
        <w:spacing w:after="0" w:line="238"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or her discretion.</w:t>
      </w:r>
    </w:p>
    <w:p>
      <w:pPr>
        <w:spacing w:after="0" w:line="197" w:lineRule="exact"/>
        <w:rPr>
          <w:sz w:val="20"/>
          <w:szCs w:val="20"/>
          <w:color w:val="auto"/>
        </w:rPr>
      </w:pPr>
    </w:p>
    <w:p>
      <w:pPr>
        <w:ind w:right="40" w:firstLine="732"/>
        <w:spacing w:after="0" w:line="234"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18" w:lineRule="exact"/>
        <w:rPr>
          <w:sz w:val="20"/>
          <w:szCs w:val="20"/>
          <w:color w:val="auto"/>
        </w:rPr>
      </w:pPr>
    </w:p>
    <w:p>
      <w:pPr>
        <w:ind w:right="220" w:firstLine="732"/>
        <w:spacing w:after="0" w:line="217"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effective as of the 22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day of January 2025.</w:t>
      </w:r>
    </w:p>
    <w:p>
      <w:pPr>
        <w:spacing w:after="0" w:line="200" w:lineRule="exact"/>
        <w:rPr>
          <w:sz w:val="20"/>
          <w:szCs w:val="20"/>
          <w:color w:val="auto"/>
        </w:rPr>
      </w:pPr>
    </w:p>
    <w:p>
      <w:pPr>
        <w:spacing w:after="0" w:line="23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u w:val="single" w:color="auto"/>
          <w:color w:val="auto"/>
        </w:rPr>
        <w:t>/s/ John T. McGinnis</w:t>
      </w:r>
    </w:p>
    <w:p>
      <w:pPr>
        <w:spacing w:after="0" w:line="1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color w:val="auto"/>
        </w:rPr>
        <w:t>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729615</wp:posOffset>
            </wp:positionV>
            <wp:extent cx="69932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sectPr>
      <w:pgSz w:w="11900" w:h="16838" w:orient="portrait"/>
      <w:cols w:equalWidth="0" w:num="1">
        <w:col w:w="10980"/>
      </w:cols>
      <w:pgMar w:left="460" w:top="77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41359" TargetMode="External"/><Relationship Id="rId14"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2025-02-13T15:49:37Z</dcterms:created>
  <dcterms:modified xsi:type="dcterms:W3CDTF">2025-02-13T15:49:37Z</dcterms:modified>
</cp:coreProperties>
</file>