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jc w:val="right"/>
        <w:spacing w:after="0"/>
        <w:tabs>
          <w:tab w:leader="none" w:pos="1100" w:val="left"/>
        </w:tabs>
        <w:rPr>
          <w:sz w:val="20"/>
          <w:szCs w:val="20"/>
          <w:color w:val="auto"/>
        </w:rPr>
      </w:pPr>
      <w:r>
        <w:rPr>
          <w:rFonts w:ascii="Arial" w:cs="Arial" w:eastAsia="Arial" w:hAnsi="Arial"/>
          <w:sz w:val="16"/>
          <w:szCs w:val="16"/>
          <w:b w:val="1"/>
          <w:bCs w:val="1"/>
          <w:color w:val="auto"/>
        </w:rPr>
        <w:t>Washington, D.C. 20549</w:t>
      </w:r>
      <w:r>
        <w:rPr>
          <w:sz w:val="20"/>
          <w:szCs w:val="20"/>
          <w:color w:val="auto"/>
        </w:rPr>
        <w:tab/>
      </w:r>
      <w:r>
        <w:rPr>
          <w:rFonts w:ascii="Arial" w:cs="Arial" w:eastAsia="Arial" w:hAnsi="Arial"/>
          <w:sz w:val="20"/>
          <w:szCs w:val="20"/>
          <w:b w:val="1"/>
          <w:bCs w:val="1"/>
          <w:color w:val="auto"/>
        </w:rPr>
        <w:t>Exhibit 99.2</w:t>
      </w:r>
    </w:p>
    <w:p>
      <w:pPr>
        <w:spacing w:after="0" w:line="121"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FORM 8-K</w:t>
      </w:r>
    </w:p>
    <w:p>
      <w:pPr>
        <w:spacing w:after="0" w:line="188"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CURRENT REPORT</w:t>
      </w:r>
    </w:p>
    <w:p>
      <w:pPr>
        <w:spacing w:after="0" w:line="186"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Pursuant to Section 13 or 15(d) of the Securities Exchange Act of 1934</w:t>
      </w:r>
    </w:p>
    <w:p>
      <w:pPr>
        <w:spacing w:after="0" w:line="195" w:lineRule="exact"/>
        <w:rPr>
          <w:sz w:val="24"/>
          <w:szCs w:val="24"/>
          <w:color w:val="auto"/>
        </w:rPr>
      </w:pPr>
    </w:p>
    <w:p>
      <w:pPr>
        <w:jc w:val="center"/>
        <w:ind w:right="-99"/>
        <w:spacing w:after="0"/>
        <w:rPr>
          <w:sz w:val="20"/>
          <w:szCs w:val="20"/>
          <w:color w:val="auto"/>
        </w:rPr>
      </w:pPr>
      <w:r>
        <w:rPr>
          <w:rFonts w:ascii="Arial" w:cs="Arial" w:eastAsia="Arial" w:hAnsi="Arial"/>
          <w:sz w:val="13"/>
          <w:szCs w:val="13"/>
          <w:color w:val="auto"/>
        </w:rPr>
        <w:t>Date of Report (Date of earliest event reported): April 21, 2010</w:t>
      </w:r>
    </w:p>
    <w:p>
      <w:pPr>
        <w:spacing w:after="0" w:line="17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MANPOWER INC.</w:t>
      </w:r>
    </w:p>
    <w:p>
      <w:pPr>
        <w:spacing w:after="0" w:line="37" w:lineRule="exact"/>
        <w:rPr>
          <w:sz w:val="24"/>
          <w:szCs w:val="24"/>
          <w:color w:val="auto"/>
        </w:rPr>
      </w:pPr>
    </w:p>
    <w:p>
      <w:pPr>
        <w:jc w:val="center"/>
        <w:ind w:right="-99"/>
        <w:spacing w:after="0"/>
        <w:rPr>
          <w:sz w:val="20"/>
          <w:szCs w:val="20"/>
          <w:color w:val="auto"/>
        </w:rPr>
      </w:pPr>
      <w:r>
        <w:rPr>
          <w:rFonts w:ascii="Arial" w:cs="Arial" w:eastAsia="Arial" w:hAnsi="Arial"/>
          <w:sz w:val="13"/>
          <w:szCs w:val="13"/>
          <w:color w:val="auto"/>
        </w:rPr>
        <w:t>(Exact name of registrant as specified in its charter)</w:t>
      </w:r>
    </w:p>
    <w:p>
      <w:pPr>
        <w:sectPr>
          <w:pgSz w:w="11900" w:h="16838" w:orient="portrait"/>
          <w:cols w:equalWidth="0" w:num="1">
            <w:col w:w="11360"/>
          </w:cols>
          <w:pgMar w:left="220" w:top="369" w:right="319" w:bottom="1440" w:gutter="0" w:footer="0" w:header="0"/>
        </w:sectPr>
      </w:pPr>
    </w:p>
    <w:p>
      <w:pPr>
        <w:spacing w:after="0" w:line="339" w:lineRule="exact"/>
        <w:rPr>
          <w:sz w:val="24"/>
          <w:szCs w:val="24"/>
          <w:color w:val="auto"/>
        </w:rPr>
      </w:pPr>
    </w:p>
    <w:p>
      <w:pPr>
        <w:jc w:val="center"/>
        <w:ind w:left="1020"/>
        <w:spacing w:after="0"/>
        <w:rPr>
          <w:sz w:val="20"/>
          <w:szCs w:val="20"/>
          <w:color w:val="auto"/>
        </w:rPr>
      </w:pPr>
      <w:r>
        <w:rPr>
          <w:rFonts w:ascii="Arial" w:cs="Arial" w:eastAsia="Arial" w:hAnsi="Arial"/>
          <w:sz w:val="13"/>
          <w:szCs w:val="13"/>
          <w:b w:val="1"/>
          <w:bCs w:val="1"/>
          <w:color w:val="auto"/>
        </w:rPr>
        <w:t>Wisconsin</w:t>
      </w:r>
    </w:p>
    <w:p>
      <w:pPr>
        <w:spacing w:after="0" w:line="24" w:lineRule="exact"/>
        <w:rPr>
          <w:sz w:val="24"/>
          <w:szCs w:val="24"/>
          <w:color w:val="auto"/>
        </w:rPr>
      </w:pPr>
    </w:p>
    <w:p>
      <w:pPr>
        <w:jc w:val="center"/>
        <w:ind w:left="1020"/>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19" w:lineRule="exact"/>
        <w:rPr>
          <w:sz w:val="24"/>
          <w:szCs w:val="24"/>
          <w:color w:val="auto"/>
        </w:rPr>
      </w:pPr>
    </w:p>
    <w:p>
      <w:pPr>
        <w:jc w:val="center"/>
        <w:ind w:right="640"/>
        <w:spacing w:after="0"/>
        <w:rPr>
          <w:sz w:val="20"/>
          <w:szCs w:val="20"/>
          <w:color w:val="auto"/>
        </w:rPr>
      </w:pPr>
      <w:r>
        <w:rPr>
          <w:rFonts w:ascii="Arial" w:cs="Arial" w:eastAsia="Arial" w:hAnsi="Arial"/>
          <w:sz w:val="13"/>
          <w:szCs w:val="13"/>
          <w:b w:val="1"/>
          <w:bCs w:val="1"/>
          <w:color w:val="auto"/>
        </w:rPr>
        <w:t>1-10686</w:t>
      </w:r>
    </w:p>
    <w:p>
      <w:pPr>
        <w:spacing w:after="0" w:line="24" w:lineRule="exact"/>
        <w:rPr>
          <w:sz w:val="24"/>
          <w:szCs w:val="24"/>
          <w:color w:val="auto"/>
        </w:rPr>
      </w:pPr>
    </w:p>
    <w:p>
      <w:pPr>
        <w:jc w:val="center"/>
        <w:ind w:right="64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319" w:lineRule="exact"/>
        <w:rPr>
          <w:sz w:val="24"/>
          <w:szCs w:val="24"/>
          <w:color w:val="auto"/>
        </w:rPr>
      </w:pPr>
    </w:p>
    <w:p>
      <w:pPr>
        <w:jc w:val="center"/>
        <w:ind w:right="1560"/>
        <w:spacing w:after="0"/>
        <w:rPr>
          <w:sz w:val="20"/>
          <w:szCs w:val="20"/>
          <w:color w:val="auto"/>
        </w:rPr>
      </w:pPr>
      <w:r>
        <w:rPr>
          <w:rFonts w:ascii="Arial" w:cs="Arial" w:eastAsia="Arial" w:hAnsi="Arial"/>
          <w:sz w:val="13"/>
          <w:szCs w:val="13"/>
          <w:b w:val="1"/>
          <w:bCs w:val="1"/>
          <w:color w:val="auto"/>
        </w:rPr>
        <w:t>39-1672779</w:t>
      </w:r>
    </w:p>
    <w:p>
      <w:pPr>
        <w:spacing w:after="0" w:line="24" w:lineRule="exact"/>
        <w:rPr>
          <w:sz w:val="24"/>
          <w:szCs w:val="24"/>
          <w:color w:val="auto"/>
        </w:rPr>
      </w:pPr>
    </w:p>
    <w:p>
      <w:pPr>
        <w:jc w:val="center"/>
        <w:ind w:right="1560"/>
        <w:spacing w:after="0"/>
        <w:rPr>
          <w:sz w:val="20"/>
          <w:szCs w:val="20"/>
          <w:color w:val="auto"/>
        </w:rPr>
      </w:pPr>
      <w:r>
        <w:rPr>
          <w:rFonts w:ascii="Arial" w:cs="Arial" w:eastAsia="Arial" w:hAnsi="Arial"/>
          <w:sz w:val="12"/>
          <w:szCs w:val="12"/>
          <w:b w:val="1"/>
          <w:bCs w:val="1"/>
          <w:color w:val="auto"/>
        </w:rPr>
        <w:t>(IRS Employer Identification No.)</w:t>
      </w:r>
    </w:p>
    <w:p>
      <w:pPr>
        <w:spacing w:after="0" w:line="200" w:lineRule="exact"/>
        <w:rPr>
          <w:sz w:val="24"/>
          <w:szCs w:val="24"/>
          <w:color w:val="auto"/>
        </w:rPr>
      </w:pPr>
    </w:p>
    <w:p>
      <w:pPr>
        <w:sectPr>
          <w:pgSz w:w="11900" w:h="16838" w:orient="portrait"/>
          <w:cols w:equalWidth="0" w:num="3">
            <w:col w:w="4240" w:space="720"/>
            <w:col w:w="2180" w:space="720"/>
            <w:col w:w="3500"/>
          </w:cols>
          <w:pgMar w:left="220" w:top="369" w:right="319" w:bottom="1440" w:gutter="0" w:footer="0" w:header="0"/>
          <w:type w:val="continuous"/>
        </w:sectPr>
      </w:pPr>
    </w:p>
    <w:p>
      <w:pPr>
        <w:spacing w:after="0" w:line="173" w:lineRule="exact"/>
        <w:rPr>
          <w:sz w:val="24"/>
          <w:szCs w:val="24"/>
          <w:color w:val="auto"/>
        </w:rPr>
      </w:pPr>
    </w:p>
    <w:p>
      <w:pPr>
        <w:jc w:val="center"/>
        <w:ind w:right="220"/>
        <w:spacing w:after="0"/>
        <w:rPr>
          <w:sz w:val="20"/>
          <w:szCs w:val="20"/>
          <w:color w:val="auto"/>
        </w:rPr>
      </w:pPr>
      <w:r>
        <w:rPr>
          <w:rFonts w:ascii="Arial" w:cs="Arial" w:eastAsia="Arial" w:hAnsi="Arial"/>
          <w:sz w:val="13"/>
          <w:szCs w:val="13"/>
          <w:b w:val="1"/>
          <w:bCs w:val="1"/>
          <w:color w:val="auto"/>
        </w:rPr>
        <w:t>100 Manpower Place</w:t>
      </w:r>
    </w:p>
    <w:p>
      <w:pPr>
        <w:spacing w:after="0" w:line="24" w:lineRule="exact"/>
        <w:rPr>
          <w:sz w:val="24"/>
          <w:szCs w:val="24"/>
          <w:color w:val="auto"/>
        </w:rPr>
      </w:pPr>
    </w:p>
    <w:p>
      <w:pPr>
        <w:jc w:val="center"/>
        <w:ind w:right="220"/>
        <w:spacing w:after="0"/>
        <w:rPr>
          <w:sz w:val="20"/>
          <w:szCs w:val="20"/>
          <w:color w:val="auto"/>
        </w:rPr>
      </w:pPr>
      <w:r>
        <w:rPr>
          <w:rFonts w:ascii="Arial" w:cs="Arial" w:eastAsia="Arial" w:hAnsi="Arial"/>
          <w:sz w:val="13"/>
          <w:szCs w:val="13"/>
          <w:b w:val="1"/>
          <w:bCs w:val="1"/>
          <w:color w:val="auto"/>
        </w:rPr>
        <w:t>Milwaukee, Wisconsin</w:t>
      </w:r>
    </w:p>
    <w:p>
      <w:pPr>
        <w:spacing w:after="0" w:line="11" w:lineRule="exact"/>
        <w:rPr>
          <w:sz w:val="24"/>
          <w:szCs w:val="24"/>
          <w:color w:val="auto"/>
        </w:rPr>
      </w:pPr>
    </w:p>
    <w:p>
      <w:pPr>
        <w:jc w:val="center"/>
        <w:ind w:right="22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13" w:lineRule="exact"/>
        <w:rPr>
          <w:sz w:val="24"/>
          <w:szCs w:val="24"/>
          <w:color w:val="auto"/>
        </w:rPr>
      </w:pPr>
    </w:p>
    <w:p>
      <w:pPr>
        <w:jc w:val="center"/>
        <w:ind w:right="3100"/>
        <w:spacing w:after="0"/>
        <w:rPr>
          <w:sz w:val="20"/>
          <w:szCs w:val="20"/>
          <w:color w:val="auto"/>
        </w:rPr>
      </w:pPr>
      <w:r>
        <w:rPr>
          <w:rFonts w:ascii="Arial" w:cs="Arial" w:eastAsia="Arial" w:hAnsi="Arial"/>
          <w:sz w:val="13"/>
          <w:szCs w:val="13"/>
          <w:b w:val="1"/>
          <w:bCs w:val="1"/>
          <w:color w:val="auto"/>
        </w:rPr>
        <w:t>53212</w:t>
      </w:r>
    </w:p>
    <w:p>
      <w:pPr>
        <w:spacing w:after="0" w:line="24" w:lineRule="exact"/>
        <w:rPr>
          <w:sz w:val="24"/>
          <w:szCs w:val="24"/>
          <w:color w:val="auto"/>
        </w:rPr>
      </w:pPr>
    </w:p>
    <w:p>
      <w:pPr>
        <w:jc w:val="center"/>
        <w:ind w:right="3100"/>
        <w:spacing w:after="0"/>
        <w:rPr>
          <w:sz w:val="20"/>
          <w:szCs w:val="20"/>
          <w:color w:val="auto"/>
        </w:rPr>
      </w:pPr>
      <w:r>
        <w:rPr>
          <w:rFonts w:ascii="Arial" w:cs="Arial" w:eastAsia="Arial" w:hAnsi="Arial"/>
          <w:sz w:val="12"/>
          <w:szCs w:val="12"/>
          <w:b w:val="1"/>
          <w:bCs w:val="1"/>
          <w:color w:val="auto"/>
        </w:rPr>
        <w:t>(Zip Code)</w:t>
      </w:r>
    </w:p>
    <w:p>
      <w:pPr>
        <w:spacing w:after="0" w:line="193" w:lineRule="exact"/>
        <w:rPr>
          <w:sz w:val="24"/>
          <w:szCs w:val="24"/>
          <w:color w:val="auto"/>
        </w:rPr>
      </w:pPr>
    </w:p>
    <w:p>
      <w:pPr>
        <w:sectPr>
          <w:pgSz w:w="11900" w:h="16838" w:orient="portrait"/>
          <w:cols w:equalWidth="0" w:num="2">
            <w:col w:w="6920" w:space="720"/>
            <w:col w:w="3720"/>
          </w:cols>
          <w:pgMar w:left="220" w:top="369" w:right="319" w:bottom="1440" w:gutter="0" w:footer="0" w:header="0"/>
          <w:type w:val="continuous"/>
        </w:sectPr>
      </w:pPr>
    </w:p>
    <w:p>
      <w:pPr>
        <w:jc w:val="center"/>
        <w:ind w:right="-99"/>
        <w:spacing w:after="0"/>
        <w:rPr>
          <w:sz w:val="20"/>
          <w:szCs w:val="20"/>
          <w:color w:val="auto"/>
        </w:rPr>
      </w:pPr>
      <w:r>
        <w:rPr>
          <w:rFonts w:ascii="Arial" w:cs="Arial" w:eastAsia="Arial" w:hAnsi="Arial"/>
          <w:sz w:val="13"/>
          <w:szCs w:val="13"/>
          <w:color w:val="auto"/>
        </w:rPr>
        <w:t>Registrant's telephone number, including area code: (414) 961-1000</w:t>
      </w:r>
    </w:p>
    <w:p>
      <w:pPr>
        <w:spacing w:after="0" w:line="193"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204" w:lineRule="exact"/>
        <w:rPr>
          <w:sz w:val="24"/>
          <w:szCs w:val="24"/>
          <w:color w:val="auto"/>
        </w:rPr>
      </w:pPr>
    </w:p>
    <w:p>
      <w:pPr>
        <w:ind w:left="440"/>
        <w:spacing w:after="0"/>
        <w:rPr>
          <w:sz w:val="20"/>
          <w:szCs w:val="20"/>
          <w:color w:val="auto"/>
        </w:rPr>
      </w:pPr>
      <w:r>
        <w:rPr>
          <w:rFonts w:ascii="Arial" w:cs="Arial" w:eastAsia="Arial" w:hAnsi="Arial"/>
          <w:sz w:val="13"/>
          <w:szCs w:val="13"/>
          <w:color w:val="auto"/>
        </w:rPr>
        <w:t>Written communications pursuant to Rule 425 under the Securities Act (17 CFR 230.425)</w:t>
      </w:r>
    </w:p>
    <w:p>
      <w:pPr>
        <w:spacing w:after="0" w:line="193" w:lineRule="exact"/>
        <w:rPr>
          <w:sz w:val="24"/>
          <w:szCs w:val="24"/>
          <w:color w:val="auto"/>
        </w:rPr>
      </w:pPr>
    </w:p>
    <w:p>
      <w:pPr>
        <w:ind w:left="440"/>
        <w:spacing w:after="0"/>
        <w:rPr>
          <w:sz w:val="20"/>
          <w:szCs w:val="20"/>
          <w:color w:val="auto"/>
        </w:rPr>
      </w:pPr>
      <w:r>
        <w:rPr>
          <w:rFonts w:ascii="Arial" w:cs="Arial" w:eastAsia="Arial" w:hAnsi="Arial"/>
          <w:sz w:val="13"/>
          <w:szCs w:val="13"/>
          <w:color w:val="auto"/>
        </w:rPr>
        <w:t>Soliciting material pursuant to Rule 14a-12 under the Securities Act (17 CFR 240.14a-12)</w:t>
      </w:r>
    </w:p>
    <w:p>
      <w:pPr>
        <w:spacing w:after="0" w:line="193" w:lineRule="exact"/>
        <w:rPr>
          <w:sz w:val="24"/>
          <w:szCs w:val="24"/>
          <w:color w:val="auto"/>
        </w:rPr>
      </w:pPr>
    </w:p>
    <w:p>
      <w:pPr>
        <w:ind w:left="440"/>
        <w:spacing w:after="0"/>
        <w:rPr>
          <w:sz w:val="20"/>
          <w:szCs w:val="20"/>
          <w:color w:val="auto"/>
        </w:rPr>
      </w:pPr>
      <w:r>
        <w:rPr>
          <w:rFonts w:ascii="Arial" w:cs="Arial" w:eastAsia="Arial" w:hAnsi="Arial"/>
          <w:sz w:val="13"/>
          <w:szCs w:val="13"/>
          <w:color w:val="auto"/>
        </w:rPr>
        <w:t>Pre-commencement communications pursuant to Rule 14d-2(b) under the Exchange Act (17 CFR 240.14d-2(b))</w:t>
      </w:r>
    </w:p>
    <w:p>
      <w:pPr>
        <w:spacing w:after="0" w:line="193" w:lineRule="exact"/>
        <w:rPr>
          <w:sz w:val="24"/>
          <w:szCs w:val="24"/>
          <w:color w:val="auto"/>
        </w:rPr>
      </w:pPr>
    </w:p>
    <w:p>
      <w:pPr>
        <w:ind w:left="440"/>
        <w:spacing w:after="0"/>
        <w:rPr>
          <w:sz w:val="20"/>
          <w:szCs w:val="20"/>
          <w:color w:val="auto"/>
        </w:rPr>
      </w:pPr>
      <w:r>
        <w:rPr>
          <w:rFonts w:ascii="Arial" w:cs="Arial" w:eastAsia="Arial" w:hAnsi="Arial"/>
          <w:sz w:val="13"/>
          <w:szCs w:val="13"/>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287895" cy="19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360"/>
          </w:cols>
          <w:pgMar w:left="220" w:top="369"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Item 2.02  Results of Operations and Financial Condition</w:t>
      </w:r>
    </w:p>
    <w:p>
      <w:pPr>
        <w:spacing w:after="0" w:line="195" w:lineRule="exact"/>
        <w:rPr>
          <w:sz w:val="20"/>
          <w:szCs w:val="20"/>
          <w:color w:val="auto"/>
        </w:rPr>
      </w:pPr>
    </w:p>
    <w:p>
      <w:pPr>
        <w:ind w:right="560" w:firstLine="483"/>
        <w:spacing w:after="0" w:line="293" w:lineRule="auto"/>
        <w:rPr>
          <w:sz w:val="20"/>
          <w:szCs w:val="20"/>
          <w:color w:val="auto"/>
        </w:rPr>
      </w:pPr>
      <w:r>
        <w:rPr>
          <w:rFonts w:ascii="Arial" w:cs="Arial" w:eastAsia="Arial" w:hAnsi="Arial"/>
          <w:sz w:val="13"/>
          <w:szCs w:val="13"/>
          <w:color w:val="auto"/>
        </w:rPr>
        <w:t>On April 21, 2010, we issued a press release announcing our results of operations for the three months ended March 31, 2010. A copy of the press release is attached hereto as Exhibit 99.1 and is incorporated herein by reference.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60" w:type="dxa"/>
            <w:vAlign w:val="bottom"/>
            <w:gridSpan w:val="2"/>
          </w:tcPr>
          <w:p>
            <w:pPr>
              <w:jc w:val="right"/>
              <w:ind w:right="613"/>
              <w:spacing w:after="0"/>
              <w:rPr>
                <w:sz w:val="20"/>
                <w:szCs w:val="20"/>
                <w:color w:val="auto"/>
              </w:rPr>
            </w:pPr>
            <w:r>
              <w:rPr>
                <w:rFonts w:ascii="Arial" w:cs="Arial" w:eastAsia="Arial" w:hAnsi="Arial"/>
                <w:sz w:val="13"/>
                <w:szCs w:val="13"/>
                <w:b w:val="1"/>
                <w:bCs w:val="1"/>
                <w:color w:val="auto"/>
                <w:w w:val="94"/>
              </w:rPr>
              <w:t>Item 9.01.</w:t>
            </w:r>
          </w:p>
        </w:tc>
        <w:tc>
          <w:tcPr>
            <w:tcW w:w="7920" w:type="dxa"/>
            <w:vAlign w:val="bottom"/>
            <w:gridSpan w:val="3"/>
          </w:tcPr>
          <w:p>
            <w:pPr>
              <w:ind w:left="40"/>
              <w:spacing w:after="0"/>
              <w:rPr>
                <w:sz w:val="20"/>
                <w:szCs w:val="20"/>
                <w:color w:val="auto"/>
              </w:rPr>
            </w:pPr>
            <w:r>
              <w:rPr>
                <w:rFonts w:ascii="Arial" w:cs="Arial" w:eastAsia="Arial" w:hAnsi="Arial"/>
                <w:sz w:val="13"/>
                <w:szCs w:val="13"/>
                <w:b w:val="1"/>
                <w:bCs w:val="1"/>
                <w:color w:val="auto"/>
              </w:rPr>
              <w:t>Exhibits</w:t>
            </w:r>
            <w:r>
              <w:rPr>
                <w:rFonts w:ascii="Arial" w:cs="Arial" w:eastAsia="Arial" w:hAnsi="Arial"/>
                <w:sz w:val="13"/>
                <w:szCs w:val="13"/>
                <w:color w:val="auto"/>
              </w:rPr>
              <w:t>.</w:t>
            </w:r>
          </w:p>
        </w:tc>
        <w:tc>
          <w:tcPr>
            <w:tcW w:w="2280" w:type="dxa"/>
            <w:vAlign w:val="bottom"/>
          </w:tcPr>
          <w:p>
            <w:pPr>
              <w:spacing w:after="0"/>
              <w:rPr>
                <w:sz w:val="15"/>
                <w:szCs w:val="15"/>
                <w:color w:val="auto"/>
              </w:rPr>
            </w:pPr>
          </w:p>
        </w:tc>
      </w:tr>
      <w:tr>
        <w:trPr>
          <w:trHeight w:val="342"/>
        </w:trPr>
        <w:tc>
          <w:tcPr>
            <w:tcW w:w="2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Exhibit No.</w:t>
            </w:r>
          </w:p>
        </w:tc>
        <w:tc>
          <w:tcPr>
            <w:tcW w:w="50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9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Description</w:t>
            </w:r>
          </w:p>
        </w:tc>
        <w:tc>
          <w:tcPr>
            <w:tcW w:w="2280" w:type="dxa"/>
            <w:vAlign w:val="bottom"/>
          </w:tcPr>
          <w:p>
            <w:pPr>
              <w:spacing w:after="0"/>
              <w:rPr>
                <w:sz w:val="24"/>
                <w:szCs w:val="24"/>
                <w:color w:val="auto"/>
              </w:rPr>
            </w:pPr>
          </w:p>
        </w:tc>
      </w:tr>
      <w:tr>
        <w:trPr>
          <w:trHeight w:val="150"/>
        </w:trPr>
        <w:tc>
          <w:tcPr>
            <w:tcW w:w="20" w:type="dxa"/>
            <w:vAlign w:val="bottom"/>
          </w:tcPr>
          <w:p>
            <w:pPr>
              <w:spacing w:after="0"/>
              <w:rPr>
                <w:sz w:val="13"/>
                <w:szCs w:val="13"/>
                <w:color w:val="auto"/>
              </w:rPr>
            </w:pPr>
          </w:p>
        </w:tc>
        <w:tc>
          <w:tcPr>
            <w:tcW w:w="1240" w:type="dxa"/>
            <w:vAlign w:val="bottom"/>
          </w:tcPr>
          <w:p>
            <w:pPr>
              <w:jc w:val="right"/>
              <w:ind w:right="153"/>
              <w:spacing w:after="0"/>
              <w:rPr>
                <w:sz w:val="20"/>
                <w:szCs w:val="20"/>
                <w:color w:val="auto"/>
              </w:rPr>
            </w:pPr>
            <w:r>
              <w:rPr>
                <w:rFonts w:ascii="Arial" w:cs="Arial" w:eastAsia="Arial" w:hAnsi="Arial"/>
                <w:sz w:val="13"/>
                <w:szCs w:val="13"/>
                <w:color w:val="auto"/>
              </w:rPr>
              <w:t>99.1</w:t>
            </w: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980" w:type="dxa"/>
            <w:vAlign w:val="bottom"/>
          </w:tcPr>
          <w:p>
            <w:pPr>
              <w:spacing w:after="0"/>
              <w:rPr>
                <w:sz w:val="20"/>
                <w:szCs w:val="20"/>
                <w:color w:val="auto"/>
              </w:rPr>
            </w:pPr>
            <w:r>
              <w:rPr>
                <w:rFonts w:ascii="Arial" w:cs="Arial" w:eastAsia="Arial" w:hAnsi="Arial"/>
                <w:sz w:val="13"/>
                <w:szCs w:val="13"/>
                <w:color w:val="auto"/>
              </w:rPr>
              <w:t>Press Release dated April 21, 2010</w:t>
            </w:r>
          </w:p>
        </w:tc>
        <w:tc>
          <w:tcPr>
            <w:tcW w:w="2280" w:type="dxa"/>
            <w:vAlign w:val="bottom"/>
          </w:tcPr>
          <w:p>
            <w:pPr>
              <w:spacing w:after="0"/>
              <w:rPr>
                <w:sz w:val="13"/>
                <w:szCs w:val="13"/>
                <w:color w:val="auto"/>
              </w:rPr>
            </w:pPr>
          </w:p>
        </w:tc>
      </w:tr>
      <w:tr>
        <w:trPr>
          <w:trHeight w:val="171"/>
        </w:trPr>
        <w:tc>
          <w:tcPr>
            <w:tcW w:w="1260" w:type="dxa"/>
            <w:vAlign w:val="bottom"/>
            <w:gridSpan w:val="2"/>
          </w:tcPr>
          <w:p>
            <w:pPr>
              <w:jc w:val="right"/>
              <w:ind w:right="153"/>
              <w:spacing w:after="0"/>
              <w:rPr>
                <w:sz w:val="20"/>
                <w:szCs w:val="20"/>
                <w:color w:val="auto"/>
              </w:rPr>
            </w:pPr>
            <w:r>
              <w:rPr>
                <w:rFonts w:ascii="Arial" w:cs="Arial" w:eastAsia="Arial" w:hAnsi="Arial"/>
                <w:sz w:val="13"/>
                <w:szCs w:val="13"/>
                <w:color w:val="auto"/>
              </w:rPr>
              <w:t>99.2</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980" w:type="dxa"/>
            <w:vAlign w:val="bottom"/>
          </w:tcPr>
          <w:p>
            <w:pPr>
              <w:spacing w:after="0"/>
              <w:rPr>
                <w:sz w:val="20"/>
                <w:szCs w:val="20"/>
                <w:color w:val="auto"/>
              </w:rPr>
            </w:pPr>
            <w:r>
              <w:rPr>
                <w:rFonts w:ascii="Arial" w:cs="Arial" w:eastAsia="Arial" w:hAnsi="Arial"/>
                <w:sz w:val="13"/>
                <w:szCs w:val="13"/>
                <w:color w:val="auto"/>
              </w:rPr>
              <w:t>Presentation materials for April 21, 2010 conference call</w:t>
            </w:r>
          </w:p>
        </w:tc>
        <w:tc>
          <w:tcPr>
            <w:tcW w:w="2280" w:type="dxa"/>
            <w:vAlign w:val="bottom"/>
          </w:tcPr>
          <w:p>
            <w:pPr>
              <w:spacing w:after="0"/>
              <w:rPr>
                <w:sz w:val="14"/>
                <w:szCs w:val="14"/>
                <w:color w:val="auto"/>
              </w:rPr>
            </w:pPr>
          </w:p>
        </w:tc>
      </w:tr>
      <w:tr>
        <w:trPr>
          <w:trHeight w:val="428"/>
        </w:trPr>
        <w:tc>
          <w:tcPr>
            <w:tcW w:w="20" w:type="dxa"/>
            <w:vAlign w:val="bottom"/>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69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288" w:right="219" w:bottom="1440" w:gutter="0" w:footer="0" w:header="0"/>
        </w:sectPr>
      </w:pPr>
    </w:p>
    <w:bookmarkStart w:id="2" w:name="page3"/>
    <w:bookmarkEnd w:id="2"/>
    <w:p>
      <w:pPr>
        <w:ind w:left="5300"/>
        <w:spacing w:after="0"/>
        <w:rPr>
          <w:sz w:val="20"/>
          <w:szCs w:val="20"/>
          <w:color w:val="auto"/>
        </w:rPr>
      </w:pPr>
      <w:r>
        <w:rPr>
          <w:rFonts w:ascii="Arial" w:cs="Arial" w:eastAsia="Arial" w:hAnsi="Arial"/>
          <w:sz w:val="13"/>
          <w:szCs w:val="13"/>
          <w:b w:val="1"/>
          <w:bCs w:val="1"/>
          <w:color w:val="auto"/>
        </w:rPr>
        <w:t>SIGNATURES</w:t>
      </w:r>
    </w:p>
    <w:p>
      <w:pPr>
        <w:spacing w:after="0" w:line="195" w:lineRule="exact"/>
        <w:rPr>
          <w:sz w:val="20"/>
          <w:szCs w:val="20"/>
          <w:color w:val="auto"/>
        </w:rPr>
      </w:pPr>
    </w:p>
    <w:p>
      <w:pPr>
        <w:ind w:left="48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385" w:lineRule="exact"/>
        <w:rPr>
          <w:sz w:val="20"/>
          <w:szCs w:val="20"/>
          <w:color w:val="auto"/>
        </w:rPr>
      </w:pPr>
    </w:p>
    <w:p>
      <w:pPr>
        <w:ind w:left="3900"/>
        <w:spacing w:after="0"/>
        <w:rPr>
          <w:sz w:val="20"/>
          <w:szCs w:val="20"/>
          <w:color w:val="auto"/>
        </w:rPr>
      </w:pPr>
      <w:r>
        <w:rPr>
          <w:rFonts w:ascii="Arial" w:cs="Arial" w:eastAsia="Arial" w:hAnsi="Arial"/>
          <w:sz w:val="13"/>
          <w:szCs w:val="13"/>
          <w:color w:val="auto"/>
        </w:rPr>
        <w:t>MANPOWER INC.</w:t>
      </w:r>
    </w:p>
    <w:p>
      <w:pPr>
        <w:spacing w:after="0" w:line="172" w:lineRule="exact"/>
        <w:rPr>
          <w:sz w:val="20"/>
          <w:szCs w:val="20"/>
          <w:color w:val="auto"/>
        </w:rPr>
      </w:pPr>
    </w:p>
    <w:p>
      <w:pPr>
        <w:spacing w:after="0"/>
        <w:tabs>
          <w:tab w:leader="none" w:pos="3460" w:val="left"/>
          <w:tab w:leader="none" w:pos="3880" w:val="left"/>
        </w:tabs>
        <w:rPr>
          <w:sz w:val="20"/>
          <w:szCs w:val="20"/>
          <w:color w:val="auto"/>
        </w:rPr>
      </w:pPr>
      <w:r>
        <w:rPr>
          <w:rFonts w:ascii="Arial" w:cs="Arial" w:eastAsia="Arial" w:hAnsi="Arial"/>
          <w:sz w:val="13"/>
          <w:szCs w:val="13"/>
          <w:color w:val="auto"/>
        </w:rPr>
        <w:t>Dated: April 21, 2010</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2472055</wp:posOffset>
            </wp:positionH>
            <wp:positionV relativeFrom="paragraph">
              <wp:posOffset>13970</wp:posOffset>
            </wp:positionV>
            <wp:extent cx="2044065" cy="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44065" cy="12700"/>
                    </a:xfrm>
                    <a:prstGeom prst="rect">
                      <a:avLst/>
                    </a:prstGeom>
                    <a:noFill/>
                  </pic:spPr>
                </pic:pic>
              </a:graphicData>
            </a:graphic>
          </wp:anchor>
        </w:drawing>
      </w:r>
    </w:p>
    <w:p>
      <w:pPr>
        <w:spacing w:after="0" w:line="12" w:lineRule="exact"/>
        <w:rPr>
          <w:sz w:val="20"/>
          <w:szCs w:val="20"/>
          <w:color w:val="auto"/>
        </w:rPr>
      </w:pPr>
    </w:p>
    <w:p>
      <w:pPr>
        <w:ind w:left="3900"/>
        <w:spacing w:after="0"/>
        <w:rPr>
          <w:sz w:val="20"/>
          <w:szCs w:val="20"/>
          <w:color w:val="auto"/>
        </w:rPr>
      </w:pPr>
      <w:r>
        <w:rPr>
          <w:rFonts w:ascii="Arial" w:cs="Arial" w:eastAsia="Arial" w:hAnsi="Arial"/>
          <w:sz w:val="13"/>
          <w:szCs w:val="13"/>
          <w:color w:val="auto"/>
        </w:rPr>
        <w:t>Michael J. Van Handel</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13"/>
          <w:szCs w:val="13"/>
          <w:color w:val="auto"/>
        </w:rPr>
        <w:t>Executive Vice President and</w:t>
      </w:r>
    </w:p>
    <w:p>
      <w:pPr>
        <w:spacing w:after="0" w:line="11" w:lineRule="exact"/>
        <w:rPr>
          <w:sz w:val="20"/>
          <w:szCs w:val="20"/>
          <w:color w:val="auto"/>
        </w:rPr>
      </w:pPr>
    </w:p>
    <w:p>
      <w:pPr>
        <w:ind w:left="3900"/>
        <w:spacing w:after="0"/>
        <w:rPr>
          <w:sz w:val="20"/>
          <w:szCs w:val="20"/>
          <w:color w:val="auto"/>
        </w:rPr>
      </w:pPr>
      <w:r>
        <w:rPr>
          <w:rFonts w:ascii="Arial" w:cs="Arial" w:eastAsia="Arial" w:hAnsi="Arial"/>
          <w:sz w:val="13"/>
          <w:szCs w:val="13"/>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170180</wp:posOffset>
            </wp:positionV>
            <wp:extent cx="728789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320"/>
          </w:cols>
          <w:pgMar w:left="220" w:top="308" w:right="1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3"/>
        </w:trPr>
        <w:tc>
          <w:tcPr>
            <w:tcW w:w="1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980" w:type="dxa"/>
            <w:vAlign w:val="bottom"/>
          </w:tcPr>
          <w:p>
            <w:pPr>
              <w:ind w:left="3020"/>
              <w:spacing w:after="0"/>
              <w:rPr>
                <w:sz w:val="20"/>
                <w:szCs w:val="20"/>
                <w:color w:val="auto"/>
              </w:rPr>
            </w:pPr>
            <w:r>
              <w:rPr>
                <w:rFonts w:ascii="Arial" w:cs="Arial" w:eastAsia="Arial" w:hAnsi="Arial"/>
                <w:sz w:val="13"/>
                <w:szCs w:val="13"/>
                <w:b w:val="1"/>
                <w:bCs w:val="1"/>
                <w:color w:val="auto"/>
              </w:rPr>
              <w:t>EXHIBIT INDEX</w:t>
            </w:r>
          </w:p>
        </w:tc>
      </w:tr>
      <w:tr>
        <w:trPr>
          <w:trHeight w:val="342"/>
        </w:trPr>
        <w:tc>
          <w:tcPr>
            <w:tcW w:w="176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b w:val="1"/>
                <w:bCs w:val="1"/>
                <w:color w:val="auto"/>
              </w:rPr>
              <w:t>Exhibit No.</w:t>
            </w:r>
          </w:p>
        </w:tc>
        <w:tc>
          <w:tcPr>
            <w:tcW w:w="440" w:type="dxa"/>
            <w:vAlign w:val="bottom"/>
          </w:tcPr>
          <w:p>
            <w:pPr>
              <w:spacing w:after="0"/>
              <w:rPr>
                <w:sz w:val="24"/>
                <w:szCs w:val="24"/>
                <w:color w:val="auto"/>
              </w:rPr>
            </w:pPr>
          </w:p>
        </w:tc>
        <w:tc>
          <w:tcPr>
            <w:tcW w:w="69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Description</w:t>
            </w:r>
          </w:p>
        </w:tc>
      </w:tr>
      <w:tr>
        <w:trPr>
          <w:trHeight w:val="150"/>
        </w:trPr>
        <w:tc>
          <w:tcPr>
            <w:tcW w:w="1760" w:type="dxa"/>
            <w:vAlign w:val="bottom"/>
          </w:tcPr>
          <w:p>
            <w:pPr>
              <w:jc w:val="right"/>
              <w:ind w:right="653"/>
              <w:spacing w:after="0"/>
              <w:rPr>
                <w:sz w:val="20"/>
                <w:szCs w:val="20"/>
                <w:color w:val="auto"/>
              </w:rPr>
            </w:pPr>
            <w:r>
              <w:rPr>
                <w:rFonts w:ascii="Arial" w:cs="Arial" w:eastAsia="Arial" w:hAnsi="Arial"/>
                <w:sz w:val="13"/>
                <w:szCs w:val="13"/>
                <w:color w:val="auto"/>
              </w:rPr>
              <w:t>99.1</w:t>
            </w:r>
          </w:p>
        </w:tc>
        <w:tc>
          <w:tcPr>
            <w:tcW w:w="440" w:type="dxa"/>
            <w:vAlign w:val="bottom"/>
          </w:tcPr>
          <w:p>
            <w:pPr>
              <w:spacing w:after="0"/>
              <w:rPr>
                <w:sz w:val="13"/>
                <w:szCs w:val="13"/>
                <w:color w:val="auto"/>
              </w:rPr>
            </w:pPr>
          </w:p>
        </w:tc>
        <w:tc>
          <w:tcPr>
            <w:tcW w:w="6980" w:type="dxa"/>
            <w:vAlign w:val="bottom"/>
          </w:tcPr>
          <w:p>
            <w:pPr>
              <w:spacing w:after="0"/>
              <w:rPr>
                <w:sz w:val="20"/>
                <w:szCs w:val="20"/>
                <w:color w:val="auto"/>
              </w:rPr>
            </w:pPr>
            <w:r>
              <w:rPr>
                <w:rFonts w:ascii="Arial" w:cs="Arial" w:eastAsia="Arial" w:hAnsi="Arial"/>
                <w:sz w:val="13"/>
                <w:szCs w:val="13"/>
                <w:color w:val="auto"/>
              </w:rPr>
              <w:t>Press Release dated April 21, 2010</w:t>
            </w:r>
          </w:p>
        </w:tc>
      </w:tr>
      <w:tr>
        <w:trPr>
          <w:trHeight w:val="171"/>
        </w:trPr>
        <w:tc>
          <w:tcPr>
            <w:tcW w:w="1760" w:type="dxa"/>
            <w:vAlign w:val="bottom"/>
          </w:tcPr>
          <w:p>
            <w:pPr>
              <w:jc w:val="right"/>
              <w:ind w:right="653"/>
              <w:spacing w:after="0"/>
              <w:rPr>
                <w:sz w:val="20"/>
                <w:szCs w:val="20"/>
                <w:color w:val="auto"/>
              </w:rPr>
            </w:pPr>
            <w:r>
              <w:rPr>
                <w:rFonts w:ascii="Arial" w:cs="Arial" w:eastAsia="Arial" w:hAnsi="Arial"/>
                <w:sz w:val="13"/>
                <w:szCs w:val="13"/>
                <w:color w:val="auto"/>
              </w:rPr>
              <w:t>99.2</w:t>
            </w:r>
          </w:p>
        </w:tc>
        <w:tc>
          <w:tcPr>
            <w:tcW w:w="440" w:type="dxa"/>
            <w:vAlign w:val="bottom"/>
          </w:tcPr>
          <w:p>
            <w:pPr>
              <w:spacing w:after="0"/>
              <w:rPr>
                <w:sz w:val="14"/>
                <w:szCs w:val="14"/>
                <w:color w:val="auto"/>
              </w:rPr>
            </w:pPr>
          </w:p>
        </w:tc>
        <w:tc>
          <w:tcPr>
            <w:tcW w:w="6980" w:type="dxa"/>
            <w:vAlign w:val="bottom"/>
          </w:tcPr>
          <w:p>
            <w:pPr>
              <w:spacing w:after="0"/>
              <w:rPr>
                <w:sz w:val="20"/>
                <w:szCs w:val="20"/>
                <w:color w:val="auto"/>
              </w:rPr>
            </w:pPr>
            <w:r>
              <w:rPr>
                <w:rFonts w:ascii="Arial" w:cs="Arial" w:eastAsia="Arial" w:hAnsi="Arial"/>
                <w:sz w:val="13"/>
                <w:szCs w:val="13"/>
                <w:color w:val="auto"/>
              </w:rPr>
              <w:t>Presentation materials for April 21, 2010 conference call</w:t>
            </w:r>
          </w:p>
        </w:tc>
      </w:tr>
    </w:tbl>
    <w:p>
      <w:pPr>
        <w:sectPr>
          <w:pgSz w:w="11900" w:h="16838" w:orient="portrait"/>
          <w:cols w:equalWidth="0" w:num="1">
            <w:col w:w="10239"/>
          </w:cols>
          <w:pgMar w:left="220" w:top="28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128270</wp:posOffset>
            </wp:positionV>
            <wp:extent cx="862330" cy="798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2330" cy="798195"/>
                    </a:xfrm>
                    <a:prstGeom prst="rect">
                      <a:avLst/>
                    </a:prstGeom>
                    <a:noFill/>
                  </pic:spPr>
                </pic:pic>
              </a:graphicData>
            </a:graphic>
          </wp:anchor>
        </w:drawing>
      </w:r>
    </w:p>
    <w:p>
      <w:pPr>
        <w:sectPr>
          <w:pgSz w:w="11900" w:h="16838" w:orient="portrait"/>
          <w:cols w:equalWidth="0" w:num="1">
            <w:col w:w="10740"/>
          </w:cols>
          <w:pgMar w:left="940" w:top="300"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Mike Van Handel</w:t>
      </w:r>
    </w:p>
    <w:p>
      <w:pPr>
        <w:spacing w:after="0" w:line="236" w:lineRule="auto"/>
        <w:rPr>
          <w:sz w:val="20"/>
          <w:szCs w:val="20"/>
          <w:color w:val="auto"/>
        </w:rPr>
      </w:pPr>
      <w:r>
        <w:rPr>
          <w:rFonts w:ascii="Arial" w:cs="Arial" w:eastAsia="Arial" w:hAnsi="Arial"/>
          <w:sz w:val="16"/>
          <w:szCs w:val="16"/>
          <w:color w:val="auto"/>
        </w:rPr>
        <w:t>Manpower Inc.</w:t>
      </w:r>
    </w:p>
    <w:p>
      <w:pPr>
        <w:spacing w:after="0" w:line="236" w:lineRule="auto"/>
        <w:rPr>
          <w:sz w:val="20"/>
          <w:szCs w:val="20"/>
          <w:color w:val="auto"/>
        </w:rPr>
      </w:pPr>
      <w:r>
        <w:rPr>
          <w:rFonts w:ascii="Arial" w:cs="Arial" w:eastAsia="Arial" w:hAnsi="Arial"/>
          <w:sz w:val="16"/>
          <w:szCs w:val="16"/>
          <w:color w:val="auto"/>
        </w:rPr>
        <w:t>+1.414.906.6305</w:t>
      </w:r>
    </w:p>
    <w:p>
      <w:pPr>
        <w:spacing w:after="0"/>
        <w:rPr>
          <w:sz w:val="20"/>
          <w:szCs w:val="20"/>
          <w:color w:val="auto"/>
        </w:rPr>
      </w:pPr>
      <w:r>
        <w:rPr>
          <w:rFonts w:ascii="Arial" w:cs="Arial" w:eastAsia="Arial" w:hAnsi="Arial"/>
          <w:sz w:val="14"/>
          <w:szCs w:val="14"/>
          <w:color w:val="auto"/>
        </w:rPr>
        <w:t>michael.vanhandel@manpower.com</w:t>
      </w:r>
    </w:p>
    <w:p>
      <w:pPr>
        <w:spacing w:after="0" w:line="183" w:lineRule="exact"/>
        <w:rPr>
          <w:sz w:val="20"/>
          <w:szCs w:val="20"/>
          <w:color w:val="auto"/>
        </w:rPr>
      </w:pPr>
    </w:p>
    <w:p>
      <w:pPr>
        <w:sectPr>
          <w:pgSz w:w="11900" w:h="16838" w:orient="portrait"/>
          <w:cols w:equalWidth="0" w:num="2">
            <w:col w:w="3640" w:space="720"/>
            <w:col w:w="6380"/>
          </w:cols>
          <w:pgMar w:left="940" w:top="300" w:right="21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Manpower Reports 1</w:t>
      </w:r>
      <w:r>
        <w:rPr>
          <w:rFonts w:ascii="Arial" w:cs="Arial" w:eastAsia="Arial" w:hAnsi="Arial"/>
          <w:sz w:val="10"/>
          <w:szCs w:val="10"/>
          <w:b w:val="1"/>
          <w:bCs w:val="1"/>
          <w:color w:val="auto"/>
        </w:rPr>
        <w:t>st</w:t>
      </w:r>
      <w:r>
        <w:rPr>
          <w:rFonts w:ascii="Arial" w:cs="Arial" w:eastAsia="Arial" w:hAnsi="Arial"/>
          <w:sz w:val="14"/>
          <w:szCs w:val="14"/>
          <w:b w:val="1"/>
          <w:bCs w:val="1"/>
          <w:color w:val="auto"/>
        </w:rPr>
        <w:t xml:space="preserve"> Quarter 2010 Results</w:t>
      </w:r>
    </w:p>
    <w:p>
      <w:pPr>
        <w:sectPr>
          <w:pgSz w:w="11900" w:h="16838" w:orient="portrait"/>
          <w:cols w:equalWidth="0" w:num="1">
            <w:col w:w="10740"/>
          </w:cols>
          <w:pgMar w:left="940" w:top="300" w:right="219" w:bottom="1440" w:gutter="0" w:footer="0" w:header="0"/>
          <w:type w:val="continuous"/>
        </w:sectPr>
      </w:pPr>
    </w:p>
    <w:p>
      <w:pPr>
        <w:spacing w:after="0" w:line="386" w:lineRule="exact"/>
        <w:rPr>
          <w:sz w:val="20"/>
          <w:szCs w:val="20"/>
          <w:color w:val="auto"/>
        </w:rPr>
      </w:pPr>
    </w:p>
    <w:p>
      <w:pPr>
        <w:ind w:right="800"/>
        <w:spacing w:after="0" w:line="250" w:lineRule="auto"/>
        <w:rPr>
          <w:sz w:val="20"/>
          <w:szCs w:val="20"/>
          <w:color w:val="auto"/>
        </w:rPr>
      </w:pPr>
      <w:r>
        <w:rPr>
          <w:rFonts w:ascii="Arial" w:cs="Arial" w:eastAsia="Arial" w:hAnsi="Arial"/>
          <w:sz w:val="16"/>
          <w:szCs w:val="16"/>
          <w:color w:val="auto"/>
        </w:rPr>
        <w:t>MILWAUKEE, WI, USA, April 21, 2010 – Manpower Inc. (NYSE: MAN) today reported that net earnings for the three months ended March 31, 2010 were $2.8 million, or 4 cents per diluted share, compared to a loss of $1.8 million, or 2 cents per diluted share, a year earlier. Revenues for the first quarter were $4.1 billion, an increase of 13% from the year earlier period, or 5% in constant currency.</w:t>
      </w:r>
    </w:p>
    <w:p>
      <w:pPr>
        <w:spacing w:after="0" w:line="149" w:lineRule="exact"/>
        <w:rPr>
          <w:sz w:val="20"/>
          <w:szCs w:val="20"/>
          <w:color w:val="auto"/>
        </w:rPr>
      </w:pPr>
    </w:p>
    <w:p>
      <w:pPr>
        <w:ind w:right="860"/>
        <w:spacing w:after="0" w:line="264" w:lineRule="auto"/>
        <w:rPr>
          <w:sz w:val="20"/>
          <w:szCs w:val="20"/>
          <w:color w:val="auto"/>
        </w:rPr>
      </w:pPr>
      <w:r>
        <w:rPr>
          <w:rFonts w:ascii="Arial" w:cs="Arial" w:eastAsia="Arial" w:hAnsi="Arial"/>
          <w:sz w:val="16"/>
          <w:szCs w:val="16"/>
          <w:color w:val="auto"/>
        </w:rPr>
        <w:t>Net earnings in the first quarter were favorably impacted by 3 cents per diluted share, as foreign currencies were relatively stronger compared to the prior year period..</w:t>
      </w:r>
    </w:p>
    <w:p>
      <w:pPr>
        <w:spacing w:after="0" w:line="138" w:lineRule="exact"/>
        <w:rPr>
          <w:sz w:val="20"/>
          <w:szCs w:val="20"/>
          <w:color w:val="auto"/>
        </w:rPr>
      </w:pPr>
    </w:p>
    <w:p>
      <w:pPr>
        <w:ind w:right="720"/>
        <w:spacing w:after="0" w:line="286" w:lineRule="auto"/>
        <w:rPr>
          <w:sz w:val="20"/>
          <w:szCs w:val="20"/>
          <w:color w:val="auto"/>
        </w:rPr>
      </w:pPr>
      <w:r>
        <w:rPr>
          <w:rFonts w:ascii="Arial" w:cs="Arial" w:eastAsia="Arial" w:hAnsi="Arial"/>
          <w:sz w:val="14"/>
          <w:szCs w:val="14"/>
          <w:color w:val="auto"/>
        </w:rPr>
        <w:t>In December 2009 the French government published changes to its business tax law effective in 2010. Under the new law, a component of the business tax calculation is based upon added value (revenue less expenses as defined in the legislation). Under U.S. Generally Accepted Accounting Principles (GAAP), a tax of this nature is classified as a component of the income tax provision. Accordingly, the charge of $13.7 million related to this business tax was included in our provision for income taxes in the quarter. Previously this amount would have been classified as a component of Cost of Services. The amount of the business tax did not change materially as a result of the new calculation and, therefore, net earnings were not impacted.</w:t>
      </w:r>
    </w:p>
    <w:p>
      <w:pPr>
        <w:spacing w:after="0" w:line="127" w:lineRule="exact"/>
        <w:rPr>
          <w:sz w:val="20"/>
          <w:szCs w:val="20"/>
          <w:color w:val="auto"/>
        </w:rPr>
      </w:pPr>
    </w:p>
    <w:p>
      <w:pPr>
        <w:ind w:right="740"/>
        <w:spacing w:after="0" w:line="274" w:lineRule="auto"/>
        <w:rPr>
          <w:sz w:val="20"/>
          <w:szCs w:val="20"/>
          <w:color w:val="auto"/>
        </w:rPr>
      </w:pPr>
      <w:r>
        <w:rPr>
          <w:rFonts w:ascii="Arial" w:cs="Arial" w:eastAsia="Arial" w:hAnsi="Arial"/>
          <w:sz w:val="15"/>
          <w:szCs w:val="15"/>
          <w:color w:val="auto"/>
        </w:rPr>
        <w:t>Jeffrey A. Joerres, Manpower Inc. Chairman and Chief Executive Officer, said, “The Manpower team throughout the world performed extremely well. We were able to exceed our anticipated revenue plans while we effectively managed our expenses. In all major geographies we are experiencing strong cyclical trends and even stronger secular trends as companies need to respond to the increased demand but want to remain agile.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“Our major geographies, the U.S., France, Germany, U.K. and others, all have stronger revenue trajectories exiting the first quarter.</w:t>
      </w:r>
    </w:p>
    <w:p>
      <w:pPr>
        <w:spacing w:after="0" w:line="178" w:lineRule="exact"/>
        <w:rPr>
          <w:sz w:val="20"/>
          <w:szCs w:val="20"/>
          <w:color w:val="auto"/>
        </w:rPr>
      </w:pPr>
    </w:p>
    <w:p>
      <w:pPr>
        <w:ind w:right="760"/>
        <w:spacing w:after="0" w:line="264" w:lineRule="auto"/>
        <w:rPr>
          <w:sz w:val="20"/>
          <w:szCs w:val="20"/>
          <w:color w:val="auto"/>
        </w:rPr>
      </w:pPr>
      <w:r>
        <w:rPr>
          <w:rFonts w:ascii="Arial" w:cs="Arial" w:eastAsia="Arial" w:hAnsi="Arial"/>
          <w:sz w:val="16"/>
          <w:szCs w:val="16"/>
          <w:color w:val="auto"/>
        </w:rPr>
        <w:t>“In early April we completed the acquisition of COMSYS IT Partners, Inc. This acquisition is an important component of our strategy, when coupled with our organic growth, as we aggressively expand our presence in the specialty staffing area.</w:t>
      </w:r>
    </w:p>
    <w:p>
      <w:pPr>
        <w:spacing w:after="0" w:line="138" w:lineRule="exact"/>
        <w:rPr>
          <w:sz w:val="20"/>
          <w:szCs w:val="20"/>
          <w:color w:val="auto"/>
        </w:rPr>
      </w:pPr>
    </w:p>
    <w:p>
      <w:pPr>
        <w:jc w:val="both"/>
        <w:ind w:right="780"/>
        <w:spacing w:after="0" w:line="336" w:lineRule="auto"/>
        <w:rPr>
          <w:sz w:val="20"/>
          <w:szCs w:val="20"/>
          <w:color w:val="auto"/>
        </w:rPr>
      </w:pPr>
      <w:r>
        <w:rPr>
          <w:rFonts w:ascii="Arial" w:cs="Arial" w:eastAsia="Arial" w:hAnsi="Arial"/>
          <w:sz w:val="14"/>
          <w:szCs w:val="14"/>
          <w:color w:val="auto"/>
        </w:rPr>
        <w:t>"We anticipate that favorable economic trends will continue into the second quarter, resulting in earnings per share of 14 cents to 22 cents. This includes a negative impact of 10 cents per share related to the COMSYS acquisition. We anticipate the impact of currency changes on the quarter will be negligible.”</w:t>
      </w:r>
    </w:p>
    <w:p>
      <w:pPr>
        <w:spacing w:after="0" w:line="92" w:lineRule="exact"/>
        <w:rPr>
          <w:sz w:val="20"/>
          <w:szCs w:val="20"/>
          <w:color w:val="auto"/>
        </w:rPr>
      </w:pPr>
    </w:p>
    <w:p>
      <w:pPr>
        <w:ind w:right="740"/>
        <w:spacing w:after="0" w:line="297" w:lineRule="auto"/>
        <w:rPr>
          <w:sz w:val="20"/>
          <w:szCs w:val="20"/>
          <w:color w:val="auto"/>
        </w:rPr>
      </w:pPr>
      <w:r>
        <w:rPr>
          <w:rFonts w:ascii="Arial" w:cs="Arial" w:eastAsia="Arial" w:hAnsi="Arial"/>
          <w:sz w:val="15"/>
          <w:szCs w:val="15"/>
          <w:color w:val="auto"/>
        </w:rPr>
        <w:t>In conjunction with its first quarter earnings release, Manpower will broadcast its conference call live over the Internet on April 21, 2010 at 7:30 a.m. CDT (8:30 a.m. EDT). Interested parties are invited to listen to the webcast and view the presentation by logging on to http://investor.manpower.com.</w:t>
      </w:r>
    </w:p>
    <w:p>
      <w:pPr>
        <w:sectPr>
          <w:pgSz w:w="11900" w:h="16838" w:orient="portrait"/>
          <w:cols w:equalWidth="0" w:num="1">
            <w:col w:w="10740"/>
          </w:cols>
          <w:pgMar w:left="940" w:top="300" w:right="21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color w:val="auto"/>
        </w:rPr>
        <w:t>Supplemental financial information referenced in the conference call can be found at http://investor.manpower.com.</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 Inc.</w:t>
      </w:r>
    </w:p>
    <w:p>
      <w:pPr>
        <w:spacing w:after="0" w:line="15" w:lineRule="exact"/>
        <w:rPr>
          <w:sz w:val="20"/>
          <w:szCs w:val="20"/>
          <w:color w:val="auto"/>
        </w:rPr>
      </w:pPr>
    </w:p>
    <w:p>
      <w:pPr>
        <w:ind w:right="20"/>
        <w:spacing w:after="0" w:line="255" w:lineRule="auto"/>
        <w:rPr>
          <w:sz w:val="20"/>
          <w:szCs w:val="20"/>
          <w:color w:val="auto"/>
        </w:rPr>
      </w:pPr>
      <w:r>
        <w:rPr>
          <w:rFonts w:ascii="Arial" w:cs="Arial" w:eastAsia="Arial" w:hAnsi="Arial"/>
          <w:sz w:val="15"/>
          <w:szCs w:val="15"/>
          <w:color w:val="auto"/>
        </w:rPr>
        <w:t>Manpower Inc. (NYSE: MAN) is a world leader in workforce solutions; creating and delivering services that enable its clients to win in the changing world of work. With more than 60 years of experience, Manpower offers employers a range of solutions and services for the entire employment and business cycle including permanent, temporary and contract recruitment; employee assessment and selection; training; outplacement; outsourcing and consulting. Manpower's worldwide network of nearly 4000 offices in 82 countries and territories enables the company to meet the needs of its 400,000 clients per year, including small and medium size enterprises in all industry sectors, as well as the world's largest multinational corporations. The focus of Manpower's work is on raising productivity through improved quality, efficiency and cost-reduction across their total workforce, enabling clients to concentrate on their core business activities. Manpower Inc. operates under five brands: Manpower, Manpower Professional, Elan, Jefferson Wells and Right Management. More information on Manpower Inc. is available at www.manpower.com.</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5"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This news release contains statements, including statements regarding economic trends and future profitability,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2009, which information is incorporated herein by reference.</w:t>
      </w:r>
    </w:p>
    <w:p>
      <w:pPr>
        <w:spacing w:after="0" w:line="126" w:lineRule="exact"/>
        <w:rPr>
          <w:sz w:val="20"/>
          <w:szCs w:val="20"/>
          <w:color w:val="auto"/>
        </w:rPr>
      </w:pPr>
    </w:p>
    <w:p>
      <w:pPr>
        <w:ind w:left="4320"/>
        <w:spacing w:after="0"/>
        <w:rPr>
          <w:sz w:val="20"/>
          <w:szCs w:val="20"/>
          <w:color w:val="auto"/>
        </w:rPr>
      </w:pPr>
      <w:r>
        <w:rPr>
          <w:rFonts w:ascii="Arial" w:cs="Arial" w:eastAsia="Arial" w:hAnsi="Arial"/>
          <w:sz w:val="16"/>
          <w:szCs w:val="16"/>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59055</wp:posOffset>
            </wp:positionV>
            <wp:extent cx="728789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20"/>
          </w:cols>
          <w:pgMar w:left="940" w:top="124" w:right="1039" w:bottom="1440" w:gutter="0" w:footer="0" w:header="0"/>
        </w:sectPr>
      </w:pPr>
    </w:p>
    <w:bookmarkStart w:id="6" w:name="page7"/>
    <w:bookmarkEnd w:id="6"/>
    <w:p>
      <w:pPr>
        <w:jc w:val="center"/>
        <w:ind w:right="120"/>
        <w:spacing w:after="0"/>
        <w:rPr>
          <w:sz w:val="20"/>
          <w:szCs w:val="20"/>
          <w:color w:val="auto"/>
        </w:rPr>
      </w:pPr>
      <w:r>
        <w:rPr>
          <w:rFonts w:ascii="Arial" w:cs="Arial" w:eastAsia="Arial" w:hAnsi="Arial"/>
          <w:sz w:val="16"/>
          <w:szCs w:val="16"/>
          <w:color w:val="auto"/>
        </w:rPr>
        <w:t>Manpower Inc.</w:t>
      </w:r>
    </w:p>
    <w:p>
      <w:pPr>
        <w:spacing w:after="0" w:line="15"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Results of Operations</w:t>
      </w:r>
    </w:p>
    <w:p>
      <w:pPr>
        <w:spacing w:after="0" w:line="10"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(In millions, except per share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center"/>
              <w:ind w:left="173"/>
              <w:spacing w:after="0"/>
              <w:rPr>
                <w:sz w:val="20"/>
                <w:szCs w:val="20"/>
                <w:color w:val="auto"/>
              </w:rPr>
            </w:pPr>
            <w:r>
              <w:rPr>
                <w:rFonts w:ascii="Arial" w:cs="Arial" w:eastAsia="Arial" w:hAnsi="Arial"/>
                <w:sz w:val="13"/>
                <w:szCs w:val="13"/>
                <w:b w:val="1"/>
                <w:bCs w:val="1"/>
                <w:color w:val="auto"/>
                <w:w w:val="95"/>
              </w:rPr>
              <w:t>Three Months Ended March 31</w:t>
            </w: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7"/>
              </w:rPr>
              <w:t>% Variance</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ind w:left="193"/>
              <w:spacing w:after="0" w:line="148" w:lineRule="exact"/>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ind w:left="60"/>
              <w:spacing w:after="0" w:line="148" w:lineRule="exact"/>
              <w:rPr>
                <w:sz w:val="20"/>
                <w:szCs w:val="20"/>
                <w:color w:val="auto"/>
              </w:rPr>
            </w:pPr>
            <w:r>
              <w:rPr>
                <w:rFonts w:ascii="Arial" w:cs="Arial" w:eastAsia="Arial" w:hAnsi="Arial"/>
                <w:sz w:val="13"/>
                <w:szCs w:val="13"/>
                <w:b w:val="1"/>
                <w:bCs w:val="1"/>
                <w:color w:val="auto"/>
              </w:rPr>
              <w:t>Constant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2010</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2009</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bottom w:val="single" w:sz="8" w:color="auto"/>
            </w:tcBorders>
          </w:tcPr>
          <w:p>
            <w:pPr>
              <w:jc w:val="center"/>
              <w:ind w:left="193"/>
              <w:spacing w:after="0"/>
              <w:rPr>
                <w:sz w:val="20"/>
                <w:szCs w:val="20"/>
                <w:color w:val="auto"/>
              </w:rPr>
            </w:pPr>
            <w:r>
              <w:rPr>
                <w:rFonts w:ascii="Arial" w:cs="Arial" w:eastAsia="Arial" w:hAnsi="Arial"/>
                <w:sz w:val="13"/>
                <w:szCs w:val="13"/>
                <w:b w:val="1"/>
                <w:bCs w:val="1"/>
                <w:color w:val="auto"/>
                <w:w w:val="94"/>
              </w:rPr>
              <w:t>Reported</w:t>
            </w:r>
          </w:p>
        </w:tc>
        <w:tc>
          <w:tcPr>
            <w:tcW w:w="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Currency</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20" w:type="dxa"/>
            <w:vAlign w:val="bottom"/>
            <w:gridSpan w:val="3"/>
          </w:tcPr>
          <w:p>
            <w:pPr>
              <w:jc w:val="center"/>
              <w:ind w:right="413"/>
              <w:spacing w:after="0"/>
              <w:rPr>
                <w:sz w:val="20"/>
                <w:szCs w:val="20"/>
                <w:color w:val="auto"/>
              </w:rPr>
            </w:pPr>
            <w:r>
              <w:rPr>
                <w:rFonts w:ascii="Arial" w:cs="Arial" w:eastAsia="Arial" w:hAnsi="Arial"/>
                <w:sz w:val="13"/>
                <w:szCs w:val="13"/>
                <w:color w:val="auto"/>
                <w:w w:val="94"/>
              </w:rPr>
              <w:t>(Unaudited)</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Revenues from services (a) (b)</w:t>
            </w:r>
          </w:p>
        </w:tc>
        <w:tc>
          <w:tcPr>
            <w:tcW w:w="2560" w:type="dxa"/>
            <w:vAlign w:val="bottom"/>
            <w:gridSpan w:val="2"/>
            <w:shd w:val="clear" w:color="auto" w:fill="CCEEFF"/>
          </w:tcPr>
          <w:p>
            <w:pPr>
              <w:jc w:val="right"/>
              <w:ind w:right="593"/>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4,099.3</w:t>
            </w: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573"/>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3,643.0</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7"/>
              </w:rPr>
              <w:t>12.5%</w:t>
            </w: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Cost of services</w:t>
            </w:r>
          </w:p>
        </w:tc>
        <w:tc>
          <w:tcPr>
            <w:tcW w:w="18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3,397.8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2,977.3</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w w:val="97"/>
              </w:rPr>
              <w:t>14.1%</w:t>
            </w:r>
          </w:p>
        </w:tc>
        <w:tc>
          <w:tcPr>
            <w:tcW w:w="2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Gross profit</w:t>
            </w:r>
          </w:p>
        </w:tc>
        <w:tc>
          <w:tcPr>
            <w:tcW w:w="18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665.7</w:t>
            </w:r>
          </w:p>
        </w:tc>
        <w:tc>
          <w:tcPr>
            <w:tcW w:w="8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5.4%</w:t>
            </w: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Selling and administrative expenses</w:t>
            </w:r>
          </w:p>
        </w:tc>
        <w:tc>
          <w:tcPr>
            <w:tcW w:w="1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668.9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664.3</w:t>
            </w:r>
          </w:p>
        </w:tc>
        <w:tc>
          <w:tcPr>
            <w:tcW w:w="88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0.7%</w:t>
            </w:r>
          </w:p>
        </w:tc>
        <w:tc>
          <w:tcPr>
            <w:tcW w:w="24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42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Operating profit</w:t>
            </w:r>
          </w:p>
        </w:tc>
        <w:tc>
          <w:tcPr>
            <w:tcW w:w="18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32.6</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w:t>
            </w:r>
          </w:p>
        </w:tc>
        <w:tc>
          <w:tcPr>
            <w:tcW w:w="8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N/A</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Interest and other expenses</w:t>
            </w:r>
          </w:p>
        </w:tc>
        <w:tc>
          <w:tcPr>
            <w:tcW w:w="1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12.9</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11.9</w:t>
            </w:r>
          </w:p>
        </w:tc>
        <w:tc>
          <w:tcPr>
            <w:tcW w:w="88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8.7%</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42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Earnings (loss) before income taxes</w:t>
            </w:r>
          </w:p>
        </w:tc>
        <w:tc>
          <w:tcPr>
            <w:tcW w:w="18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19.7</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(10.5)</w:t>
            </w:r>
          </w:p>
        </w:tc>
        <w:tc>
          <w:tcPr>
            <w:tcW w:w="8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N/A</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1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16.9</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(8.7)</w:t>
            </w:r>
          </w:p>
        </w:tc>
        <w:tc>
          <w:tcPr>
            <w:tcW w:w="880" w:type="dxa"/>
            <w:vAlign w:val="bottom"/>
          </w:tcPr>
          <w:p>
            <w:pPr>
              <w:spacing w:after="0"/>
              <w:rPr>
                <w:sz w:val="13"/>
                <w:szCs w:val="13"/>
                <w:color w:val="auto"/>
              </w:rPr>
            </w:pPr>
          </w:p>
        </w:tc>
        <w:tc>
          <w:tcPr>
            <w:tcW w:w="740" w:type="dxa"/>
            <w:vAlign w:val="bottom"/>
            <w:gridSpan w:val="3"/>
          </w:tcPr>
          <w:p>
            <w:pPr>
              <w:ind w:left="20"/>
              <w:spacing w:after="0"/>
              <w:rPr>
                <w:sz w:val="20"/>
                <w:szCs w:val="20"/>
                <w:color w:val="auto"/>
              </w:rPr>
            </w:pPr>
            <w:r>
              <w:rPr>
                <w:rFonts w:ascii="Arial" w:cs="Arial" w:eastAsia="Arial" w:hAnsi="Arial"/>
                <w:sz w:val="13"/>
                <w:szCs w:val="13"/>
                <w:color w:val="auto"/>
              </w:rPr>
              <w:t>N/A</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42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Net earnings (loss)</w:t>
            </w:r>
          </w:p>
        </w:tc>
        <w:tc>
          <w:tcPr>
            <w:tcW w:w="18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93"/>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73"/>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(1.8)</w:t>
            </w:r>
          </w:p>
        </w:tc>
        <w:tc>
          <w:tcPr>
            <w:tcW w:w="8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N/A</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4240" w:type="dxa"/>
            <w:vAlign w:val="bottom"/>
          </w:tcPr>
          <w:p>
            <w:pPr>
              <w:spacing w:after="0" w:line="141" w:lineRule="exact"/>
              <w:rPr>
                <w:sz w:val="20"/>
                <w:szCs w:val="20"/>
                <w:color w:val="auto"/>
              </w:rPr>
            </w:pPr>
            <w:r>
              <w:rPr>
                <w:rFonts w:ascii="Arial" w:cs="Arial" w:eastAsia="Arial" w:hAnsi="Arial"/>
                <w:sz w:val="13"/>
                <w:szCs w:val="13"/>
                <w:color w:val="auto"/>
              </w:rPr>
              <w:t>Net earnings (loss) per share - basic</w:t>
            </w:r>
          </w:p>
        </w:tc>
        <w:tc>
          <w:tcPr>
            <w:tcW w:w="1820" w:type="dxa"/>
            <w:vAlign w:val="bottom"/>
          </w:tcPr>
          <w:p>
            <w:pPr>
              <w:spacing w:after="0"/>
              <w:rPr>
                <w:sz w:val="12"/>
                <w:szCs w:val="12"/>
                <w:color w:val="auto"/>
              </w:rPr>
            </w:pPr>
          </w:p>
        </w:tc>
        <w:tc>
          <w:tcPr>
            <w:tcW w:w="740" w:type="dxa"/>
            <w:vAlign w:val="bottom"/>
          </w:tcPr>
          <w:p>
            <w:pPr>
              <w:jc w:val="right"/>
              <w:ind w:right="593"/>
              <w:spacing w:after="0" w:line="141" w:lineRule="exact"/>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0.04</w:t>
            </w:r>
          </w:p>
        </w:tc>
        <w:tc>
          <w:tcPr>
            <w:tcW w:w="840" w:type="dxa"/>
            <w:vAlign w:val="bottom"/>
            <w:gridSpan w:val="2"/>
          </w:tcPr>
          <w:p>
            <w:pPr>
              <w:jc w:val="right"/>
              <w:ind w:right="573"/>
              <w:spacing w:after="0" w:line="141"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(0.02)</w:t>
            </w:r>
          </w:p>
        </w:tc>
        <w:tc>
          <w:tcPr>
            <w:tcW w:w="880" w:type="dxa"/>
            <w:vAlign w:val="bottom"/>
          </w:tcPr>
          <w:p>
            <w:pPr>
              <w:spacing w:after="0"/>
              <w:rPr>
                <w:sz w:val="12"/>
                <w:szCs w:val="12"/>
                <w:color w:val="auto"/>
              </w:rPr>
            </w:pPr>
          </w:p>
        </w:tc>
        <w:tc>
          <w:tcPr>
            <w:tcW w:w="740" w:type="dxa"/>
            <w:vAlign w:val="bottom"/>
            <w:gridSpan w:val="3"/>
          </w:tcPr>
          <w:p>
            <w:pPr>
              <w:ind w:left="20"/>
              <w:spacing w:after="0" w:line="141" w:lineRule="exact"/>
              <w:rPr>
                <w:sz w:val="20"/>
                <w:szCs w:val="20"/>
                <w:color w:val="auto"/>
              </w:rPr>
            </w:pPr>
            <w:r>
              <w:rPr>
                <w:rFonts w:ascii="Arial" w:cs="Arial" w:eastAsia="Arial" w:hAnsi="Arial"/>
                <w:sz w:val="13"/>
                <w:szCs w:val="13"/>
                <w:color w:val="auto"/>
              </w:rPr>
              <w:t>N/A</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Net earnings (loss) per share - diluted</w:t>
            </w:r>
          </w:p>
        </w:tc>
        <w:tc>
          <w:tcPr>
            <w:tcW w:w="18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93"/>
              <w:spacing w:after="0" w:line="141" w:lineRule="exact"/>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0.04</w:t>
            </w:r>
          </w:p>
        </w:tc>
        <w:tc>
          <w:tcPr>
            <w:tcW w:w="840" w:type="dxa"/>
            <w:vAlign w:val="bottom"/>
            <w:gridSpan w:val="2"/>
            <w:shd w:val="clear" w:color="auto" w:fill="CCEEFF"/>
          </w:tcPr>
          <w:p>
            <w:pPr>
              <w:jc w:val="right"/>
              <w:ind w:right="573"/>
              <w:spacing w:after="0" w:line="141"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(0.02)</w:t>
            </w:r>
          </w:p>
        </w:tc>
        <w:tc>
          <w:tcPr>
            <w:tcW w:w="8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ind w:left="20"/>
              <w:spacing w:after="0" w:line="141" w:lineRule="exact"/>
              <w:rPr>
                <w:sz w:val="20"/>
                <w:szCs w:val="20"/>
                <w:color w:val="auto"/>
              </w:rPr>
            </w:pPr>
            <w:r>
              <w:rPr>
                <w:rFonts w:ascii="Arial" w:cs="Arial" w:eastAsia="Arial" w:hAnsi="Arial"/>
                <w:sz w:val="13"/>
                <w:szCs w:val="13"/>
                <w:color w:val="auto"/>
              </w:rPr>
              <w:t>N/A</w:t>
            </w:r>
          </w:p>
        </w:tc>
        <w:tc>
          <w:tcPr>
            <w:tcW w:w="100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4240" w:type="dxa"/>
            <w:vAlign w:val="bottom"/>
          </w:tcPr>
          <w:p>
            <w:pPr>
              <w:spacing w:after="0" w:line="141" w:lineRule="exact"/>
              <w:rPr>
                <w:sz w:val="20"/>
                <w:szCs w:val="20"/>
                <w:color w:val="auto"/>
              </w:rPr>
            </w:pPr>
            <w:r>
              <w:rPr>
                <w:rFonts w:ascii="Arial" w:cs="Arial" w:eastAsia="Arial" w:hAnsi="Arial"/>
                <w:sz w:val="13"/>
                <w:szCs w:val="13"/>
                <w:color w:val="auto"/>
              </w:rPr>
              <w:t>Weighted average shares - basic</w:t>
            </w:r>
          </w:p>
        </w:tc>
        <w:tc>
          <w:tcPr>
            <w:tcW w:w="1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78.6</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78.1</w:t>
            </w:r>
          </w:p>
        </w:tc>
        <w:tc>
          <w:tcPr>
            <w:tcW w:w="880" w:type="dxa"/>
            <w:vAlign w:val="bottom"/>
          </w:tcPr>
          <w:p>
            <w:pPr>
              <w:spacing w:after="0"/>
              <w:rPr>
                <w:sz w:val="12"/>
                <w:szCs w:val="12"/>
                <w:color w:val="auto"/>
              </w:rPr>
            </w:pPr>
          </w:p>
        </w:tc>
        <w:tc>
          <w:tcPr>
            <w:tcW w:w="50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0.6%</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Weighted average shares - diluted</w:t>
            </w:r>
          </w:p>
        </w:tc>
        <w:tc>
          <w:tcPr>
            <w:tcW w:w="18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79.9</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line="141" w:lineRule="exact"/>
              <w:rPr>
                <w:sz w:val="20"/>
                <w:szCs w:val="20"/>
                <w:color w:val="auto"/>
              </w:rPr>
            </w:pPr>
            <w:r>
              <w:rPr>
                <w:rFonts w:ascii="Arial" w:cs="Arial" w:eastAsia="Arial" w:hAnsi="Arial"/>
                <w:sz w:val="13"/>
                <w:szCs w:val="13"/>
                <w:color w:val="auto"/>
              </w:rPr>
              <w:t>78.1</w:t>
            </w:r>
          </w:p>
        </w:tc>
        <w:tc>
          <w:tcPr>
            <w:tcW w:w="8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2.2%</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right="200"/>
        <w:spacing w:after="0" w:line="293" w:lineRule="auto"/>
        <w:tabs>
          <w:tab w:leader="none" w:pos="18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Revenues from services include fees received from our franchise offices of $4.6 million and $5.1 million for the three months ended March 31, 2010 and 2009, respectively. These fees are primarily based on revenues generated by the franchise offices, which were $193.9 million and $158.9 million for the three months ended March 31, 2010 and 2009, respectively.</w:t>
      </w:r>
    </w:p>
    <w:p>
      <w:pPr>
        <w:spacing w:after="0" w:line="117" w:lineRule="exact"/>
        <w:rPr>
          <w:rFonts w:ascii="Arial" w:cs="Arial" w:eastAsia="Arial" w:hAnsi="Arial"/>
          <w:sz w:val="13"/>
          <w:szCs w:val="13"/>
          <w:color w:val="auto"/>
        </w:rPr>
      </w:pPr>
    </w:p>
    <w:p>
      <w:pPr>
        <w:ind w:left="200" w:hanging="200"/>
        <w:spacing w:after="0"/>
        <w:tabs>
          <w:tab w:leader="none" w:pos="200"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2009 results have been restated as disclosed in Note 16 to the Consolidated Financial Statements included in our 2009 Annual Report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28789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7" w:name="page8"/>
    <w:bookmarkEnd w:id="7"/>
    <w:p>
      <w:pPr>
        <w:jc w:val="center"/>
        <w:ind w:right="120"/>
        <w:spacing w:after="0"/>
        <w:rPr>
          <w:sz w:val="20"/>
          <w:szCs w:val="20"/>
          <w:color w:val="auto"/>
        </w:rPr>
      </w:pPr>
      <w:r>
        <w:rPr>
          <w:rFonts w:ascii="Arial" w:cs="Arial" w:eastAsia="Arial" w:hAnsi="Arial"/>
          <w:sz w:val="16"/>
          <w:szCs w:val="16"/>
          <w:color w:val="auto"/>
        </w:rPr>
        <w:t>Manpower Inc.</w:t>
      </w:r>
    </w:p>
    <w:p>
      <w:pPr>
        <w:spacing w:after="0" w:line="15"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Operating Unit Results</w:t>
      </w:r>
    </w:p>
    <w:p>
      <w:pPr>
        <w:spacing w:after="0" w:line="10"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center"/>
              <w:ind w:left="13"/>
              <w:spacing w:after="0"/>
              <w:rPr>
                <w:sz w:val="20"/>
                <w:szCs w:val="20"/>
                <w:color w:val="auto"/>
              </w:rPr>
            </w:pPr>
            <w:r>
              <w:rPr>
                <w:rFonts w:ascii="Arial" w:cs="Arial" w:eastAsia="Arial" w:hAnsi="Arial"/>
                <w:sz w:val="13"/>
                <w:szCs w:val="13"/>
                <w:b w:val="1"/>
                <w:bCs w:val="1"/>
                <w:color w:val="auto"/>
                <w:w w:val="95"/>
              </w:rPr>
              <w:t>Three Months Ended March 31</w:t>
            </w: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w w:val="97"/>
              </w:rPr>
              <w:t>% Variance</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ind w:left="233"/>
              <w:spacing w:after="0" w:line="148" w:lineRule="exact"/>
              <w:rPr>
                <w:sz w:val="20"/>
                <w:szCs w:val="20"/>
                <w:color w:val="auto"/>
              </w:rPr>
            </w:pPr>
            <w:r>
              <w:rPr>
                <w:rFonts w:ascii="Arial" w:cs="Arial" w:eastAsia="Arial" w:hAnsi="Arial"/>
                <w:sz w:val="13"/>
                <w:szCs w:val="13"/>
                <w:b w:val="1"/>
                <w:bCs w:val="1"/>
                <w:color w:val="auto"/>
                <w:w w:val="93"/>
              </w:rPr>
              <w:t>Amount</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ind w:left="60"/>
              <w:spacing w:after="0" w:line="148" w:lineRule="exact"/>
              <w:rPr>
                <w:sz w:val="20"/>
                <w:szCs w:val="20"/>
                <w:color w:val="auto"/>
              </w:rPr>
            </w:pPr>
            <w:r>
              <w:rPr>
                <w:rFonts w:ascii="Arial" w:cs="Arial" w:eastAsia="Arial" w:hAnsi="Arial"/>
                <w:sz w:val="13"/>
                <w:szCs w:val="13"/>
                <w:b w:val="1"/>
                <w:bCs w:val="1"/>
                <w:color w:val="auto"/>
              </w:rPr>
              <w:t>Constant</w:t>
            </w:r>
          </w:p>
        </w:tc>
        <w:tc>
          <w:tcPr>
            <w:tcW w:w="12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2009</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Borders>
              <w:bottom w:val="single" w:sz="8" w:color="auto"/>
            </w:tcBorders>
          </w:tcPr>
          <w:p>
            <w:pPr>
              <w:jc w:val="center"/>
              <w:ind w:left="233"/>
              <w:spacing w:after="0"/>
              <w:rPr>
                <w:sz w:val="20"/>
                <w:szCs w:val="20"/>
                <w:color w:val="auto"/>
              </w:rPr>
            </w:pPr>
            <w:r>
              <w:rPr>
                <w:rFonts w:ascii="Arial" w:cs="Arial" w:eastAsia="Arial" w:hAnsi="Arial"/>
                <w:sz w:val="13"/>
                <w:szCs w:val="13"/>
                <w:b w:val="1"/>
                <w:bCs w:val="1"/>
                <w:color w:val="auto"/>
                <w:w w:val="94"/>
              </w:rPr>
              <w:t>Reported</w:t>
            </w:r>
          </w:p>
        </w:tc>
        <w:tc>
          <w:tcPr>
            <w:tcW w:w="3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Currency</w:t>
            </w:r>
          </w:p>
        </w:tc>
        <w:tc>
          <w:tcPr>
            <w:tcW w:w="120" w:type="dxa"/>
            <w:vAlign w:val="bottom"/>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80" w:type="dxa"/>
            <w:vAlign w:val="bottom"/>
            <w:gridSpan w:val="3"/>
          </w:tcPr>
          <w:p>
            <w:pPr>
              <w:jc w:val="center"/>
              <w:ind w:right="373"/>
              <w:spacing w:after="0"/>
              <w:rPr>
                <w:sz w:val="20"/>
                <w:szCs w:val="20"/>
                <w:color w:val="auto"/>
              </w:rPr>
            </w:pPr>
            <w:r>
              <w:rPr>
                <w:rFonts w:ascii="Arial" w:cs="Arial" w:eastAsia="Arial" w:hAnsi="Arial"/>
                <w:sz w:val="13"/>
                <w:szCs w:val="13"/>
                <w:color w:val="auto"/>
                <w:w w:val="94"/>
              </w:rPr>
              <w:t>(Unaudited)</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1"/>
        </w:trPr>
        <w:tc>
          <w:tcPr>
            <w:tcW w:w="20" w:type="dxa"/>
            <w:vAlign w:val="bottom"/>
          </w:tcPr>
          <w:p>
            <w:pPr>
              <w:spacing w:after="0"/>
              <w:rPr>
                <w:sz w:val="13"/>
                <w:szCs w:val="13"/>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3"/>
                <w:szCs w:val="13"/>
                <w:color w:val="auto"/>
              </w:rPr>
              <w:t>Revenues from Services:</w:t>
            </w:r>
          </w:p>
        </w:tc>
        <w:tc>
          <w:tcPr>
            <w:tcW w:w="2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61"/>
        </w:trPr>
        <w:tc>
          <w:tcPr>
            <w:tcW w:w="20" w:type="dxa"/>
            <w:vAlign w:val="bottom"/>
          </w:tcPr>
          <w:p>
            <w:pPr>
              <w:spacing w:after="0"/>
              <w:rPr>
                <w:sz w:val="13"/>
                <w:szCs w:val="13"/>
                <w:color w:val="auto"/>
              </w:rPr>
            </w:pPr>
          </w:p>
        </w:tc>
        <w:tc>
          <w:tcPr>
            <w:tcW w:w="4060" w:type="dxa"/>
            <w:vAlign w:val="bottom"/>
          </w:tcPr>
          <w:p>
            <w:pPr>
              <w:ind w:left="40"/>
              <w:spacing w:after="0"/>
              <w:rPr>
                <w:sz w:val="20"/>
                <w:szCs w:val="20"/>
                <w:color w:val="auto"/>
              </w:rPr>
            </w:pPr>
            <w:r>
              <w:rPr>
                <w:rFonts w:ascii="Arial" w:cs="Arial" w:eastAsia="Arial" w:hAnsi="Arial"/>
                <w:sz w:val="13"/>
                <w:szCs w:val="13"/>
                <w:color w:val="auto"/>
              </w:rPr>
              <w:t>Americas:</w:t>
            </w:r>
          </w:p>
        </w:tc>
        <w:tc>
          <w:tcPr>
            <w:tcW w:w="2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1"/>
        </w:trPr>
        <w:tc>
          <w:tcPr>
            <w:tcW w:w="20" w:type="dxa"/>
            <w:vAlign w:val="bottom"/>
          </w:tcPr>
          <w:p>
            <w:pPr>
              <w:spacing w:after="0"/>
              <w:rPr>
                <w:sz w:val="13"/>
                <w:szCs w:val="13"/>
                <w:color w:val="auto"/>
              </w:rPr>
            </w:pPr>
          </w:p>
        </w:tc>
        <w:tc>
          <w:tcPr>
            <w:tcW w:w="40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United States (a)</w:t>
            </w:r>
          </w:p>
        </w:tc>
        <w:tc>
          <w:tcPr>
            <w:tcW w:w="226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442.1</w:t>
            </w:r>
          </w:p>
        </w:tc>
        <w:tc>
          <w:tcPr>
            <w:tcW w:w="1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373.8</w:t>
            </w:r>
          </w:p>
        </w:tc>
        <w:tc>
          <w:tcPr>
            <w:tcW w:w="8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18.3%</w:t>
            </w: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18.3%</w:t>
            </w:r>
          </w:p>
        </w:tc>
      </w:tr>
      <w:tr>
        <w:trPr>
          <w:trHeight w:val="161"/>
        </w:trPr>
        <w:tc>
          <w:tcPr>
            <w:tcW w:w="20" w:type="dxa"/>
            <w:vAlign w:val="bottom"/>
          </w:tcPr>
          <w:p>
            <w:pPr>
              <w:spacing w:after="0"/>
              <w:rPr>
                <w:sz w:val="13"/>
                <w:szCs w:val="13"/>
                <w:color w:val="auto"/>
              </w:rPr>
            </w:pPr>
          </w:p>
        </w:tc>
        <w:tc>
          <w:tcPr>
            <w:tcW w:w="4060" w:type="dxa"/>
            <w:vAlign w:val="bottom"/>
          </w:tcPr>
          <w:p>
            <w:pPr>
              <w:ind w:left="180"/>
              <w:spacing w:after="0"/>
              <w:rPr>
                <w:sz w:val="20"/>
                <w:szCs w:val="20"/>
                <w:color w:val="auto"/>
              </w:rPr>
            </w:pPr>
            <w:r>
              <w:rPr>
                <w:rFonts w:ascii="Arial" w:cs="Arial" w:eastAsia="Arial" w:hAnsi="Arial"/>
                <w:sz w:val="13"/>
                <w:szCs w:val="13"/>
                <w:color w:val="auto"/>
              </w:rPr>
              <w:t>Other Americas</w:t>
            </w:r>
          </w:p>
        </w:tc>
        <w:tc>
          <w:tcPr>
            <w:tcW w:w="2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294.5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219.2</w:t>
            </w:r>
          </w:p>
        </w:tc>
        <w:tc>
          <w:tcPr>
            <w:tcW w:w="84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34.4%</w:t>
            </w:r>
          </w:p>
        </w:tc>
        <w:tc>
          <w:tcPr>
            <w:tcW w:w="24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22.8%</w:t>
            </w: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736.6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593.0</w:t>
            </w:r>
          </w:p>
        </w:tc>
        <w:tc>
          <w:tcPr>
            <w:tcW w:w="8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19.9%</w:t>
            </w:r>
          </w:p>
        </w:tc>
      </w:tr>
      <w:tr>
        <w:trPr>
          <w:trHeight w:val="161"/>
        </w:trPr>
        <w:tc>
          <w:tcPr>
            <w:tcW w:w="20" w:type="dxa"/>
            <w:vAlign w:val="bottom"/>
          </w:tcPr>
          <w:p>
            <w:pPr>
              <w:spacing w:after="0"/>
              <w:rPr>
                <w:sz w:val="13"/>
                <w:szCs w:val="13"/>
                <w:color w:val="auto"/>
              </w:rPr>
            </w:pPr>
          </w:p>
        </w:tc>
        <w:tc>
          <w:tcPr>
            <w:tcW w:w="4060" w:type="dxa"/>
            <w:vAlign w:val="bottom"/>
            <w:tcBorders>
              <w:top w:val="single" w:sz="8" w:color="CCEEFF"/>
            </w:tcBorders>
          </w:tcPr>
          <w:p>
            <w:pPr>
              <w:spacing w:after="0"/>
              <w:rPr>
                <w:sz w:val="13"/>
                <w:szCs w:val="13"/>
                <w:color w:val="auto"/>
              </w:rPr>
            </w:pPr>
          </w:p>
        </w:tc>
        <w:tc>
          <w:tcPr>
            <w:tcW w:w="200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840" w:type="dxa"/>
            <w:vAlign w:val="bottom"/>
            <w:tcBorders>
              <w:top w:val="single" w:sz="8" w:color="CCEEFF"/>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r>
      <w:tr>
        <w:trPr>
          <w:trHeight w:val="161"/>
        </w:trPr>
        <w:tc>
          <w:tcPr>
            <w:tcW w:w="20" w:type="dxa"/>
            <w:vAlign w:val="bottom"/>
          </w:tcPr>
          <w:p>
            <w:pPr>
              <w:spacing w:after="0"/>
              <w:rPr>
                <w:sz w:val="13"/>
                <w:szCs w:val="13"/>
                <w:color w:val="auto"/>
              </w:rPr>
            </w:pPr>
          </w:p>
        </w:tc>
        <w:tc>
          <w:tcPr>
            <w:tcW w:w="4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France</w:t>
            </w:r>
          </w:p>
        </w:tc>
        <w:tc>
          <w:tcPr>
            <w:tcW w:w="2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1,107.5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956.9</w:t>
            </w:r>
          </w:p>
        </w:tc>
        <w:tc>
          <w:tcPr>
            <w:tcW w:w="8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15.7%</w:t>
            </w: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9.3%</w:t>
            </w:r>
          </w:p>
        </w:tc>
      </w:tr>
      <w:tr>
        <w:trPr>
          <w:trHeight w:val="161"/>
        </w:trPr>
        <w:tc>
          <w:tcPr>
            <w:tcW w:w="20" w:type="dxa"/>
            <w:vAlign w:val="bottom"/>
          </w:tcPr>
          <w:p>
            <w:pPr>
              <w:spacing w:after="0"/>
              <w:rPr>
                <w:sz w:val="13"/>
                <w:szCs w:val="13"/>
                <w:color w:val="auto"/>
              </w:rPr>
            </w:pPr>
          </w:p>
        </w:tc>
        <w:tc>
          <w:tcPr>
            <w:tcW w:w="4060" w:type="dxa"/>
            <w:vAlign w:val="bottom"/>
          </w:tcPr>
          <w:p>
            <w:pPr>
              <w:ind w:left="40"/>
              <w:spacing w:after="0"/>
              <w:rPr>
                <w:sz w:val="20"/>
                <w:szCs w:val="20"/>
                <w:color w:val="auto"/>
              </w:rPr>
            </w:pPr>
            <w:r>
              <w:rPr>
                <w:rFonts w:ascii="Arial" w:cs="Arial" w:eastAsia="Arial" w:hAnsi="Arial"/>
                <w:sz w:val="13"/>
                <w:szCs w:val="13"/>
                <w:color w:val="auto"/>
              </w:rPr>
              <w:t>EMEA:</w:t>
            </w:r>
          </w:p>
        </w:tc>
        <w:tc>
          <w:tcPr>
            <w:tcW w:w="2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1"/>
        </w:trPr>
        <w:tc>
          <w:tcPr>
            <w:tcW w:w="20" w:type="dxa"/>
            <w:vAlign w:val="bottom"/>
          </w:tcPr>
          <w:p>
            <w:pPr>
              <w:spacing w:after="0"/>
              <w:rPr>
                <w:sz w:val="13"/>
                <w:szCs w:val="13"/>
                <w:color w:val="auto"/>
              </w:rPr>
            </w:pPr>
          </w:p>
        </w:tc>
        <w:tc>
          <w:tcPr>
            <w:tcW w:w="40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Italy</w:t>
            </w:r>
          </w:p>
        </w:tc>
        <w:tc>
          <w:tcPr>
            <w:tcW w:w="2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234.2</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220.4</w:t>
            </w:r>
          </w:p>
        </w:tc>
        <w:tc>
          <w:tcPr>
            <w:tcW w:w="8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6.3%</w:t>
            </w: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0.4%</w:t>
            </w:r>
          </w:p>
        </w:tc>
      </w:tr>
      <w:tr>
        <w:trPr>
          <w:trHeight w:val="161"/>
        </w:trPr>
        <w:tc>
          <w:tcPr>
            <w:tcW w:w="20" w:type="dxa"/>
            <w:vAlign w:val="bottom"/>
          </w:tcPr>
          <w:p>
            <w:pPr>
              <w:spacing w:after="0"/>
              <w:rPr>
                <w:sz w:val="14"/>
                <w:szCs w:val="14"/>
                <w:color w:val="auto"/>
              </w:rPr>
            </w:pPr>
          </w:p>
        </w:tc>
        <w:tc>
          <w:tcPr>
            <w:tcW w:w="4060" w:type="dxa"/>
            <w:vAlign w:val="bottom"/>
          </w:tcPr>
          <w:p>
            <w:pPr>
              <w:ind w:left="180"/>
              <w:spacing w:after="0"/>
              <w:rPr>
                <w:sz w:val="20"/>
                <w:szCs w:val="20"/>
                <w:color w:val="auto"/>
              </w:rPr>
            </w:pPr>
            <w:r>
              <w:rPr>
                <w:rFonts w:ascii="Arial" w:cs="Arial" w:eastAsia="Arial" w:hAnsi="Arial"/>
                <w:sz w:val="13"/>
                <w:szCs w:val="13"/>
                <w:color w:val="auto"/>
              </w:rPr>
              <w:t>Other EMEA (b)</w:t>
            </w:r>
          </w:p>
        </w:tc>
        <w:tc>
          <w:tcPr>
            <w:tcW w:w="2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1,379.6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1,258.8</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9.6%</w:t>
            </w:r>
          </w:p>
        </w:tc>
        <w:tc>
          <w:tcPr>
            <w:tcW w:w="2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0.4%</w:t>
            </w:r>
          </w:p>
        </w:tc>
      </w:tr>
      <w:tr>
        <w:trPr>
          <w:trHeight w:val="161"/>
        </w:trPr>
        <w:tc>
          <w:tcPr>
            <w:tcW w:w="20" w:type="dxa"/>
            <w:vAlign w:val="bottom"/>
          </w:tcPr>
          <w:p>
            <w:pPr>
              <w:spacing w:after="0"/>
              <w:rPr>
                <w:sz w:val="14"/>
                <w:szCs w:val="14"/>
                <w:color w:val="auto"/>
              </w:rPr>
            </w:pPr>
          </w:p>
        </w:tc>
        <w:tc>
          <w:tcPr>
            <w:tcW w:w="406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1,613.8</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1,479.2</w:t>
            </w:r>
          </w:p>
        </w:tc>
        <w:tc>
          <w:tcPr>
            <w:tcW w:w="2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9.1%</w:t>
            </w:r>
          </w:p>
        </w:tc>
        <w:tc>
          <w:tcPr>
            <w:tcW w:w="2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0.4%</w:t>
            </w:r>
          </w:p>
        </w:tc>
      </w:tr>
      <w:tr>
        <w:trPr>
          <w:trHeight w:val="161"/>
        </w:trPr>
        <w:tc>
          <w:tcPr>
            <w:tcW w:w="20" w:type="dxa"/>
            <w:vAlign w:val="bottom"/>
          </w:tcPr>
          <w:p>
            <w:pPr>
              <w:spacing w:after="0"/>
              <w:rPr>
                <w:sz w:val="13"/>
                <w:szCs w:val="13"/>
                <w:color w:val="auto"/>
              </w:rPr>
            </w:pPr>
          </w:p>
        </w:tc>
        <w:tc>
          <w:tcPr>
            <w:tcW w:w="4060" w:type="dxa"/>
            <w:vAlign w:val="bottom"/>
          </w:tcPr>
          <w:p>
            <w:pPr>
              <w:ind w:left="40"/>
              <w:spacing w:after="0"/>
              <w:rPr>
                <w:sz w:val="20"/>
                <w:szCs w:val="20"/>
                <w:color w:val="auto"/>
              </w:rPr>
            </w:pPr>
            <w:r>
              <w:rPr>
                <w:rFonts w:ascii="Arial" w:cs="Arial" w:eastAsia="Arial" w:hAnsi="Arial"/>
                <w:sz w:val="13"/>
                <w:szCs w:val="13"/>
                <w:color w:val="auto"/>
              </w:rPr>
              <w:t>Asia Pacific</w:t>
            </w:r>
          </w:p>
        </w:tc>
        <w:tc>
          <w:tcPr>
            <w:tcW w:w="2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497.5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425.2</w:t>
            </w:r>
          </w:p>
        </w:tc>
        <w:tc>
          <w:tcPr>
            <w:tcW w:w="84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17.0%</w:t>
            </w:r>
          </w:p>
        </w:tc>
        <w:tc>
          <w:tcPr>
            <w:tcW w:w="24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5.3%</w:t>
            </w:r>
          </w:p>
        </w:tc>
      </w:tr>
      <w:tr>
        <w:trPr>
          <w:trHeight w:val="161"/>
        </w:trPr>
        <w:tc>
          <w:tcPr>
            <w:tcW w:w="20" w:type="dxa"/>
            <w:vAlign w:val="bottom"/>
          </w:tcPr>
          <w:p>
            <w:pPr>
              <w:spacing w:after="0"/>
              <w:rPr>
                <w:sz w:val="13"/>
                <w:szCs w:val="13"/>
                <w:color w:val="auto"/>
              </w:rPr>
            </w:pPr>
          </w:p>
        </w:tc>
        <w:tc>
          <w:tcPr>
            <w:tcW w:w="4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Right Management</w:t>
            </w:r>
          </w:p>
        </w:tc>
        <w:tc>
          <w:tcPr>
            <w:tcW w:w="2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103.3</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136.0</w:t>
            </w:r>
          </w:p>
        </w:tc>
        <w:tc>
          <w:tcPr>
            <w:tcW w:w="8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7"/>
              </w:rPr>
              <w:t>-24.0%</w:t>
            </w: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-27.9%</w:t>
            </w:r>
          </w:p>
        </w:tc>
      </w:tr>
      <w:tr>
        <w:trPr>
          <w:trHeight w:val="161"/>
        </w:trPr>
        <w:tc>
          <w:tcPr>
            <w:tcW w:w="20" w:type="dxa"/>
            <w:vAlign w:val="bottom"/>
          </w:tcPr>
          <w:p>
            <w:pPr>
              <w:spacing w:after="0"/>
              <w:rPr>
                <w:sz w:val="14"/>
                <w:szCs w:val="14"/>
                <w:color w:val="auto"/>
              </w:rPr>
            </w:pPr>
          </w:p>
        </w:tc>
        <w:tc>
          <w:tcPr>
            <w:tcW w:w="4060" w:type="dxa"/>
            <w:vAlign w:val="bottom"/>
          </w:tcPr>
          <w:p>
            <w:pPr>
              <w:ind w:left="40"/>
              <w:spacing w:after="0"/>
              <w:rPr>
                <w:sz w:val="20"/>
                <w:szCs w:val="20"/>
                <w:color w:val="auto"/>
              </w:rPr>
            </w:pPr>
            <w:r>
              <w:rPr>
                <w:rFonts w:ascii="Arial" w:cs="Arial" w:eastAsia="Arial" w:hAnsi="Arial"/>
                <w:sz w:val="13"/>
                <w:szCs w:val="13"/>
                <w:color w:val="auto"/>
              </w:rPr>
              <w:t>Jefferson Wells</w:t>
            </w: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40.6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52.7</w:t>
            </w:r>
          </w:p>
        </w:tc>
        <w:tc>
          <w:tcPr>
            <w:tcW w:w="84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w w:val="97"/>
              </w:rPr>
              <w:t>-22.9%</w:t>
            </w:r>
          </w:p>
        </w:tc>
        <w:tc>
          <w:tcPr>
            <w:tcW w:w="2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-22.9%</w:t>
            </w:r>
          </w:p>
        </w:tc>
      </w:tr>
      <w:tr>
        <w:trPr>
          <w:trHeight w:val="201"/>
        </w:trPr>
        <w:tc>
          <w:tcPr>
            <w:tcW w:w="20" w:type="dxa"/>
            <w:vAlign w:val="bottom"/>
          </w:tcPr>
          <w:p>
            <w:pPr>
              <w:spacing w:after="0"/>
              <w:rPr>
                <w:sz w:val="17"/>
                <w:szCs w:val="17"/>
                <w:color w:val="auto"/>
              </w:rPr>
            </w:pPr>
          </w:p>
        </w:tc>
        <w:tc>
          <w:tcPr>
            <w:tcW w:w="406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4,099.3</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3,643.0</w:t>
            </w:r>
          </w:p>
        </w:tc>
        <w:tc>
          <w:tcPr>
            <w:tcW w:w="2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12.5%</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5.1%</w:t>
            </w:r>
          </w:p>
        </w:tc>
      </w:tr>
      <w:tr>
        <w:trPr>
          <w:trHeight w:val="141"/>
        </w:trPr>
        <w:tc>
          <w:tcPr>
            <w:tcW w:w="20" w:type="dxa"/>
            <w:vAlign w:val="bottom"/>
          </w:tcPr>
          <w:p>
            <w:pPr>
              <w:spacing w:after="0"/>
              <w:rPr>
                <w:sz w:val="12"/>
                <w:szCs w:val="12"/>
                <w:color w:val="auto"/>
              </w:rPr>
            </w:pPr>
          </w:p>
        </w:tc>
        <w:tc>
          <w:tcPr>
            <w:tcW w:w="4060" w:type="dxa"/>
            <w:vAlign w:val="bottom"/>
          </w:tcPr>
          <w:p>
            <w:pPr>
              <w:spacing w:after="0" w:line="141" w:lineRule="exact"/>
              <w:rPr>
                <w:sz w:val="20"/>
                <w:szCs w:val="20"/>
                <w:color w:val="auto"/>
              </w:rPr>
            </w:pPr>
            <w:r>
              <w:rPr>
                <w:rFonts w:ascii="Arial" w:cs="Arial" w:eastAsia="Arial" w:hAnsi="Arial"/>
                <w:sz w:val="13"/>
                <w:szCs w:val="13"/>
                <w:color w:val="auto"/>
              </w:rPr>
              <w:t>Operating Unit (Loss) Profit:</w:t>
            </w:r>
          </w:p>
        </w:tc>
        <w:tc>
          <w:tcPr>
            <w:tcW w:w="2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1"/>
        </w:trPr>
        <w:tc>
          <w:tcPr>
            <w:tcW w:w="20" w:type="dxa"/>
            <w:vAlign w:val="bottom"/>
          </w:tcPr>
          <w:p>
            <w:pPr>
              <w:spacing w:after="0"/>
              <w:rPr>
                <w:sz w:val="13"/>
                <w:szCs w:val="13"/>
                <w:color w:val="auto"/>
              </w:rPr>
            </w:pPr>
          </w:p>
        </w:tc>
        <w:tc>
          <w:tcPr>
            <w:tcW w:w="4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Americas:</w:t>
            </w:r>
          </w:p>
        </w:tc>
        <w:tc>
          <w:tcPr>
            <w:tcW w:w="2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61"/>
        </w:trPr>
        <w:tc>
          <w:tcPr>
            <w:tcW w:w="20" w:type="dxa"/>
            <w:vAlign w:val="bottom"/>
          </w:tcPr>
          <w:p>
            <w:pPr>
              <w:spacing w:after="0"/>
              <w:rPr>
                <w:sz w:val="13"/>
                <w:szCs w:val="13"/>
                <w:color w:val="auto"/>
              </w:rPr>
            </w:pPr>
          </w:p>
        </w:tc>
        <w:tc>
          <w:tcPr>
            <w:tcW w:w="4060" w:type="dxa"/>
            <w:vAlign w:val="bottom"/>
          </w:tcPr>
          <w:p>
            <w:pPr>
              <w:ind w:left="180"/>
              <w:spacing w:after="0"/>
              <w:rPr>
                <w:sz w:val="20"/>
                <w:szCs w:val="20"/>
                <w:color w:val="auto"/>
              </w:rPr>
            </w:pPr>
            <w:r>
              <w:rPr>
                <w:rFonts w:ascii="Arial" w:cs="Arial" w:eastAsia="Arial" w:hAnsi="Arial"/>
                <w:sz w:val="13"/>
                <w:szCs w:val="13"/>
                <w:color w:val="auto"/>
              </w:rPr>
              <w:t>United States (a)</w:t>
            </w:r>
          </w:p>
        </w:tc>
        <w:tc>
          <w:tcPr>
            <w:tcW w:w="226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(8.4)</w:t>
            </w:r>
          </w:p>
        </w:tc>
        <w:tc>
          <w:tcPr>
            <w:tcW w:w="30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(14.5)</w:t>
            </w:r>
          </w:p>
        </w:tc>
        <w:tc>
          <w:tcPr>
            <w:tcW w:w="84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auto"/>
              </w:rPr>
              <w:t>N/A</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N/A</w:t>
            </w:r>
          </w:p>
        </w:tc>
      </w:tr>
      <w:tr>
        <w:trPr>
          <w:trHeight w:val="161"/>
        </w:trPr>
        <w:tc>
          <w:tcPr>
            <w:tcW w:w="20" w:type="dxa"/>
            <w:vAlign w:val="bottom"/>
          </w:tcPr>
          <w:p>
            <w:pPr>
              <w:spacing w:after="0"/>
              <w:rPr>
                <w:sz w:val="13"/>
                <w:szCs w:val="13"/>
                <w:color w:val="auto"/>
              </w:rPr>
            </w:pPr>
          </w:p>
        </w:tc>
        <w:tc>
          <w:tcPr>
            <w:tcW w:w="40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Americas</w:t>
            </w:r>
          </w:p>
        </w:tc>
        <w:tc>
          <w:tcPr>
            <w:tcW w:w="2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4.8</w:t>
            </w:r>
          </w:p>
        </w:tc>
        <w:tc>
          <w:tcPr>
            <w:tcW w:w="8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0"/>
              </w:rPr>
              <w:t>101.0%</w:t>
            </w: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87.1%</w:t>
            </w:r>
          </w:p>
        </w:tc>
      </w:tr>
      <w:tr>
        <w:trPr>
          <w:trHeight w:val="20"/>
        </w:trPr>
        <w:tc>
          <w:tcPr>
            <w:tcW w:w="20" w:type="dxa"/>
            <w:vAlign w:val="bottom"/>
          </w:tcPr>
          <w:p>
            <w:pPr>
              <w:spacing w:after="0" w:line="20" w:lineRule="exact"/>
              <w:rPr>
                <w:sz w:val="1"/>
                <w:szCs w:val="1"/>
                <w:color w:val="auto"/>
              </w:rPr>
            </w:pPr>
          </w:p>
        </w:tc>
        <w:tc>
          <w:tcPr>
            <w:tcW w:w="406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(9.7)</w:t>
            </w:r>
          </w:p>
        </w:tc>
        <w:tc>
          <w:tcPr>
            <w:tcW w:w="84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auto"/>
              </w:rPr>
              <w:t>N/A</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N/A</w:t>
            </w:r>
          </w:p>
        </w:tc>
      </w:tr>
      <w:tr>
        <w:trPr>
          <w:trHeight w:val="161"/>
        </w:trPr>
        <w:tc>
          <w:tcPr>
            <w:tcW w:w="20" w:type="dxa"/>
            <w:vAlign w:val="bottom"/>
          </w:tcPr>
          <w:p>
            <w:pPr>
              <w:spacing w:after="0"/>
              <w:rPr>
                <w:sz w:val="13"/>
                <w:szCs w:val="13"/>
                <w:color w:val="auto"/>
              </w:rPr>
            </w:pPr>
          </w:p>
        </w:tc>
        <w:tc>
          <w:tcPr>
            <w:tcW w:w="406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61"/>
        </w:trPr>
        <w:tc>
          <w:tcPr>
            <w:tcW w:w="20" w:type="dxa"/>
            <w:vAlign w:val="bottom"/>
          </w:tcPr>
          <w:p>
            <w:pPr>
              <w:spacing w:after="0"/>
              <w:rPr>
                <w:sz w:val="13"/>
                <w:szCs w:val="13"/>
                <w:color w:val="auto"/>
              </w:rPr>
            </w:pPr>
          </w:p>
        </w:tc>
        <w:tc>
          <w:tcPr>
            <w:tcW w:w="4060" w:type="dxa"/>
            <w:vAlign w:val="bottom"/>
          </w:tcPr>
          <w:p>
            <w:pPr>
              <w:ind w:left="40"/>
              <w:spacing w:after="0"/>
              <w:rPr>
                <w:sz w:val="20"/>
                <w:szCs w:val="20"/>
                <w:color w:val="auto"/>
              </w:rPr>
            </w:pPr>
            <w:r>
              <w:rPr>
                <w:rFonts w:ascii="Arial" w:cs="Arial" w:eastAsia="Arial" w:hAnsi="Arial"/>
                <w:sz w:val="13"/>
                <w:szCs w:val="13"/>
                <w:color w:val="auto"/>
              </w:rPr>
              <w:t>France</w:t>
            </w:r>
          </w:p>
        </w:tc>
        <w:tc>
          <w:tcPr>
            <w:tcW w:w="2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0.2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1.0</w:t>
            </w:r>
          </w:p>
        </w:tc>
        <w:tc>
          <w:tcPr>
            <w:tcW w:w="84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w w:val="97"/>
              </w:rPr>
              <w:t>-83.9%</w:t>
            </w:r>
          </w:p>
        </w:tc>
        <w:tc>
          <w:tcPr>
            <w:tcW w:w="24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-69.7%</w:t>
            </w:r>
          </w:p>
        </w:tc>
      </w:tr>
      <w:tr>
        <w:trPr>
          <w:trHeight w:val="161"/>
        </w:trPr>
        <w:tc>
          <w:tcPr>
            <w:tcW w:w="20" w:type="dxa"/>
            <w:vAlign w:val="bottom"/>
          </w:tcPr>
          <w:p>
            <w:pPr>
              <w:spacing w:after="0"/>
              <w:rPr>
                <w:sz w:val="13"/>
                <w:szCs w:val="13"/>
                <w:color w:val="auto"/>
              </w:rPr>
            </w:pPr>
          </w:p>
        </w:tc>
        <w:tc>
          <w:tcPr>
            <w:tcW w:w="4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EMEA:</w:t>
            </w:r>
          </w:p>
        </w:tc>
        <w:tc>
          <w:tcPr>
            <w:tcW w:w="2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61"/>
        </w:trPr>
        <w:tc>
          <w:tcPr>
            <w:tcW w:w="20" w:type="dxa"/>
            <w:vAlign w:val="bottom"/>
          </w:tcPr>
          <w:p>
            <w:pPr>
              <w:spacing w:after="0"/>
              <w:rPr>
                <w:sz w:val="13"/>
                <w:szCs w:val="13"/>
                <w:color w:val="auto"/>
              </w:rPr>
            </w:pPr>
          </w:p>
        </w:tc>
        <w:tc>
          <w:tcPr>
            <w:tcW w:w="4060" w:type="dxa"/>
            <w:vAlign w:val="bottom"/>
          </w:tcPr>
          <w:p>
            <w:pPr>
              <w:ind w:left="180"/>
              <w:spacing w:after="0"/>
              <w:rPr>
                <w:sz w:val="20"/>
                <w:szCs w:val="20"/>
                <w:color w:val="auto"/>
              </w:rPr>
            </w:pPr>
            <w:r>
              <w:rPr>
                <w:rFonts w:ascii="Arial" w:cs="Arial" w:eastAsia="Arial" w:hAnsi="Arial"/>
                <w:sz w:val="13"/>
                <w:szCs w:val="13"/>
                <w:color w:val="auto"/>
              </w:rPr>
              <w:t>Italy</w:t>
            </w:r>
          </w:p>
        </w:tc>
        <w:tc>
          <w:tcPr>
            <w:tcW w:w="2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1.4</w:t>
            </w:r>
          </w:p>
        </w:tc>
        <w:tc>
          <w:tcPr>
            <w:tcW w:w="84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w w:val="90"/>
              </w:rPr>
              <w:t>386.1%</w:t>
            </w:r>
          </w:p>
        </w:tc>
        <w:tc>
          <w:tcPr>
            <w:tcW w:w="24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362.9%</w:t>
            </w:r>
          </w:p>
        </w:tc>
      </w:tr>
      <w:tr>
        <w:trPr>
          <w:trHeight w:val="161"/>
        </w:trPr>
        <w:tc>
          <w:tcPr>
            <w:tcW w:w="20" w:type="dxa"/>
            <w:vAlign w:val="bottom"/>
          </w:tcPr>
          <w:p>
            <w:pPr>
              <w:spacing w:after="0"/>
              <w:rPr>
                <w:sz w:val="13"/>
                <w:szCs w:val="13"/>
                <w:color w:val="auto"/>
              </w:rPr>
            </w:pPr>
          </w:p>
        </w:tc>
        <w:tc>
          <w:tcPr>
            <w:tcW w:w="40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EMEA (b)</w:t>
            </w:r>
          </w:p>
        </w:tc>
        <w:tc>
          <w:tcPr>
            <w:tcW w:w="2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(3.4)</w:t>
            </w:r>
          </w:p>
        </w:tc>
        <w:tc>
          <w:tcPr>
            <w:tcW w:w="8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N/A</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N/A</w:t>
            </w:r>
          </w:p>
        </w:tc>
      </w:tr>
      <w:tr>
        <w:trPr>
          <w:trHeight w:val="20"/>
        </w:trPr>
        <w:tc>
          <w:tcPr>
            <w:tcW w:w="20" w:type="dxa"/>
            <w:vAlign w:val="bottom"/>
          </w:tcPr>
          <w:p>
            <w:pPr>
              <w:spacing w:after="0" w:line="20" w:lineRule="exact"/>
              <w:rPr>
                <w:sz w:val="1"/>
                <w:szCs w:val="1"/>
                <w:color w:val="auto"/>
              </w:rPr>
            </w:pPr>
          </w:p>
        </w:tc>
        <w:tc>
          <w:tcPr>
            <w:tcW w:w="406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23.6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(2.0)</w:t>
            </w:r>
          </w:p>
        </w:tc>
        <w:tc>
          <w:tcPr>
            <w:tcW w:w="84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auto"/>
              </w:rPr>
              <w:t>N/A</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N/A</w:t>
            </w: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4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Asia Pacific</w:t>
            </w:r>
          </w:p>
        </w:tc>
        <w:tc>
          <w:tcPr>
            <w:tcW w:w="2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12.1</w:t>
            </w:r>
          </w:p>
        </w:tc>
        <w:tc>
          <w:tcPr>
            <w:tcW w:w="8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3.6%</w:t>
            </w: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-9.3%</w:t>
            </w:r>
          </w:p>
        </w:tc>
      </w:tr>
      <w:tr>
        <w:trPr>
          <w:trHeight w:val="161"/>
        </w:trPr>
        <w:tc>
          <w:tcPr>
            <w:tcW w:w="20" w:type="dxa"/>
            <w:vAlign w:val="bottom"/>
          </w:tcPr>
          <w:p>
            <w:pPr>
              <w:spacing w:after="0"/>
              <w:rPr>
                <w:sz w:val="13"/>
                <w:szCs w:val="13"/>
                <w:color w:val="auto"/>
              </w:rPr>
            </w:pPr>
          </w:p>
        </w:tc>
        <w:tc>
          <w:tcPr>
            <w:tcW w:w="4060" w:type="dxa"/>
            <w:vAlign w:val="bottom"/>
          </w:tcPr>
          <w:p>
            <w:pPr>
              <w:ind w:left="40"/>
              <w:spacing w:after="0"/>
              <w:rPr>
                <w:sz w:val="20"/>
                <w:szCs w:val="20"/>
                <w:color w:val="auto"/>
              </w:rPr>
            </w:pPr>
            <w:r>
              <w:rPr>
                <w:rFonts w:ascii="Arial" w:cs="Arial" w:eastAsia="Arial" w:hAnsi="Arial"/>
                <w:sz w:val="13"/>
                <w:szCs w:val="13"/>
                <w:color w:val="auto"/>
              </w:rPr>
              <w:t>Right Management</w:t>
            </w:r>
          </w:p>
        </w:tc>
        <w:tc>
          <w:tcPr>
            <w:tcW w:w="2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12.5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29.1</w:t>
            </w:r>
          </w:p>
        </w:tc>
        <w:tc>
          <w:tcPr>
            <w:tcW w:w="84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w w:val="97"/>
              </w:rPr>
              <w:t>-56.9%</w:t>
            </w:r>
          </w:p>
        </w:tc>
        <w:tc>
          <w:tcPr>
            <w:tcW w:w="24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-58.1%</w:t>
            </w:r>
          </w:p>
        </w:tc>
      </w:tr>
      <w:tr>
        <w:trPr>
          <w:trHeight w:val="161"/>
        </w:trPr>
        <w:tc>
          <w:tcPr>
            <w:tcW w:w="20" w:type="dxa"/>
            <w:vAlign w:val="bottom"/>
          </w:tcPr>
          <w:p>
            <w:pPr>
              <w:spacing w:after="0"/>
              <w:rPr>
                <w:sz w:val="13"/>
                <w:szCs w:val="13"/>
                <w:color w:val="auto"/>
              </w:rPr>
            </w:pPr>
          </w:p>
        </w:tc>
        <w:tc>
          <w:tcPr>
            <w:tcW w:w="4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Jefferson Wells</w:t>
            </w:r>
          </w:p>
        </w:tc>
        <w:tc>
          <w:tcPr>
            <w:tcW w:w="2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(7.5)</w:t>
            </w:r>
          </w:p>
        </w:tc>
        <w:tc>
          <w:tcPr>
            <w:tcW w:w="8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N/A</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N/A</w:t>
            </w:r>
          </w:p>
        </w:tc>
      </w:tr>
      <w:tr>
        <w:trPr>
          <w:trHeight w:val="20"/>
        </w:trPr>
        <w:tc>
          <w:tcPr>
            <w:tcW w:w="20" w:type="dxa"/>
            <w:vAlign w:val="bottom"/>
          </w:tcPr>
          <w:p>
            <w:pPr>
              <w:spacing w:after="0" w:line="20" w:lineRule="exact"/>
              <w:rPr>
                <w:sz w:val="1"/>
                <w:szCs w:val="1"/>
                <w:color w:val="auto"/>
              </w:rPr>
            </w:pPr>
          </w:p>
        </w:tc>
        <w:tc>
          <w:tcPr>
            <w:tcW w:w="406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45.3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23.0</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1"/>
        </w:trPr>
        <w:tc>
          <w:tcPr>
            <w:tcW w:w="20" w:type="dxa"/>
            <w:vAlign w:val="bottom"/>
          </w:tcPr>
          <w:p>
            <w:pPr>
              <w:spacing w:after="0"/>
              <w:rPr>
                <w:sz w:val="13"/>
                <w:szCs w:val="13"/>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3"/>
                <w:szCs w:val="13"/>
                <w:color w:val="auto"/>
              </w:rPr>
              <w:t>Corporate expenses</w:t>
            </w:r>
          </w:p>
        </w:tc>
        <w:tc>
          <w:tcPr>
            <w:tcW w:w="2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(21.6)</w:t>
            </w: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61"/>
        </w:trPr>
        <w:tc>
          <w:tcPr>
            <w:tcW w:w="20" w:type="dxa"/>
            <w:vAlign w:val="bottom"/>
          </w:tcPr>
          <w:p>
            <w:pPr>
              <w:spacing w:after="0"/>
              <w:rPr>
                <w:sz w:val="13"/>
                <w:szCs w:val="13"/>
                <w:color w:val="auto"/>
              </w:rPr>
            </w:pPr>
          </w:p>
        </w:tc>
        <w:tc>
          <w:tcPr>
            <w:tcW w:w="4060" w:type="dxa"/>
            <w:vAlign w:val="bottom"/>
          </w:tcPr>
          <w:p>
            <w:pPr>
              <w:spacing w:after="0"/>
              <w:rPr>
                <w:sz w:val="20"/>
                <w:szCs w:val="20"/>
                <w:color w:val="auto"/>
              </w:rPr>
            </w:pPr>
            <w:r>
              <w:rPr>
                <w:rFonts w:ascii="Arial" w:cs="Arial" w:eastAsia="Arial" w:hAnsi="Arial"/>
                <w:sz w:val="13"/>
                <w:szCs w:val="13"/>
                <w:color w:val="auto"/>
              </w:rPr>
              <w:t>Reclassification of French business tax</w:t>
            </w:r>
          </w:p>
        </w:tc>
        <w:tc>
          <w:tcPr>
            <w:tcW w:w="2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13.7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4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Operating profit</w:t>
            </w:r>
          </w:p>
        </w:tc>
        <w:tc>
          <w:tcPr>
            <w:tcW w:w="2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32.6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w:t>
            </w:r>
          </w:p>
        </w:tc>
        <w:tc>
          <w:tcPr>
            <w:tcW w:w="8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N/A</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N/A</w:t>
            </w:r>
          </w:p>
        </w:tc>
      </w:tr>
      <w:tr>
        <w:trPr>
          <w:trHeight w:val="161"/>
        </w:trPr>
        <w:tc>
          <w:tcPr>
            <w:tcW w:w="20" w:type="dxa"/>
            <w:vAlign w:val="bottom"/>
          </w:tcPr>
          <w:p>
            <w:pPr>
              <w:spacing w:after="0"/>
              <w:rPr>
                <w:sz w:val="13"/>
                <w:szCs w:val="13"/>
                <w:color w:val="auto"/>
              </w:rPr>
            </w:pPr>
          </w:p>
        </w:tc>
        <w:tc>
          <w:tcPr>
            <w:tcW w:w="4060" w:type="dxa"/>
            <w:vAlign w:val="bottom"/>
          </w:tcPr>
          <w:p>
            <w:pPr>
              <w:spacing w:after="0"/>
              <w:rPr>
                <w:sz w:val="20"/>
                <w:szCs w:val="20"/>
                <w:color w:val="auto"/>
              </w:rPr>
            </w:pPr>
            <w:r>
              <w:rPr>
                <w:rFonts w:ascii="Arial" w:cs="Arial" w:eastAsia="Arial" w:hAnsi="Arial"/>
                <w:sz w:val="13"/>
                <w:szCs w:val="13"/>
                <w:color w:val="auto"/>
              </w:rPr>
              <w:t>Interest and other expenses (c)</w:t>
            </w:r>
          </w:p>
        </w:tc>
        <w:tc>
          <w:tcPr>
            <w:tcW w:w="2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(11.9)</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4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Earnings (loss) before income taxes</w:t>
            </w:r>
          </w:p>
        </w:tc>
        <w:tc>
          <w:tcPr>
            <w:tcW w:w="20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19.7</w:t>
            </w:r>
          </w:p>
        </w:tc>
        <w:tc>
          <w:tcPr>
            <w:tcW w:w="30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(10.5)</w:t>
            </w: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50" w:lineRule="exact"/>
        <w:rPr>
          <w:sz w:val="20"/>
          <w:szCs w:val="20"/>
          <w:color w:val="auto"/>
        </w:rPr>
      </w:pPr>
    </w:p>
    <w:p>
      <w:pPr>
        <w:ind w:right="140"/>
        <w:spacing w:after="0" w:line="293"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In the United States, revenues from services include fees received from our franchise offices of $2.5 million and $2.0 million for the three months ended March 31, 2010 and 2009, respectively. These fees are primarily based on revenues generated by the franchise offices, which were $132.2 million and $94.9 million for the three months ended March 31, 2010 and 2009, respectively.</w:t>
      </w:r>
    </w:p>
    <w:p>
      <w:pPr>
        <w:spacing w:after="0" w:line="117" w:lineRule="exact"/>
        <w:rPr>
          <w:rFonts w:ascii="Arial" w:cs="Arial" w:eastAsia="Arial" w:hAnsi="Arial"/>
          <w:sz w:val="13"/>
          <w:szCs w:val="13"/>
          <w:color w:val="auto"/>
        </w:rPr>
      </w:pPr>
    </w:p>
    <w:p>
      <w:pPr>
        <w:ind w:left="200" w:hanging="200"/>
        <w:spacing w:after="0"/>
        <w:tabs>
          <w:tab w:leader="none" w:pos="200" w:val="left"/>
        </w:tabs>
        <w:numPr>
          <w:ilvl w:val="0"/>
          <w:numId w:val="2"/>
        </w:numPr>
        <w:rPr>
          <w:rFonts w:ascii="Arial" w:cs="Arial" w:eastAsia="Arial" w:hAnsi="Arial"/>
          <w:sz w:val="13"/>
          <w:szCs w:val="13"/>
          <w:color w:val="auto"/>
        </w:rPr>
      </w:pPr>
      <w:r>
        <w:rPr>
          <w:rFonts w:ascii="Arial" w:cs="Arial" w:eastAsia="Arial" w:hAnsi="Arial"/>
          <w:sz w:val="13"/>
          <w:szCs w:val="13"/>
          <w:color w:val="auto"/>
        </w:rPr>
        <w:t>Our 2009 results have been restated as disclosed in Note 16 to the Consolidated Financial Statements included in our 2009 Annual Report to Shareholders.</w:t>
      </w:r>
    </w:p>
    <w:p>
      <w:pPr>
        <w:spacing w:after="0" w:line="172" w:lineRule="exact"/>
        <w:rPr>
          <w:rFonts w:ascii="Arial" w:cs="Arial" w:eastAsia="Arial" w:hAnsi="Arial"/>
          <w:sz w:val="13"/>
          <w:szCs w:val="13"/>
          <w:color w:val="auto"/>
        </w:rPr>
      </w:pPr>
    </w:p>
    <w:p>
      <w:pPr>
        <w:ind w:left="180" w:hanging="180"/>
        <w:spacing w:after="0"/>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components of interest and other expenses were: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2010</w:t>
            </w:r>
          </w:p>
        </w:tc>
        <w:tc>
          <w:tcPr>
            <w:tcW w:w="3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2009</w:t>
            </w:r>
          </w:p>
        </w:tc>
        <w:tc>
          <w:tcPr>
            <w:tcW w:w="2840" w:type="dxa"/>
            <w:vAlign w:val="bottom"/>
          </w:tcPr>
          <w:p>
            <w:pPr>
              <w:spacing w:after="0"/>
              <w:rPr>
                <w:sz w:val="14"/>
                <w:szCs w:val="14"/>
                <w:color w:val="auto"/>
              </w:rPr>
            </w:pPr>
          </w:p>
        </w:tc>
      </w:tr>
      <w:tr>
        <w:trPr>
          <w:trHeight w:val="161"/>
        </w:trPr>
        <w:tc>
          <w:tcPr>
            <w:tcW w:w="39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Interest expense</w:t>
            </w:r>
          </w:p>
        </w:tc>
        <w:tc>
          <w:tcPr>
            <w:tcW w:w="3000" w:type="dxa"/>
            <w:vAlign w:val="bottom"/>
            <w:gridSpan w:val="2"/>
            <w:shd w:val="clear" w:color="auto" w:fill="CCEEFF"/>
          </w:tcPr>
          <w:p>
            <w:pPr>
              <w:jc w:val="right"/>
              <w:ind w:right="713"/>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4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700" w:type="dxa"/>
            <w:vAlign w:val="bottom"/>
            <w:gridSpan w:val="2"/>
            <w:shd w:val="clear" w:color="auto" w:fill="CCEEFF"/>
          </w:tcPr>
          <w:p>
            <w:pPr>
              <w:jc w:val="right"/>
              <w:ind w:right="2840"/>
              <w:spacing w:after="0"/>
              <w:rPr>
                <w:sz w:val="20"/>
                <w:szCs w:val="20"/>
                <w:color w:val="auto"/>
              </w:rPr>
            </w:pPr>
            <w:r>
              <w:rPr>
                <w:rFonts w:ascii="Arial" w:cs="Arial" w:eastAsia="Arial" w:hAnsi="Arial"/>
                <w:sz w:val="13"/>
                <w:szCs w:val="13"/>
                <w:color w:val="auto"/>
              </w:rPr>
              <w:t>13.1</w:t>
            </w:r>
          </w:p>
        </w:tc>
      </w:tr>
      <w:tr>
        <w:trPr>
          <w:trHeight w:val="161"/>
        </w:trPr>
        <w:tc>
          <w:tcPr>
            <w:tcW w:w="3940" w:type="dxa"/>
            <w:vAlign w:val="bottom"/>
          </w:tcPr>
          <w:p>
            <w:pPr>
              <w:ind w:left="260"/>
              <w:spacing w:after="0"/>
              <w:rPr>
                <w:sz w:val="20"/>
                <w:szCs w:val="20"/>
                <w:color w:val="auto"/>
              </w:rPr>
            </w:pPr>
            <w:r>
              <w:rPr>
                <w:rFonts w:ascii="Arial" w:cs="Arial" w:eastAsia="Arial" w:hAnsi="Arial"/>
                <w:sz w:val="13"/>
                <w:szCs w:val="13"/>
                <w:color w:val="auto"/>
              </w:rPr>
              <w:t>Interest income</w:t>
            </w:r>
          </w:p>
        </w:tc>
        <w:tc>
          <w:tcPr>
            <w:tcW w:w="2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700" w:type="dxa"/>
            <w:vAlign w:val="bottom"/>
            <w:gridSpan w:val="2"/>
          </w:tcPr>
          <w:p>
            <w:pPr>
              <w:jc w:val="right"/>
              <w:ind w:right="2800"/>
              <w:spacing w:after="0"/>
              <w:rPr>
                <w:sz w:val="20"/>
                <w:szCs w:val="20"/>
                <w:color w:val="auto"/>
              </w:rPr>
            </w:pPr>
            <w:r>
              <w:rPr>
                <w:rFonts w:ascii="Arial" w:cs="Arial" w:eastAsia="Arial" w:hAnsi="Arial"/>
                <w:sz w:val="13"/>
                <w:szCs w:val="13"/>
                <w:color w:val="auto"/>
              </w:rPr>
              <w:t>(4.4)</w:t>
            </w:r>
          </w:p>
        </w:tc>
      </w:tr>
      <w:tr>
        <w:trPr>
          <w:trHeight w:val="161"/>
        </w:trPr>
        <w:tc>
          <w:tcPr>
            <w:tcW w:w="39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Foreign exchange losses</w:t>
            </w:r>
          </w:p>
        </w:tc>
        <w:tc>
          <w:tcPr>
            <w:tcW w:w="2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700" w:type="dxa"/>
            <w:vAlign w:val="bottom"/>
            <w:gridSpan w:val="2"/>
            <w:shd w:val="clear" w:color="auto" w:fill="CCEEFF"/>
          </w:tcPr>
          <w:p>
            <w:pPr>
              <w:jc w:val="right"/>
              <w:ind w:right="2840"/>
              <w:spacing w:after="0"/>
              <w:rPr>
                <w:sz w:val="20"/>
                <w:szCs w:val="20"/>
                <w:color w:val="auto"/>
              </w:rPr>
            </w:pPr>
            <w:r>
              <w:rPr>
                <w:rFonts w:ascii="Arial" w:cs="Arial" w:eastAsia="Arial" w:hAnsi="Arial"/>
                <w:sz w:val="13"/>
                <w:szCs w:val="13"/>
                <w:color w:val="auto"/>
              </w:rPr>
              <w:t>0.5</w:t>
            </w:r>
          </w:p>
        </w:tc>
      </w:tr>
      <w:tr>
        <w:trPr>
          <w:trHeight w:val="161"/>
        </w:trPr>
        <w:tc>
          <w:tcPr>
            <w:tcW w:w="3940" w:type="dxa"/>
            <w:vAlign w:val="bottom"/>
          </w:tcPr>
          <w:p>
            <w:pPr>
              <w:ind w:left="260"/>
              <w:spacing w:after="0"/>
              <w:rPr>
                <w:sz w:val="20"/>
                <w:szCs w:val="20"/>
                <w:color w:val="auto"/>
              </w:rPr>
            </w:pPr>
            <w:r>
              <w:rPr>
                <w:rFonts w:ascii="Arial" w:cs="Arial" w:eastAsia="Arial" w:hAnsi="Arial"/>
                <w:sz w:val="13"/>
                <w:szCs w:val="13"/>
                <w:color w:val="auto"/>
              </w:rPr>
              <w:t>Miscellaneous expenses, net</w:t>
            </w:r>
          </w:p>
        </w:tc>
        <w:tc>
          <w:tcPr>
            <w:tcW w:w="2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700" w:type="dxa"/>
            <w:vAlign w:val="bottom"/>
            <w:gridSpan w:val="2"/>
          </w:tcPr>
          <w:p>
            <w:pPr>
              <w:jc w:val="right"/>
              <w:ind w:right="2840"/>
              <w:spacing w:after="0"/>
              <w:rPr>
                <w:sz w:val="20"/>
                <w:szCs w:val="20"/>
                <w:color w:val="auto"/>
              </w:rPr>
            </w:pPr>
            <w:r>
              <w:rPr>
                <w:rFonts w:ascii="Arial" w:cs="Arial" w:eastAsia="Arial" w:hAnsi="Arial"/>
                <w:sz w:val="13"/>
                <w:szCs w:val="13"/>
                <w:color w:val="auto"/>
              </w:rPr>
              <w:t>2.7</w:t>
            </w:r>
          </w:p>
        </w:tc>
      </w:tr>
      <w:tr>
        <w:trPr>
          <w:trHeight w:val="20"/>
        </w:trPr>
        <w:tc>
          <w:tcPr>
            <w:tcW w:w="39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01"/>
        </w:trPr>
        <w:tc>
          <w:tcPr>
            <w:tcW w:w="394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13"/>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12.9</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700" w:type="dxa"/>
            <w:vAlign w:val="bottom"/>
            <w:gridSpan w:val="2"/>
            <w:shd w:val="clear" w:color="auto" w:fill="CCEEFF"/>
          </w:tcPr>
          <w:p>
            <w:pPr>
              <w:jc w:val="right"/>
              <w:ind w:right="2840"/>
              <w:spacing w:after="0"/>
              <w:rPr>
                <w:sz w:val="20"/>
                <w:szCs w:val="20"/>
                <w:color w:val="auto"/>
              </w:rPr>
            </w:pPr>
            <w:r>
              <w:rPr>
                <w:rFonts w:ascii="Arial" w:cs="Arial" w:eastAsia="Arial" w:hAnsi="Arial"/>
                <w:sz w:val="13"/>
                <w:szCs w:val="13"/>
                <w:color w:val="auto"/>
              </w:rPr>
              <w:t>11.9</w:t>
            </w:r>
          </w:p>
        </w:tc>
      </w:tr>
      <w:tr>
        <w:trPr>
          <w:trHeight w:val="247"/>
        </w:trPr>
        <w:tc>
          <w:tcPr>
            <w:tcW w:w="3940" w:type="dxa"/>
            <w:vAlign w:val="bottom"/>
            <w:tcBorders>
              <w:top w:val="single" w:sz="8" w:color="CCEEFF"/>
              <w:bottom w:val="single" w:sz="8" w:color="808080"/>
            </w:tcBorders>
          </w:tcPr>
          <w:p>
            <w:pPr>
              <w:spacing w:after="0"/>
              <w:rPr>
                <w:sz w:val="21"/>
                <w:szCs w:val="21"/>
                <w:color w:val="auto"/>
              </w:rPr>
            </w:pPr>
          </w:p>
        </w:tc>
        <w:tc>
          <w:tcPr>
            <w:tcW w:w="2140" w:type="dxa"/>
            <w:vAlign w:val="bottom"/>
            <w:tcBorders>
              <w:top w:val="single" w:sz="8" w:color="CCEEFF"/>
              <w:bottom w:val="single" w:sz="8" w:color="808080"/>
            </w:tcBorders>
          </w:tcPr>
          <w:p>
            <w:pPr>
              <w:spacing w:after="0"/>
              <w:rPr>
                <w:sz w:val="21"/>
                <w:szCs w:val="21"/>
                <w:color w:val="auto"/>
              </w:rPr>
            </w:pPr>
          </w:p>
        </w:tc>
        <w:tc>
          <w:tcPr>
            <w:tcW w:w="860" w:type="dxa"/>
            <w:vAlign w:val="bottom"/>
            <w:tcBorders>
              <w:top w:val="single" w:sz="8" w:color="auto"/>
              <w:bottom w:val="single" w:sz="8" w:color="808080"/>
            </w:tcBorders>
          </w:tcPr>
          <w:p>
            <w:pPr>
              <w:spacing w:after="0"/>
              <w:rPr>
                <w:sz w:val="21"/>
                <w:szCs w:val="21"/>
                <w:color w:val="auto"/>
              </w:rPr>
            </w:pPr>
          </w:p>
        </w:tc>
        <w:tc>
          <w:tcPr>
            <w:tcW w:w="300" w:type="dxa"/>
            <w:vAlign w:val="bottom"/>
            <w:tcBorders>
              <w:top w:val="single" w:sz="8" w:color="auto"/>
              <w:bottom w:val="single" w:sz="8" w:color="808080"/>
            </w:tcBorders>
          </w:tcPr>
          <w:p>
            <w:pPr>
              <w:spacing w:after="0"/>
              <w:rPr>
                <w:sz w:val="21"/>
                <w:szCs w:val="21"/>
                <w:color w:val="auto"/>
              </w:rPr>
            </w:pPr>
          </w:p>
        </w:tc>
        <w:tc>
          <w:tcPr>
            <w:tcW w:w="140" w:type="dxa"/>
            <w:vAlign w:val="bottom"/>
            <w:tcBorders>
              <w:top w:val="single" w:sz="8" w:color="CCEEFF"/>
              <w:bottom w:val="single" w:sz="8" w:color="808080"/>
            </w:tcBorders>
          </w:tcPr>
          <w:p>
            <w:pPr>
              <w:spacing w:after="0"/>
              <w:rPr>
                <w:sz w:val="21"/>
                <w:szCs w:val="21"/>
                <w:color w:val="auto"/>
              </w:rPr>
            </w:pPr>
          </w:p>
        </w:tc>
        <w:tc>
          <w:tcPr>
            <w:tcW w:w="100" w:type="dxa"/>
            <w:vAlign w:val="bottom"/>
            <w:tcBorders>
              <w:top w:val="single" w:sz="8" w:color="CCEEFF"/>
              <w:bottom w:val="single" w:sz="8" w:color="808080"/>
            </w:tcBorders>
          </w:tcPr>
          <w:p>
            <w:pPr>
              <w:spacing w:after="0"/>
              <w:rPr>
                <w:sz w:val="21"/>
                <w:szCs w:val="21"/>
                <w:color w:val="auto"/>
              </w:rPr>
            </w:pPr>
          </w:p>
        </w:tc>
        <w:tc>
          <w:tcPr>
            <w:tcW w:w="280" w:type="dxa"/>
            <w:vAlign w:val="bottom"/>
            <w:tcBorders>
              <w:top w:val="single" w:sz="8" w:color="auto"/>
              <w:bottom w:val="single" w:sz="8" w:color="808080"/>
            </w:tcBorders>
          </w:tcPr>
          <w:p>
            <w:pPr>
              <w:spacing w:after="0"/>
              <w:rPr>
                <w:sz w:val="21"/>
                <w:szCs w:val="21"/>
                <w:color w:val="auto"/>
              </w:rPr>
            </w:pPr>
          </w:p>
        </w:tc>
        <w:tc>
          <w:tcPr>
            <w:tcW w:w="860" w:type="dxa"/>
            <w:vAlign w:val="bottom"/>
            <w:tcBorders>
              <w:top w:val="single" w:sz="8" w:color="auto"/>
              <w:bottom w:val="single" w:sz="8" w:color="808080"/>
            </w:tcBorders>
          </w:tcPr>
          <w:p>
            <w:pPr>
              <w:spacing w:after="0"/>
              <w:rPr>
                <w:sz w:val="21"/>
                <w:szCs w:val="21"/>
                <w:color w:val="auto"/>
              </w:rPr>
            </w:pPr>
          </w:p>
        </w:tc>
        <w:tc>
          <w:tcPr>
            <w:tcW w:w="2840" w:type="dxa"/>
            <w:vAlign w:val="bottom"/>
            <w:tcBorders>
              <w:top w:val="single" w:sz="8" w:color="CCEEFF"/>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04" w:right="219" w:bottom="1440" w:gutter="0" w:footer="0" w:header="0"/>
        </w:sectPr>
      </w:pPr>
    </w:p>
    <w:bookmarkStart w:id="8" w:name="page9"/>
    <w:bookmarkEnd w:id="8"/>
    <w:p>
      <w:pPr>
        <w:jc w:val="center"/>
        <w:ind w:right="100"/>
        <w:spacing w:after="0"/>
        <w:rPr>
          <w:sz w:val="20"/>
          <w:szCs w:val="20"/>
          <w:color w:val="auto"/>
        </w:rPr>
      </w:pPr>
      <w:r>
        <w:rPr>
          <w:rFonts w:ascii="Arial" w:cs="Arial" w:eastAsia="Arial" w:hAnsi="Arial"/>
          <w:sz w:val="16"/>
          <w:szCs w:val="16"/>
          <w:color w:val="auto"/>
        </w:rPr>
        <w:t>Manpower Inc.</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Consolidated Balance Sheets</w:t>
      </w:r>
    </w:p>
    <w:p>
      <w:pPr>
        <w:spacing w:after="0" w:line="10"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Mar. 31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Dec. 31</w:t>
            </w:r>
          </w:p>
        </w:tc>
      </w:tr>
      <w:tr>
        <w:trPr>
          <w:trHeight w:val="174"/>
        </w:trPr>
        <w:tc>
          <w:tcPr>
            <w:tcW w:w="88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5"/>
                <w:szCs w:val="15"/>
                <w:color w:val="auto"/>
              </w:rPr>
            </w:pPr>
          </w:p>
        </w:tc>
      </w:tr>
      <w:tr>
        <w:trPr>
          <w:trHeight w:val="161"/>
        </w:trPr>
        <w:tc>
          <w:tcPr>
            <w:tcW w:w="8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4"/>
          </w:tcPr>
          <w:p>
            <w:pPr>
              <w:jc w:val="right"/>
              <w:ind w:right="80"/>
              <w:spacing w:after="0"/>
              <w:rPr>
                <w:sz w:val="20"/>
                <w:szCs w:val="20"/>
                <w:color w:val="auto"/>
              </w:rPr>
            </w:pPr>
            <w:r>
              <w:rPr>
                <w:rFonts w:ascii="Arial" w:cs="Arial" w:eastAsia="Arial" w:hAnsi="Arial"/>
                <w:sz w:val="13"/>
                <w:szCs w:val="13"/>
                <w:color w:val="auto"/>
              </w:rPr>
              <w:t>(Unaudited)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1"/>
        </w:trPr>
        <w:tc>
          <w:tcPr>
            <w:tcW w:w="8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1"/>
        </w:trPr>
        <w:tc>
          <w:tcPr>
            <w:tcW w:w="8840" w:type="dxa"/>
            <w:vAlign w:val="bottom"/>
          </w:tcPr>
          <w:p>
            <w:pPr>
              <w:spacing w:after="0"/>
              <w:rPr>
                <w:sz w:val="20"/>
                <w:szCs w:val="20"/>
                <w:color w:val="auto"/>
              </w:rPr>
            </w:pPr>
            <w:r>
              <w:rPr>
                <w:rFonts w:ascii="Arial" w:cs="Arial" w:eastAsia="Arial" w:hAnsi="Arial"/>
                <w:sz w:val="13"/>
                <w:szCs w:val="13"/>
                <w:b w:val="1"/>
                <w:bCs w:val="1"/>
                <w:color w:val="auto"/>
              </w:rPr>
              <w:t>Current assets:</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1"/>
        </w:trPr>
        <w:tc>
          <w:tcPr>
            <w:tcW w:w="8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Cash and cash equivalents</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943.8</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1,014.6</w:t>
            </w:r>
          </w:p>
        </w:tc>
        <w:tc>
          <w:tcPr>
            <w:tcW w:w="100" w:type="dxa"/>
            <w:vAlign w:val="bottom"/>
            <w:shd w:val="clear" w:color="auto" w:fill="CCEEFF"/>
          </w:tcPr>
          <w:p>
            <w:pPr>
              <w:spacing w:after="0"/>
              <w:rPr>
                <w:sz w:val="13"/>
                <w:szCs w:val="13"/>
                <w:color w:val="auto"/>
              </w:rPr>
            </w:pPr>
          </w:p>
        </w:tc>
      </w:tr>
      <w:tr>
        <w:trPr>
          <w:trHeight w:val="161"/>
        </w:trPr>
        <w:tc>
          <w:tcPr>
            <w:tcW w:w="8840" w:type="dxa"/>
            <w:vAlign w:val="bottom"/>
          </w:tcPr>
          <w:p>
            <w:pPr>
              <w:ind w:left="60"/>
              <w:spacing w:after="0"/>
              <w:rPr>
                <w:sz w:val="20"/>
                <w:szCs w:val="20"/>
                <w:color w:val="auto"/>
              </w:rPr>
            </w:pPr>
            <w:r>
              <w:rPr>
                <w:rFonts w:ascii="Arial" w:cs="Arial" w:eastAsia="Arial" w:hAnsi="Arial"/>
                <w:sz w:val="13"/>
                <w:szCs w:val="13"/>
                <w:color w:val="auto"/>
              </w:rPr>
              <w:t>Accounts receivable, net</w:t>
            </w:r>
          </w:p>
        </w:tc>
        <w:tc>
          <w:tcPr>
            <w:tcW w:w="22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3,075.7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3,070.8</w:t>
            </w:r>
          </w:p>
        </w:tc>
        <w:tc>
          <w:tcPr>
            <w:tcW w:w="100" w:type="dxa"/>
            <w:vAlign w:val="bottom"/>
          </w:tcPr>
          <w:p>
            <w:pPr>
              <w:spacing w:after="0"/>
              <w:rPr>
                <w:sz w:val="13"/>
                <w:szCs w:val="13"/>
                <w:color w:val="auto"/>
              </w:rPr>
            </w:pPr>
          </w:p>
        </w:tc>
      </w:tr>
      <w:tr>
        <w:trPr>
          <w:trHeight w:val="161"/>
        </w:trPr>
        <w:tc>
          <w:tcPr>
            <w:tcW w:w="8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Prepaid expenses and other assets</w:t>
            </w: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202.4</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179.6</w:t>
            </w:r>
          </w:p>
        </w:tc>
      </w:tr>
      <w:tr>
        <w:trPr>
          <w:trHeight w:val="161"/>
        </w:trPr>
        <w:tc>
          <w:tcPr>
            <w:tcW w:w="8840" w:type="dxa"/>
            <w:vAlign w:val="bottom"/>
          </w:tcPr>
          <w:p>
            <w:pPr>
              <w:ind w:left="60"/>
              <w:spacing w:after="0"/>
              <w:rPr>
                <w:sz w:val="20"/>
                <w:szCs w:val="20"/>
                <w:color w:val="auto"/>
              </w:rPr>
            </w:pPr>
            <w:r>
              <w:rPr>
                <w:rFonts w:ascii="Arial" w:cs="Arial" w:eastAsia="Arial" w:hAnsi="Arial"/>
                <w:sz w:val="13"/>
                <w:szCs w:val="13"/>
                <w:color w:val="auto"/>
              </w:rPr>
              <w:t>Future income tax benefits</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67.4</w:t>
            </w:r>
          </w:p>
        </w:tc>
        <w:tc>
          <w:tcPr>
            <w:tcW w:w="100" w:type="dxa"/>
            <w:vAlign w:val="bottom"/>
          </w:tcPr>
          <w:p>
            <w:pPr>
              <w:spacing w:after="0"/>
              <w:rPr>
                <w:sz w:val="14"/>
                <w:szCs w:val="14"/>
                <w:color w:val="auto"/>
              </w:rPr>
            </w:pPr>
          </w:p>
        </w:tc>
      </w:tr>
      <w:tr>
        <w:trPr>
          <w:trHeight w:val="161"/>
        </w:trPr>
        <w:tc>
          <w:tcPr>
            <w:tcW w:w="8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 current assets</w:t>
            </w: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4,277.6</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4,332.4</w:t>
            </w:r>
          </w:p>
        </w:tc>
        <w:tc>
          <w:tcPr>
            <w:tcW w:w="100" w:type="dxa"/>
            <w:vAlign w:val="bottom"/>
            <w:shd w:val="clear" w:color="auto" w:fill="CCEEFF"/>
          </w:tcPr>
          <w:p>
            <w:pPr>
              <w:spacing w:after="0"/>
              <w:rPr>
                <w:sz w:val="13"/>
                <w:szCs w:val="13"/>
                <w:color w:val="auto"/>
              </w:rPr>
            </w:pPr>
          </w:p>
        </w:tc>
      </w:tr>
      <w:tr>
        <w:trPr>
          <w:trHeight w:val="161"/>
        </w:trPr>
        <w:tc>
          <w:tcPr>
            <w:tcW w:w="8840" w:type="dxa"/>
            <w:vAlign w:val="bottom"/>
          </w:tcPr>
          <w:p>
            <w:pPr>
              <w:spacing w:after="0"/>
              <w:rPr>
                <w:sz w:val="20"/>
                <w:szCs w:val="20"/>
                <w:color w:val="auto"/>
              </w:rPr>
            </w:pPr>
            <w:r>
              <w:rPr>
                <w:rFonts w:ascii="Arial" w:cs="Arial" w:eastAsia="Arial" w:hAnsi="Arial"/>
                <w:sz w:val="13"/>
                <w:szCs w:val="13"/>
                <w:b w:val="1"/>
                <w:bCs w:val="1"/>
                <w:color w:val="auto"/>
              </w:rPr>
              <w:t>Other assets:</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1"/>
        </w:trPr>
        <w:tc>
          <w:tcPr>
            <w:tcW w:w="8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Goodwill and other intangible assets, net</w:t>
            </w: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1,334.9</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1,357.5</w:t>
            </w:r>
          </w:p>
        </w:tc>
        <w:tc>
          <w:tcPr>
            <w:tcW w:w="100" w:type="dxa"/>
            <w:vAlign w:val="bottom"/>
            <w:shd w:val="clear" w:color="auto" w:fill="CCEEFF"/>
          </w:tcPr>
          <w:p>
            <w:pPr>
              <w:spacing w:after="0"/>
              <w:rPr>
                <w:sz w:val="13"/>
                <w:szCs w:val="13"/>
                <w:color w:val="auto"/>
              </w:rPr>
            </w:pPr>
          </w:p>
        </w:tc>
      </w:tr>
      <w:tr>
        <w:trPr>
          <w:trHeight w:val="161"/>
        </w:trPr>
        <w:tc>
          <w:tcPr>
            <w:tcW w:w="8840" w:type="dxa"/>
            <w:vAlign w:val="bottom"/>
          </w:tcPr>
          <w:p>
            <w:pPr>
              <w:ind w:left="60"/>
              <w:spacing w:after="0"/>
              <w:rPr>
                <w:sz w:val="20"/>
                <w:szCs w:val="20"/>
                <w:color w:val="auto"/>
              </w:rPr>
            </w:pPr>
            <w:r>
              <w:rPr>
                <w:rFonts w:ascii="Arial" w:cs="Arial" w:eastAsia="Arial" w:hAnsi="Arial"/>
                <w:sz w:val="13"/>
                <w:szCs w:val="13"/>
                <w:color w:val="auto"/>
              </w:rPr>
              <w:t>Other assets</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339.9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347.5</w:t>
            </w:r>
          </w:p>
        </w:tc>
        <w:tc>
          <w:tcPr>
            <w:tcW w:w="100" w:type="dxa"/>
            <w:vAlign w:val="bottom"/>
          </w:tcPr>
          <w:p>
            <w:pPr>
              <w:spacing w:after="0"/>
              <w:rPr>
                <w:sz w:val="14"/>
                <w:szCs w:val="14"/>
                <w:color w:val="auto"/>
              </w:rPr>
            </w:pPr>
          </w:p>
        </w:tc>
      </w:tr>
      <w:tr>
        <w:trPr>
          <w:trHeight w:val="161"/>
        </w:trPr>
        <w:tc>
          <w:tcPr>
            <w:tcW w:w="8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 other assets</w:t>
            </w: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1,674.8</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1,705.0</w:t>
            </w:r>
          </w:p>
        </w:tc>
        <w:tc>
          <w:tcPr>
            <w:tcW w:w="100" w:type="dxa"/>
            <w:vAlign w:val="bottom"/>
            <w:shd w:val="clear" w:color="auto" w:fill="CCEEFF"/>
          </w:tcPr>
          <w:p>
            <w:pPr>
              <w:spacing w:after="0"/>
              <w:rPr>
                <w:sz w:val="13"/>
                <w:szCs w:val="13"/>
                <w:color w:val="auto"/>
              </w:rPr>
            </w:pPr>
          </w:p>
        </w:tc>
      </w:tr>
      <w:tr>
        <w:trPr>
          <w:trHeight w:val="161"/>
        </w:trPr>
        <w:tc>
          <w:tcPr>
            <w:tcW w:w="8840" w:type="dxa"/>
            <w:vAlign w:val="bottom"/>
          </w:tcPr>
          <w:p>
            <w:pPr>
              <w:spacing w:after="0"/>
              <w:rPr>
                <w:sz w:val="20"/>
                <w:szCs w:val="20"/>
                <w:color w:val="auto"/>
              </w:rPr>
            </w:pPr>
            <w:r>
              <w:rPr>
                <w:rFonts w:ascii="Arial" w:cs="Arial" w:eastAsia="Arial" w:hAnsi="Arial"/>
                <w:sz w:val="13"/>
                <w:szCs w:val="13"/>
                <w:b w:val="1"/>
                <w:bCs w:val="1"/>
                <w:color w:val="auto"/>
              </w:rPr>
              <w:t>Property and equipment:</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1"/>
        </w:trPr>
        <w:tc>
          <w:tcPr>
            <w:tcW w:w="8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Land, buildings, leasehold improvements and equipment</w:t>
            </w: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666.2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703.6</w:t>
            </w:r>
          </w:p>
        </w:tc>
      </w:tr>
      <w:tr>
        <w:trPr>
          <w:trHeight w:val="161"/>
        </w:trPr>
        <w:tc>
          <w:tcPr>
            <w:tcW w:w="8840" w:type="dxa"/>
            <w:vAlign w:val="bottom"/>
          </w:tcPr>
          <w:p>
            <w:pPr>
              <w:ind w:left="60"/>
              <w:spacing w:after="0"/>
              <w:rPr>
                <w:sz w:val="20"/>
                <w:szCs w:val="20"/>
                <w:color w:val="auto"/>
              </w:rPr>
            </w:pPr>
            <w:r>
              <w:rPr>
                <w:rFonts w:ascii="Arial" w:cs="Arial" w:eastAsia="Arial" w:hAnsi="Arial"/>
                <w:sz w:val="13"/>
                <w:szCs w:val="13"/>
                <w:color w:val="auto"/>
              </w:rPr>
              <w:t>Less: accumulated depreciation and amortization</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503.6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527.2</w:t>
            </w:r>
          </w:p>
        </w:tc>
        <w:tc>
          <w:tcPr>
            <w:tcW w:w="100" w:type="dxa"/>
            <w:vAlign w:val="bottom"/>
          </w:tcPr>
          <w:p>
            <w:pPr>
              <w:spacing w:after="0"/>
              <w:rPr>
                <w:sz w:val="14"/>
                <w:szCs w:val="14"/>
                <w:color w:val="auto"/>
              </w:rPr>
            </w:pPr>
          </w:p>
        </w:tc>
      </w:tr>
      <w:tr>
        <w:trPr>
          <w:trHeight w:val="161"/>
        </w:trPr>
        <w:tc>
          <w:tcPr>
            <w:tcW w:w="8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Net property and equipment</w:t>
            </w: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162.6</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176.4</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1"/>
        </w:trPr>
        <w:tc>
          <w:tcPr>
            <w:tcW w:w="8840" w:type="dxa"/>
            <w:vAlign w:val="bottom"/>
          </w:tcPr>
          <w:p>
            <w:pPr>
              <w:ind w:left="260"/>
              <w:spacing w:after="0"/>
              <w:rPr>
                <w:sz w:val="20"/>
                <w:szCs w:val="20"/>
                <w:color w:val="auto"/>
              </w:rPr>
            </w:pPr>
            <w:r>
              <w:rPr>
                <w:rFonts w:ascii="Arial" w:cs="Arial" w:eastAsia="Arial" w:hAnsi="Arial"/>
                <w:sz w:val="13"/>
                <w:szCs w:val="13"/>
                <w:color w:val="auto"/>
              </w:rPr>
              <w:t>Total assets</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6,115.0</w:t>
            </w: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6,213.8</w:t>
            </w:r>
          </w:p>
        </w:tc>
        <w:tc>
          <w:tcPr>
            <w:tcW w:w="100" w:type="dxa"/>
            <w:vAlign w:val="bottom"/>
          </w:tcPr>
          <w:p>
            <w:pPr>
              <w:spacing w:after="0"/>
              <w:rPr>
                <w:sz w:val="13"/>
                <w:szCs w:val="13"/>
                <w:color w:val="auto"/>
              </w:rPr>
            </w:pPr>
          </w:p>
        </w:tc>
      </w:tr>
      <w:tr>
        <w:trPr>
          <w:trHeight w:val="20"/>
        </w:trPr>
        <w:tc>
          <w:tcPr>
            <w:tcW w:w="8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1"/>
        </w:trPr>
        <w:tc>
          <w:tcPr>
            <w:tcW w:w="8840" w:type="dxa"/>
            <w:vAlign w:val="bottom"/>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LIABILITIES AND SHAREHOLDERS' EQUITY</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1"/>
        </w:trPr>
        <w:tc>
          <w:tcPr>
            <w:tcW w:w="8840" w:type="dxa"/>
            <w:vAlign w:val="bottom"/>
          </w:tcPr>
          <w:p>
            <w:pPr>
              <w:spacing w:after="0"/>
              <w:rPr>
                <w:sz w:val="20"/>
                <w:szCs w:val="20"/>
                <w:color w:val="auto"/>
              </w:rPr>
            </w:pPr>
            <w:r>
              <w:rPr>
                <w:rFonts w:ascii="Arial" w:cs="Arial" w:eastAsia="Arial" w:hAnsi="Arial"/>
                <w:sz w:val="13"/>
                <w:szCs w:val="13"/>
                <w:b w:val="1"/>
                <w:bCs w:val="1"/>
                <w:color w:val="auto"/>
              </w:rPr>
              <w:t>Current liabilities:</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1"/>
        </w:trPr>
        <w:tc>
          <w:tcPr>
            <w:tcW w:w="8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Accounts payable</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1,008.7</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944.4</w:t>
            </w:r>
          </w:p>
        </w:tc>
      </w:tr>
      <w:tr>
        <w:trPr>
          <w:trHeight w:val="161"/>
        </w:trPr>
        <w:tc>
          <w:tcPr>
            <w:tcW w:w="8840" w:type="dxa"/>
            <w:vAlign w:val="bottom"/>
          </w:tcPr>
          <w:p>
            <w:pPr>
              <w:ind w:left="60"/>
              <w:spacing w:after="0"/>
              <w:rPr>
                <w:sz w:val="20"/>
                <w:szCs w:val="20"/>
                <w:color w:val="auto"/>
              </w:rPr>
            </w:pPr>
            <w:r>
              <w:rPr>
                <w:rFonts w:ascii="Arial" w:cs="Arial" w:eastAsia="Arial" w:hAnsi="Arial"/>
                <w:sz w:val="13"/>
                <w:szCs w:val="13"/>
                <w:color w:val="auto"/>
              </w:rPr>
              <w:t>Employee compensation payable</w:t>
            </w:r>
          </w:p>
        </w:tc>
        <w:tc>
          <w:tcPr>
            <w:tcW w:w="22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159.4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187.8</w:t>
            </w:r>
          </w:p>
        </w:tc>
      </w:tr>
      <w:tr>
        <w:trPr>
          <w:trHeight w:val="161"/>
        </w:trPr>
        <w:tc>
          <w:tcPr>
            <w:tcW w:w="8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Accrued liabilities</w:t>
            </w: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465.8</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465.9</w:t>
            </w:r>
          </w:p>
        </w:tc>
      </w:tr>
      <w:tr>
        <w:trPr>
          <w:trHeight w:val="161"/>
        </w:trPr>
        <w:tc>
          <w:tcPr>
            <w:tcW w:w="8840" w:type="dxa"/>
            <w:vAlign w:val="bottom"/>
          </w:tcPr>
          <w:p>
            <w:pPr>
              <w:ind w:left="60"/>
              <w:spacing w:after="0"/>
              <w:rPr>
                <w:sz w:val="20"/>
                <w:szCs w:val="20"/>
                <w:color w:val="auto"/>
              </w:rPr>
            </w:pPr>
            <w:r>
              <w:rPr>
                <w:rFonts w:ascii="Arial" w:cs="Arial" w:eastAsia="Arial" w:hAnsi="Arial"/>
                <w:sz w:val="13"/>
                <w:szCs w:val="13"/>
                <w:color w:val="auto"/>
              </w:rPr>
              <w:t>Accrued payroll taxes and insurance</w:t>
            </w:r>
          </w:p>
        </w:tc>
        <w:tc>
          <w:tcPr>
            <w:tcW w:w="22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515.4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572.0</w:t>
            </w:r>
          </w:p>
        </w:tc>
      </w:tr>
      <w:tr>
        <w:trPr>
          <w:trHeight w:val="161"/>
        </w:trPr>
        <w:tc>
          <w:tcPr>
            <w:tcW w:w="8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Value added taxes payable</w:t>
            </w: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401.2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391.2</w:t>
            </w:r>
          </w:p>
        </w:tc>
      </w:tr>
      <w:tr>
        <w:trPr>
          <w:trHeight w:val="161"/>
        </w:trPr>
        <w:tc>
          <w:tcPr>
            <w:tcW w:w="8840" w:type="dxa"/>
            <w:vAlign w:val="bottom"/>
          </w:tcPr>
          <w:p>
            <w:pPr>
              <w:ind w:left="60"/>
              <w:spacing w:after="0"/>
              <w:rPr>
                <w:sz w:val="20"/>
                <w:szCs w:val="20"/>
                <w:color w:val="auto"/>
              </w:rPr>
            </w:pPr>
            <w:r>
              <w:rPr>
                <w:rFonts w:ascii="Arial" w:cs="Arial" w:eastAsia="Arial" w:hAnsi="Arial"/>
                <w:sz w:val="13"/>
                <w:szCs w:val="13"/>
                <w:color w:val="auto"/>
              </w:rPr>
              <w:t>Short-term borrowings and current maturities of long-term debt</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41.7</w:t>
            </w:r>
          </w:p>
        </w:tc>
        <w:tc>
          <w:tcPr>
            <w:tcW w:w="100" w:type="dxa"/>
            <w:vAlign w:val="bottom"/>
          </w:tcPr>
          <w:p>
            <w:pPr>
              <w:spacing w:after="0"/>
              <w:rPr>
                <w:sz w:val="14"/>
                <w:szCs w:val="14"/>
                <w:color w:val="auto"/>
              </w:rPr>
            </w:pPr>
          </w:p>
        </w:tc>
      </w:tr>
      <w:tr>
        <w:trPr>
          <w:trHeight w:val="161"/>
        </w:trPr>
        <w:tc>
          <w:tcPr>
            <w:tcW w:w="8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 current liabilities</w:t>
            </w: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2,592.7</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2,603.0</w:t>
            </w:r>
          </w:p>
        </w:tc>
        <w:tc>
          <w:tcPr>
            <w:tcW w:w="100" w:type="dxa"/>
            <w:vAlign w:val="bottom"/>
            <w:shd w:val="clear" w:color="auto" w:fill="CCEEFF"/>
          </w:tcPr>
          <w:p>
            <w:pPr>
              <w:spacing w:after="0"/>
              <w:rPr>
                <w:sz w:val="13"/>
                <w:szCs w:val="13"/>
                <w:color w:val="auto"/>
              </w:rPr>
            </w:pPr>
          </w:p>
        </w:tc>
      </w:tr>
      <w:tr>
        <w:trPr>
          <w:trHeight w:val="161"/>
        </w:trPr>
        <w:tc>
          <w:tcPr>
            <w:tcW w:w="8840" w:type="dxa"/>
            <w:vAlign w:val="bottom"/>
          </w:tcPr>
          <w:p>
            <w:pPr>
              <w:spacing w:after="0"/>
              <w:rPr>
                <w:sz w:val="20"/>
                <w:szCs w:val="20"/>
                <w:color w:val="auto"/>
              </w:rPr>
            </w:pPr>
            <w:r>
              <w:rPr>
                <w:rFonts w:ascii="Arial" w:cs="Arial" w:eastAsia="Arial" w:hAnsi="Arial"/>
                <w:sz w:val="13"/>
                <w:szCs w:val="13"/>
                <w:b w:val="1"/>
                <w:bCs w:val="1"/>
                <w:color w:val="auto"/>
              </w:rPr>
              <w:t>Other liabilities:</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1"/>
        </w:trPr>
        <w:tc>
          <w:tcPr>
            <w:tcW w:w="8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Long-term debt</w:t>
            </w: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675.5</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715.6</w:t>
            </w:r>
          </w:p>
        </w:tc>
      </w:tr>
      <w:tr>
        <w:trPr>
          <w:trHeight w:val="161"/>
        </w:trPr>
        <w:tc>
          <w:tcPr>
            <w:tcW w:w="8840" w:type="dxa"/>
            <w:vAlign w:val="bottom"/>
          </w:tcPr>
          <w:p>
            <w:pPr>
              <w:ind w:left="60"/>
              <w:spacing w:after="0"/>
              <w:rPr>
                <w:sz w:val="20"/>
                <w:szCs w:val="20"/>
                <w:color w:val="auto"/>
              </w:rPr>
            </w:pPr>
            <w:r>
              <w:rPr>
                <w:rFonts w:ascii="Arial" w:cs="Arial" w:eastAsia="Arial" w:hAnsi="Arial"/>
                <w:sz w:val="13"/>
                <w:szCs w:val="13"/>
                <w:color w:val="auto"/>
              </w:rPr>
              <w:t>Other long-term liabilities</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360.2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358.7</w:t>
            </w:r>
          </w:p>
        </w:tc>
        <w:tc>
          <w:tcPr>
            <w:tcW w:w="100" w:type="dxa"/>
            <w:vAlign w:val="bottom"/>
          </w:tcPr>
          <w:p>
            <w:pPr>
              <w:spacing w:after="0"/>
              <w:rPr>
                <w:sz w:val="14"/>
                <w:szCs w:val="14"/>
                <w:color w:val="auto"/>
              </w:rPr>
            </w:pPr>
          </w:p>
        </w:tc>
      </w:tr>
      <w:tr>
        <w:trPr>
          <w:trHeight w:val="161"/>
        </w:trPr>
        <w:tc>
          <w:tcPr>
            <w:tcW w:w="8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 other liabilities</w:t>
            </w: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1,035.7</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1,074.3</w:t>
            </w:r>
          </w:p>
        </w:tc>
        <w:tc>
          <w:tcPr>
            <w:tcW w:w="100" w:type="dxa"/>
            <w:vAlign w:val="bottom"/>
            <w:shd w:val="clear" w:color="auto" w:fill="CCEEFF"/>
          </w:tcPr>
          <w:p>
            <w:pPr>
              <w:spacing w:after="0"/>
              <w:rPr>
                <w:sz w:val="13"/>
                <w:szCs w:val="13"/>
                <w:color w:val="auto"/>
              </w:rPr>
            </w:pPr>
          </w:p>
        </w:tc>
      </w:tr>
      <w:tr>
        <w:trPr>
          <w:trHeight w:val="161"/>
        </w:trPr>
        <w:tc>
          <w:tcPr>
            <w:tcW w:w="8840" w:type="dxa"/>
            <w:vAlign w:val="bottom"/>
          </w:tcPr>
          <w:p>
            <w:pPr>
              <w:spacing w:after="0"/>
              <w:rPr>
                <w:sz w:val="20"/>
                <w:szCs w:val="20"/>
                <w:color w:val="auto"/>
              </w:rPr>
            </w:pPr>
            <w:r>
              <w:rPr>
                <w:rFonts w:ascii="Arial" w:cs="Arial" w:eastAsia="Arial" w:hAnsi="Arial"/>
                <w:sz w:val="13"/>
                <w:szCs w:val="13"/>
                <w:b w:val="1"/>
                <w:bCs w:val="1"/>
                <w:color w:val="auto"/>
              </w:rPr>
              <w:t>Shareholders' equity:</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1"/>
        </w:trPr>
        <w:tc>
          <w:tcPr>
            <w:tcW w:w="8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Common stock</w:t>
            </w: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r>
      <w:tr>
        <w:trPr>
          <w:trHeight w:val="161"/>
        </w:trPr>
        <w:tc>
          <w:tcPr>
            <w:tcW w:w="8840" w:type="dxa"/>
            <w:vAlign w:val="bottom"/>
          </w:tcPr>
          <w:p>
            <w:pPr>
              <w:ind w:left="60"/>
              <w:spacing w:after="0"/>
              <w:rPr>
                <w:sz w:val="20"/>
                <w:szCs w:val="20"/>
                <w:color w:val="auto"/>
              </w:rPr>
            </w:pPr>
            <w:r>
              <w:rPr>
                <w:rFonts w:ascii="Arial" w:cs="Arial" w:eastAsia="Arial" w:hAnsi="Arial"/>
                <w:sz w:val="13"/>
                <w:szCs w:val="13"/>
                <w:color w:val="auto"/>
              </w:rPr>
              <w:t>Capital in excess of par value</w:t>
            </w:r>
          </w:p>
        </w:tc>
        <w:tc>
          <w:tcPr>
            <w:tcW w:w="22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2,555.5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2,544.2</w:t>
            </w:r>
          </w:p>
        </w:tc>
        <w:tc>
          <w:tcPr>
            <w:tcW w:w="100" w:type="dxa"/>
            <w:vAlign w:val="bottom"/>
          </w:tcPr>
          <w:p>
            <w:pPr>
              <w:spacing w:after="0"/>
              <w:rPr>
                <w:sz w:val="13"/>
                <w:szCs w:val="13"/>
                <w:color w:val="auto"/>
              </w:rPr>
            </w:pPr>
          </w:p>
        </w:tc>
      </w:tr>
      <w:tr>
        <w:trPr>
          <w:trHeight w:val="161"/>
        </w:trPr>
        <w:tc>
          <w:tcPr>
            <w:tcW w:w="8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Retained earnings</w:t>
            </w: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1,112.4</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1,109.6</w:t>
            </w:r>
          </w:p>
        </w:tc>
        <w:tc>
          <w:tcPr>
            <w:tcW w:w="100" w:type="dxa"/>
            <w:vAlign w:val="bottom"/>
            <w:shd w:val="clear" w:color="auto" w:fill="CCEEFF"/>
          </w:tcPr>
          <w:p>
            <w:pPr>
              <w:spacing w:after="0"/>
              <w:rPr>
                <w:sz w:val="13"/>
                <w:szCs w:val="13"/>
                <w:color w:val="auto"/>
              </w:rPr>
            </w:pPr>
          </w:p>
        </w:tc>
      </w:tr>
      <w:tr>
        <w:trPr>
          <w:trHeight w:val="161"/>
        </w:trPr>
        <w:tc>
          <w:tcPr>
            <w:tcW w:w="8840" w:type="dxa"/>
            <w:vAlign w:val="bottom"/>
          </w:tcPr>
          <w:p>
            <w:pPr>
              <w:ind w:left="60"/>
              <w:spacing w:after="0"/>
              <w:rPr>
                <w:sz w:val="20"/>
                <w:szCs w:val="20"/>
                <w:color w:val="auto"/>
              </w:rPr>
            </w:pPr>
            <w:r>
              <w:rPr>
                <w:rFonts w:ascii="Arial" w:cs="Arial" w:eastAsia="Arial" w:hAnsi="Arial"/>
                <w:sz w:val="13"/>
                <w:szCs w:val="13"/>
                <w:color w:val="auto"/>
              </w:rPr>
              <w:t>Accumulated other comprehensive income</w:t>
            </w:r>
          </w:p>
        </w:tc>
        <w:tc>
          <w:tcPr>
            <w:tcW w:w="22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43.9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106.9</w:t>
            </w:r>
          </w:p>
        </w:tc>
      </w:tr>
      <w:tr>
        <w:trPr>
          <w:trHeight w:val="161"/>
        </w:trPr>
        <w:tc>
          <w:tcPr>
            <w:tcW w:w="8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Treasury stock, at cost</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(1,226.2)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(1,225.2)</w:t>
            </w:r>
          </w:p>
        </w:tc>
      </w:tr>
      <w:tr>
        <w:trPr>
          <w:trHeight w:val="161"/>
        </w:trPr>
        <w:tc>
          <w:tcPr>
            <w:tcW w:w="8840" w:type="dxa"/>
            <w:vAlign w:val="bottom"/>
            <w:tcBorders>
              <w:top w:val="single" w:sz="8" w:color="CCEEFF"/>
            </w:tcBorders>
          </w:tcPr>
          <w:p>
            <w:pPr>
              <w:ind w:left="200"/>
              <w:spacing w:after="0"/>
              <w:rPr>
                <w:sz w:val="20"/>
                <w:szCs w:val="20"/>
                <w:color w:val="auto"/>
              </w:rPr>
            </w:pPr>
            <w:r>
              <w:rPr>
                <w:rFonts w:ascii="Arial" w:cs="Arial" w:eastAsia="Arial" w:hAnsi="Arial"/>
                <w:sz w:val="13"/>
                <w:szCs w:val="13"/>
                <w:color w:val="auto"/>
              </w:rPr>
              <w:t>Total shareholders' equity</w:t>
            </w: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2,486.6</w:t>
            </w: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2,536.5</w:t>
            </w:r>
          </w:p>
        </w:tc>
        <w:tc>
          <w:tcPr>
            <w:tcW w:w="100" w:type="dxa"/>
            <w:vAlign w:val="bottom"/>
            <w:tcBorders>
              <w:top w:val="single" w:sz="8" w:color="CCEEFF"/>
            </w:tcBorders>
          </w:tcPr>
          <w:p>
            <w:pPr>
              <w:spacing w:after="0"/>
              <w:rPr>
                <w:sz w:val="14"/>
                <w:szCs w:val="14"/>
                <w:color w:val="auto"/>
              </w:rPr>
            </w:pPr>
          </w:p>
        </w:tc>
      </w:tr>
      <w:tr>
        <w:trPr>
          <w:trHeight w:val="201"/>
        </w:trPr>
        <w:tc>
          <w:tcPr>
            <w:tcW w:w="88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liabilities and shareholders' equity</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6,115.0</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6,213.8</w:t>
            </w:r>
          </w:p>
        </w:tc>
        <w:tc>
          <w:tcPr>
            <w:tcW w:w="100" w:type="dxa"/>
            <w:vAlign w:val="bottom"/>
            <w:shd w:val="clear" w:color="auto" w:fill="CCEEFF"/>
          </w:tcPr>
          <w:p>
            <w:pPr>
              <w:spacing w:after="0"/>
              <w:rPr>
                <w:sz w:val="17"/>
                <w:szCs w:val="17"/>
                <w:color w:val="auto"/>
              </w:rPr>
            </w:pPr>
          </w:p>
        </w:tc>
      </w:tr>
      <w:tr>
        <w:trPr>
          <w:trHeight w:val="247"/>
        </w:trPr>
        <w:tc>
          <w:tcPr>
            <w:tcW w:w="8840" w:type="dxa"/>
            <w:vAlign w:val="bottom"/>
            <w:tcBorders>
              <w:top w:val="single" w:sz="8" w:color="CCEEFF"/>
              <w:bottom w:val="single" w:sz="8" w:color="808080"/>
            </w:tcBorders>
          </w:tcPr>
          <w:p>
            <w:pPr>
              <w:spacing w:after="0"/>
              <w:rPr>
                <w:sz w:val="21"/>
                <w:szCs w:val="21"/>
                <w:color w:val="auto"/>
              </w:rPr>
            </w:pPr>
          </w:p>
        </w:tc>
        <w:tc>
          <w:tcPr>
            <w:tcW w:w="220" w:type="dxa"/>
            <w:vAlign w:val="bottom"/>
            <w:tcBorders>
              <w:top w:val="single" w:sz="8" w:color="auto"/>
              <w:bottom w:val="single" w:sz="8" w:color="808080"/>
            </w:tcBorders>
          </w:tcPr>
          <w:p>
            <w:pPr>
              <w:spacing w:after="0"/>
              <w:rPr>
                <w:sz w:val="21"/>
                <w:szCs w:val="21"/>
                <w:color w:val="auto"/>
              </w:rPr>
            </w:pPr>
          </w:p>
        </w:tc>
        <w:tc>
          <w:tcPr>
            <w:tcW w:w="940" w:type="dxa"/>
            <w:vAlign w:val="bottom"/>
            <w:tcBorders>
              <w:top w:val="single" w:sz="8" w:color="auto"/>
              <w:bottom w:val="single" w:sz="8" w:color="808080"/>
            </w:tcBorders>
          </w:tcPr>
          <w:p>
            <w:pPr>
              <w:spacing w:after="0"/>
              <w:rPr>
                <w:sz w:val="21"/>
                <w:szCs w:val="21"/>
                <w:color w:val="auto"/>
              </w:rPr>
            </w:pPr>
          </w:p>
        </w:tc>
        <w:tc>
          <w:tcPr>
            <w:tcW w:w="140" w:type="dxa"/>
            <w:vAlign w:val="bottom"/>
            <w:tcBorders>
              <w:top w:val="single" w:sz="8" w:color="CCEEFF"/>
              <w:bottom w:val="single" w:sz="8" w:color="808080"/>
            </w:tcBorders>
          </w:tcPr>
          <w:p>
            <w:pPr>
              <w:spacing w:after="0"/>
              <w:rPr>
                <w:sz w:val="21"/>
                <w:szCs w:val="21"/>
                <w:color w:val="auto"/>
              </w:rPr>
            </w:pPr>
          </w:p>
        </w:tc>
        <w:tc>
          <w:tcPr>
            <w:tcW w:w="80" w:type="dxa"/>
            <w:vAlign w:val="bottom"/>
            <w:tcBorders>
              <w:top w:val="single" w:sz="8" w:color="CCEEFF"/>
              <w:bottom w:val="single" w:sz="8" w:color="808080"/>
            </w:tcBorders>
          </w:tcPr>
          <w:p>
            <w:pPr>
              <w:spacing w:after="0"/>
              <w:rPr>
                <w:sz w:val="21"/>
                <w:szCs w:val="21"/>
                <w:color w:val="auto"/>
              </w:rPr>
            </w:pPr>
          </w:p>
        </w:tc>
        <w:tc>
          <w:tcPr>
            <w:tcW w:w="280" w:type="dxa"/>
            <w:vAlign w:val="bottom"/>
            <w:tcBorders>
              <w:top w:val="single" w:sz="8" w:color="auto"/>
              <w:bottom w:val="single" w:sz="8" w:color="808080"/>
            </w:tcBorders>
          </w:tcPr>
          <w:p>
            <w:pPr>
              <w:spacing w:after="0"/>
              <w:rPr>
                <w:sz w:val="21"/>
                <w:szCs w:val="21"/>
                <w:color w:val="auto"/>
              </w:rPr>
            </w:pPr>
          </w:p>
        </w:tc>
        <w:tc>
          <w:tcPr>
            <w:tcW w:w="860" w:type="dxa"/>
            <w:vAlign w:val="bottom"/>
            <w:tcBorders>
              <w:top w:val="single" w:sz="8" w:color="auto"/>
              <w:bottom w:val="single" w:sz="8" w:color="808080"/>
            </w:tcBorders>
          </w:tcPr>
          <w:p>
            <w:pPr>
              <w:spacing w:after="0"/>
              <w:rPr>
                <w:sz w:val="21"/>
                <w:szCs w:val="21"/>
                <w:color w:val="auto"/>
              </w:rPr>
            </w:pPr>
          </w:p>
        </w:tc>
        <w:tc>
          <w:tcPr>
            <w:tcW w:w="100" w:type="dxa"/>
            <w:vAlign w:val="bottom"/>
            <w:tcBorders>
              <w:top w:val="single" w:sz="8" w:color="CCEEFF"/>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85" w:right="219" w:bottom="1440" w:gutter="0" w:footer="0" w:header="0"/>
        </w:sectPr>
      </w:pPr>
    </w:p>
    <w:bookmarkStart w:id="9" w:name="page10"/>
    <w:bookmarkEnd w:id="9"/>
    <w:p>
      <w:pPr>
        <w:jc w:val="center"/>
        <w:ind w:right="100"/>
        <w:spacing w:after="0"/>
        <w:rPr>
          <w:sz w:val="20"/>
          <w:szCs w:val="20"/>
          <w:color w:val="auto"/>
        </w:rPr>
      </w:pPr>
      <w:r>
        <w:rPr>
          <w:rFonts w:ascii="Arial" w:cs="Arial" w:eastAsia="Arial" w:hAnsi="Arial"/>
          <w:sz w:val="16"/>
          <w:szCs w:val="16"/>
          <w:color w:val="auto"/>
        </w:rPr>
        <w:t>Manpower Inc.</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Consolidated Statements of Cash Flows</w:t>
      </w:r>
    </w:p>
    <w:p>
      <w:pPr>
        <w:spacing w:after="0" w:line="10"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2100" w:type="dxa"/>
            <w:vAlign w:val="bottom"/>
            <w:gridSpan w:val="5"/>
          </w:tcPr>
          <w:p>
            <w:pPr>
              <w:jc w:val="center"/>
              <w:ind w:left="361"/>
              <w:spacing w:after="0"/>
              <w:rPr>
                <w:sz w:val="20"/>
                <w:szCs w:val="20"/>
                <w:color w:val="auto"/>
              </w:rPr>
            </w:pPr>
            <w:r>
              <w:rPr>
                <w:rFonts w:ascii="Arial" w:cs="Arial" w:eastAsia="Arial" w:hAnsi="Arial"/>
                <w:sz w:val="13"/>
                <w:szCs w:val="13"/>
                <w:b w:val="1"/>
                <w:bCs w:val="1"/>
                <w:color w:val="auto"/>
                <w:w w:val="93"/>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center"/>
              <w:ind w:right="261"/>
              <w:spacing w:after="0"/>
              <w:rPr>
                <w:sz w:val="20"/>
                <w:szCs w:val="20"/>
                <w:color w:val="auto"/>
              </w:rPr>
            </w:pPr>
            <w:r>
              <w:rPr>
                <w:rFonts w:ascii="Arial" w:cs="Arial" w:eastAsia="Arial" w:hAnsi="Arial"/>
                <w:sz w:val="13"/>
                <w:szCs w:val="13"/>
                <w:b w:val="1"/>
                <w:bCs w:val="1"/>
                <w:color w:val="auto"/>
                <w:w w:val="98"/>
              </w:rPr>
              <w:t>Mar. 31</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2010</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2009</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60" w:type="dxa"/>
            <w:vAlign w:val="bottom"/>
            <w:gridSpan w:val="4"/>
          </w:tcPr>
          <w:p>
            <w:pPr>
              <w:jc w:val="center"/>
              <w:ind w:right="261"/>
              <w:spacing w:after="0"/>
              <w:rPr>
                <w:sz w:val="20"/>
                <w:szCs w:val="20"/>
                <w:color w:val="auto"/>
              </w:rPr>
            </w:pPr>
            <w:r>
              <w:rPr>
                <w:rFonts w:ascii="Arial" w:cs="Arial" w:eastAsia="Arial" w:hAnsi="Arial"/>
                <w:sz w:val="13"/>
                <w:szCs w:val="13"/>
                <w:color w:val="auto"/>
                <w:w w:val="94"/>
              </w:rPr>
              <w:t>(Unaudited)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820" w:type="dxa"/>
            <w:vAlign w:val="bottom"/>
          </w:tcPr>
          <w:p>
            <w:pPr>
              <w:ind w:left="40"/>
              <w:spacing w:after="0"/>
              <w:rPr>
                <w:sz w:val="20"/>
                <w:szCs w:val="20"/>
                <w:color w:val="auto"/>
              </w:rPr>
            </w:pPr>
            <w:r>
              <w:rPr>
                <w:rFonts w:ascii="Arial" w:cs="Arial" w:eastAsia="Arial" w:hAnsi="Arial"/>
                <w:sz w:val="13"/>
                <w:szCs w:val="13"/>
                <w:color w:val="auto"/>
              </w:rPr>
              <w:t>Net earnings (loss)</w:t>
            </w:r>
          </w:p>
        </w:tc>
        <w:tc>
          <w:tcPr>
            <w:tcW w:w="740" w:type="dxa"/>
            <w:vAlign w:val="bottom"/>
          </w:tcPr>
          <w:p>
            <w:pPr>
              <w:jc w:val="right"/>
              <w:ind w:right="62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2.8</w:t>
            </w:r>
          </w:p>
        </w:tc>
        <w:tc>
          <w:tcPr>
            <w:tcW w:w="800" w:type="dxa"/>
            <w:vAlign w:val="bottom"/>
            <w:gridSpan w:val="2"/>
          </w:tcPr>
          <w:p>
            <w:pPr>
              <w:jc w:val="right"/>
              <w:ind w:right="601"/>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8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 to reconcile net earnings (loss) to net cash provided by operating activities:</w:t>
            </w: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820" w:type="dxa"/>
            <w:vAlign w:val="bottom"/>
          </w:tcPr>
          <w:p>
            <w:pPr>
              <w:ind w:left="180"/>
              <w:spacing w:after="0"/>
              <w:rPr>
                <w:sz w:val="20"/>
                <w:szCs w:val="20"/>
                <w:color w:val="auto"/>
              </w:rPr>
            </w:pPr>
            <w:r>
              <w:rPr>
                <w:rFonts w:ascii="Arial" w:cs="Arial" w:eastAsia="Arial" w:hAnsi="Arial"/>
                <w:sz w:val="13"/>
                <w:szCs w:val="13"/>
                <w:color w:val="auto"/>
              </w:rPr>
              <w:t>Depreciation and amortization</w:t>
            </w:r>
          </w:p>
        </w:tc>
        <w:tc>
          <w:tcPr>
            <w:tcW w:w="7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21.4</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23.2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Deferred income taxes</w:t>
            </w:r>
          </w:p>
        </w:tc>
        <w:tc>
          <w:tcPr>
            <w:tcW w:w="7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(9.5)</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820" w:type="dxa"/>
            <w:vAlign w:val="bottom"/>
          </w:tcPr>
          <w:p>
            <w:pPr>
              <w:ind w:left="180"/>
              <w:spacing w:after="0"/>
              <w:rPr>
                <w:sz w:val="20"/>
                <w:szCs w:val="20"/>
                <w:color w:val="auto"/>
              </w:rPr>
            </w:pPr>
            <w:r>
              <w:rPr>
                <w:rFonts w:ascii="Arial" w:cs="Arial" w:eastAsia="Arial" w:hAnsi="Arial"/>
                <w:sz w:val="13"/>
                <w:szCs w:val="13"/>
                <w:color w:val="auto"/>
              </w:rPr>
              <w:t>Provision for doubtful accounts</w:t>
            </w:r>
          </w:p>
        </w:tc>
        <w:tc>
          <w:tcPr>
            <w:tcW w:w="7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Share-based compensation</w:t>
            </w:r>
          </w:p>
        </w:tc>
        <w:tc>
          <w:tcPr>
            <w:tcW w:w="7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5.5</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820" w:type="dxa"/>
            <w:vAlign w:val="bottom"/>
          </w:tcPr>
          <w:p>
            <w:pPr>
              <w:ind w:left="180"/>
              <w:spacing w:after="0"/>
              <w:rPr>
                <w:sz w:val="20"/>
                <w:szCs w:val="20"/>
                <w:color w:val="auto"/>
              </w:rPr>
            </w:pPr>
            <w:r>
              <w:rPr>
                <w:rFonts w:ascii="Arial" w:cs="Arial" w:eastAsia="Arial" w:hAnsi="Arial"/>
                <w:sz w:val="13"/>
                <w:szCs w:val="13"/>
                <w:color w:val="auto"/>
              </w:rPr>
              <w:t>Excess tax benefit on exercise of stock options</w:t>
            </w:r>
          </w:p>
        </w:tc>
        <w:tc>
          <w:tcPr>
            <w:tcW w:w="7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8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Changes in operating assets and liabilities, excluding the impact of acquisitions:</w:t>
            </w: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820" w:type="dxa"/>
            <w:vAlign w:val="bottom"/>
          </w:tcPr>
          <w:p>
            <w:pPr>
              <w:ind w:left="180"/>
              <w:spacing w:after="0"/>
              <w:rPr>
                <w:sz w:val="20"/>
                <w:szCs w:val="20"/>
                <w:color w:val="auto"/>
              </w:rPr>
            </w:pPr>
            <w:r>
              <w:rPr>
                <w:rFonts w:ascii="Arial" w:cs="Arial" w:eastAsia="Arial" w:hAnsi="Arial"/>
                <w:sz w:val="13"/>
                <w:szCs w:val="13"/>
                <w:color w:val="auto"/>
              </w:rPr>
              <w:t>Accounts receivable</w:t>
            </w:r>
          </w:p>
        </w:tc>
        <w:tc>
          <w:tcPr>
            <w:tcW w:w="7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(127.1)</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572.3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assets</w:t>
            </w:r>
          </w:p>
        </w:tc>
        <w:tc>
          <w:tcPr>
            <w:tcW w:w="7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(35.6)</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(41.5)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820" w:type="dxa"/>
            <w:vAlign w:val="bottom"/>
          </w:tcPr>
          <w:p>
            <w:pPr>
              <w:ind w:left="180"/>
              <w:spacing w:after="0"/>
              <w:rPr>
                <w:sz w:val="20"/>
                <w:szCs w:val="20"/>
                <w:color w:val="auto"/>
              </w:rPr>
            </w:pPr>
            <w:r>
              <w:rPr>
                <w:rFonts w:ascii="Arial" w:cs="Arial" w:eastAsia="Arial" w:hAnsi="Arial"/>
                <w:sz w:val="13"/>
                <w:szCs w:val="13"/>
                <w:color w:val="auto"/>
              </w:rPr>
              <w:t>Other liabilities</w:t>
            </w:r>
          </w:p>
        </w:tc>
        <w:tc>
          <w:tcPr>
            <w:tcW w:w="7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95.5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(315.0)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88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Cash (used in) provided by operating activities</w:t>
            </w:r>
          </w:p>
        </w:tc>
        <w:tc>
          <w:tcPr>
            <w:tcW w:w="7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249.8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820" w:type="dxa"/>
            <w:vAlign w:val="bottom"/>
            <w:tcBorders>
              <w:top w:val="single" w:sz="8" w:color="CCEEFF"/>
            </w:tcBorders>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7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8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Capital expenditures</w:t>
            </w:r>
          </w:p>
        </w:tc>
        <w:tc>
          <w:tcPr>
            <w:tcW w:w="7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820" w:type="dxa"/>
            <w:vAlign w:val="bottom"/>
          </w:tcPr>
          <w:p>
            <w:pPr>
              <w:ind w:left="40"/>
              <w:spacing w:after="0"/>
              <w:rPr>
                <w:sz w:val="20"/>
                <w:szCs w:val="20"/>
                <w:color w:val="auto"/>
              </w:rPr>
            </w:pPr>
            <w:r>
              <w:rPr>
                <w:rFonts w:ascii="Arial" w:cs="Arial" w:eastAsia="Arial" w:hAnsi="Arial"/>
                <w:sz w:val="13"/>
                <w:szCs w:val="13"/>
                <w:color w:val="auto"/>
              </w:rPr>
              <w:t>Acquisitions of businesses, net of cash acquired</w:t>
            </w:r>
          </w:p>
        </w:tc>
        <w:tc>
          <w:tcPr>
            <w:tcW w:w="7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Proceeds from the sale of property and equipment</w:t>
            </w:r>
          </w:p>
        </w:tc>
        <w:tc>
          <w:tcPr>
            <w:tcW w:w="7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20" w:type="dxa"/>
            <w:vAlign w:val="bottom"/>
          </w:tcPr>
          <w:p>
            <w:pPr>
              <w:ind w:left="380"/>
              <w:spacing w:after="0"/>
              <w:rPr>
                <w:sz w:val="20"/>
                <w:szCs w:val="20"/>
                <w:color w:val="auto"/>
              </w:rPr>
            </w:pPr>
            <w:r>
              <w:rPr>
                <w:rFonts w:ascii="Arial" w:cs="Arial" w:eastAsia="Arial" w:hAnsi="Arial"/>
                <w:sz w:val="13"/>
                <w:szCs w:val="13"/>
                <w:color w:val="auto"/>
              </w:rPr>
              <w:t>Cash used in investing activities</w:t>
            </w:r>
          </w:p>
        </w:tc>
        <w:tc>
          <w:tcPr>
            <w:tcW w:w="74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(7.6)</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7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820" w:type="dxa"/>
            <w:vAlign w:val="bottom"/>
          </w:tcPr>
          <w:p>
            <w:pPr>
              <w:ind w:left="40"/>
              <w:spacing w:after="0"/>
              <w:rPr>
                <w:sz w:val="20"/>
                <w:szCs w:val="20"/>
                <w:color w:val="auto"/>
              </w:rPr>
            </w:pPr>
            <w:r>
              <w:rPr>
                <w:rFonts w:ascii="Arial" w:cs="Arial" w:eastAsia="Arial" w:hAnsi="Arial"/>
                <w:sz w:val="13"/>
                <w:szCs w:val="13"/>
                <w:color w:val="auto"/>
              </w:rPr>
              <w:t>Net change in short-term borrowings</w:t>
            </w:r>
          </w:p>
        </w:tc>
        <w:tc>
          <w:tcPr>
            <w:tcW w:w="7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(17.0)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82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Proceeds from long-term debt</w:t>
            </w:r>
          </w:p>
        </w:tc>
        <w:tc>
          <w:tcPr>
            <w:tcW w:w="7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820" w:type="dxa"/>
            <w:vAlign w:val="bottom"/>
          </w:tcPr>
          <w:p>
            <w:pPr>
              <w:ind w:left="40"/>
              <w:spacing w:after="0"/>
              <w:rPr>
                <w:sz w:val="20"/>
                <w:szCs w:val="20"/>
                <w:color w:val="auto"/>
              </w:rPr>
            </w:pPr>
            <w:r>
              <w:rPr>
                <w:rFonts w:ascii="Arial" w:cs="Arial" w:eastAsia="Arial" w:hAnsi="Arial"/>
                <w:sz w:val="13"/>
                <w:szCs w:val="13"/>
                <w:color w:val="auto"/>
              </w:rPr>
              <w:t>Repayments of long-term debt</w:t>
            </w:r>
          </w:p>
        </w:tc>
        <w:tc>
          <w:tcPr>
            <w:tcW w:w="7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(0.7)</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(116.1)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82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Proceeds from share-based awards</w:t>
            </w:r>
          </w:p>
        </w:tc>
        <w:tc>
          <w:tcPr>
            <w:tcW w:w="7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4.9</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20" w:type="dxa"/>
            <w:vAlign w:val="bottom"/>
          </w:tcPr>
          <w:p>
            <w:pPr>
              <w:ind w:left="40"/>
              <w:spacing w:after="0"/>
              <w:rPr>
                <w:sz w:val="20"/>
                <w:szCs w:val="20"/>
                <w:color w:val="auto"/>
              </w:rPr>
            </w:pPr>
            <w:r>
              <w:rPr>
                <w:rFonts w:ascii="Arial" w:cs="Arial" w:eastAsia="Arial" w:hAnsi="Arial"/>
                <w:sz w:val="13"/>
                <w:szCs w:val="13"/>
                <w:color w:val="auto"/>
              </w:rPr>
              <w:t>Excess tax benefit on exercise of stock options</w:t>
            </w: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8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Cash provided by (used in) financing activities</w:t>
            </w: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8820" w:type="dxa"/>
            <w:vAlign w:val="bottom"/>
          </w:tcPr>
          <w:p>
            <w:pPr>
              <w:spacing w:after="0"/>
              <w:rPr>
                <w:sz w:val="20"/>
                <w:szCs w:val="20"/>
                <w:color w:val="auto"/>
              </w:rPr>
            </w:pPr>
            <w:r>
              <w:rPr>
                <w:rFonts w:ascii="Arial" w:cs="Arial" w:eastAsia="Arial" w:hAnsi="Arial"/>
                <w:sz w:val="13"/>
                <w:szCs w:val="13"/>
                <w:color w:val="auto"/>
              </w:rPr>
              <w:t>Effect of exchange rate changes on cash</w:t>
            </w:r>
          </w:p>
        </w:tc>
        <w:tc>
          <w:tcPr>
            <w:tcW w:w="74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(26.2)</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(53.6)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vMerge w:val="continue"/>
          </w:tcPr>
          <w:p>
            <w:pPr>
              <w:spacing w:after="0"/>
              <w:rPr>
                <w:sz w:val="13"/>
                <w:szCs w:val="13"/>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3"/>
                <w:szCs w:val="13"/>
                <w:color w:val="auto"/>
              </w:rPr>
              <w:t>Change in cash and cash equivalents</w:t>
            </w:r>
          </w:p>
        </w:tc>
        <w:tc>
          <w:tcPr>
            <w:tcW w:w="7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(70.8)</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127.0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20" w:type="dxa"/>
            <w:vAlign w:val="bottom"/>
          </w:tcPr>
          <w:p>
            <w:pPr>
              <w:spacing w:after="0"/>
              <w:rPr>
                <w:sz w:val="20"/>
                <w:szCs w:val="20"/>
                <w:color w:val="auto"/>
              </w:rPr>
            </w:pPr>
            <w:r>
              <w:rPr>
                <w:rFonts w:ascii="Arial" w:cs="Arial" w:eastAsia="Arial" w:hAnsi="Arial"/>
                <w:sz w:val="13"/>
                <w:szCs w:val="13"/>
                <w:color w:val="auto"/>
              </w:rPr>
              <w:t>Cash and cash equivalents, beginning of period</w:t>
            </w: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1,014.6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Cash and cash equivalents, end of period</w:t>
            </w:r>
          </w:p>
        </w:tc>
        <w:tc>
          <w:tcPr>
            <w:tcW w:w="740" w:type="dxa"/>
            <w:vAlign w:val="bottom"/>
            <w:tcBorders>
              <w:bottom w:val="single" w:sz="8" w:color="auto"/>
            </w:tcBorders>
            <w:shd w:val="clear" w:color="auto" w:fill="CCEEFF"/>
          </w:tcPr>
          <w:p>
            <w:pPr>
              <w:jc w:val="right"/>
              <w:ind w:right="621"/>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943.8</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601"/>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1,001.0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485" w:right="21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229235</wp:posOffset>
            </wp:positionV>
            <wp:extent cx="6131560" cy="45986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131560" cy="459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5620"/>
        <w:spacing w:after="0"/>
        <w:rPr>
          <w:sz w:val="20"/>
          <w:szCs w:val="20"/>
          <w:color w:val="auto"/>
        </w:rPr>
      </w:pPr>
      <w:r>
        <w:rPr>
          <w:rFonts w:ascii="Arial" w:cs="Arial" w:eastAsia="Arial" w:hAnsi="Arial"/>
          <w:sz w:val="23"/>
          <w:szCs w:val="23"/>
          <w:color w:val="5F81AA"/>
        </w:rPr>
        <w:t>MANPOWER INC.</w:t>
      </w:r>
    </w:p>
    <w:p>
      <w:pPr>
        <w:spacing w:after="0" w:line="29" w:lineRule="exact"/>
        <w:rPr>
          <w:sz w:val="20"/>
          <w:szCs w:val="20"/>
          <w:color w:val="auto"/>
        </w:rPr>
      </w:pPr>
    </w:p>
    <w:p>
      <w:pPr>
        <w:jc w:val="center"/>
        <w:ind w:left="5620"/>
        <w:spacing w:after="0"/>
        <w:rPr>
          <w:sz w:val="20"/>
          <w:szCs w:val="20"/>
          <w:color w:val="auto"/>
        </w:rPr>
      </w:pPr>
      <w:r>
        <w:rPr>
          <w:rFonts w:ascii="Arial" w:cs="Arial" w:eastAsia="Arial" w:hAnsi="Arial"/>
          <w:sz w:val="22"/>
          <w:szCs w:val="22"/>
          <w:color w:val="5F81AA"/>
        </w:rPr>
        <w:t>2010 1</w:t>
      </w:r>
      <w:r>
        <w:rPr>
          <w:rFonts w:ascii="Arial" w:cs="Arial" w:eastAsia="Arial" w:hAnsi="Arial"/>
          <w:sz w:val="30"/>
          <w:szCs w:val="30"/>
          <w:color w:val="5F81AA"/>
          <w:vertAlign w:val="superscript"/>
        </w:rPr>
        <w:t>st</w:t>
      </w:r>
      <w:r>
        <w:rPr>
          <w:rFonts w:ascii="Arial" w:cs="Arial" w:eastAsia="Arial" w:hAnsi="Arial"/>
          <w:sz w:val="22"/>
          <w:szCs w:val="22"/>
          <w:color w:val="5F81AA"/>
        </w:rPr>
        <w:t xml:space="preserve"> Quarter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2860"/>
        <w:spacing w:after="0"/>
        <w:rPr>
          <w:sz w:val="20"/>
          <w:szCs w:val="20"/>
          <w:color w:val="auto"/>
        </w:rPr>
      </w:pPr>
      <w:r>
        <w:rPr>
          <w:rFonts w:ascii="Arial" w:cs="Arial" w:eastAsia="Arial" w:hAnsi="Arial"/>
          <w:sz w:val="32"/>
          <w:szCs w:val="32"/>
          <w:color w:val="FFFFFF"/>
        </w:rPr>
        <w:t xml:space="preserve">Helping </w:t>
      </w:r>
      <w:r>
        <w:rPr>
          <w:rFonts w:ascii="Arial" w:cs="Arial" w:eastAsia="Arial" w:hAnsi="Arial"/>
          <w:sz w:val="40"/>
          <w:szCs w:val="40"/>
          <w:color w:val="FFFFFF"/>
        </w:rPr>
        <w:t>Clients</w:t>
      </w:r>
      <w:r>
        <w:rPr>
          <w:rFonts w:ascii="Arial" w:cs="Arial" w:eastAsia="Arial" w:hAnsi="Arial"/>
          <w:sz w:val="32"/>
          <w:szCs w:val="32"/>
          <w:color w:val="FFFFFF"/>
        </w:rPr>
        <w:t xml:space="preserve"> and </w:t>
      </w:r>
      <w:r>
        <w:rPr>
          <w:rFonts w:ascii="Arial" w:cs="Arial" w:eastAsia="Arial" w:hAnsi="Arial"/>
          <w:sz w:val="40"/>
          <w:szCs w:val="40"/>
          <w:color w:val="FFFFFF"/>
        </w:rPr>
        <w:t>Candidates</w:t>
      </w:r>
    </w:p>
    <w:p>
      <w:pPr>
        <w:spacing w:after="0" w:line="63" w:lineRule="exact"/>
        <w:rPr>
          <w:sz w:val="20"/>
          <w:szCs w:val="20"/>
          <w:color w:val="auto"/>
        </w:rPr>
      </w:pPr>
    </w:p>
    <w:p>
      <w:pPr>
        <w:jc w:val="center"/>
        <w:ind w:left="2820"/>
        <w:spacing w:after="0"/>
        <w:rPr>
          <w:sz w:val="20"/>
          <w:szCs w:val="20"/>
          <w:color w:val="auto"/>
        </w:rPr>
      </w:pPr>
      <w:r>
        <w:rPr>
          <w:rFonts w:ascii="Arial" w:cs="Arial" w:eastAsia="Arial" w:hAnsi="Arial"/>
          <w:sz w:val="40"/>
          <w:szCs w:val="40"/>
          <w:color w:val="FFFFFF"/>
        </w:rPr>
        <w:t xml:space="preserve">Win </w:t>
      </w:r>
      <w:r>
        <w:rPr>
          <w:rFonts w:ascii="Arial" w:cs="Arial" w:eastAsia="Arial" w:hAnsi="Arial"/>
          <w:sz w:val="32"/>
          <w:szCs w:val="32"/>
          <w:color w:val="FFFFFF"/>
        </w:rPr>
        <w:t>for Over</w:t>
      </w:r>
      <w:r>
        <w:rPr>
          <w:rFonts w:ascii="Arial" w:cs="Arial" w:eastAsia="Arial" w:hAnsi="Arial"/>
          <w:sz w:val="40"/>
          <w:szCs w:val="40"/>
          <w:color w:val="FFFFFF"/>
        </w:rPr>
        <w:t xml:space="preserve"> Six Decades</w:t>
      </w:r>
    </w:p>
    <w:p>
      <w:pPr>
        <w:spacing w:after="0" w:line="200" w:lineRule="exact"/>
        <w:rPr>
          <w:sz w:val="20"/>
          <w:szCs w:val="20"/>
          <w:color w:val="auto"/>
        </w:rPr>
      </w:pPr>
    </w:p>
    <w:p>
      <w:pPr>
        <w:spacing w:after="0" w:line="365" w:lineRule="exact"/>
        <w:rPr>
          <w:sz w:val="20"/>
          <w:szCs w:val="20"/>
          <w:color w:val="auto"/>
        </w:rPr>
      </w:pPr>
    </w:p>
    <w:p>
      <w:pPr>
        <w:ind w:left="6440"/>
        <w:spacing w:after="0"/>
        <w:tabs>
          <w:tab w:leader="none" w:pos="7120" w:val="left"/>
        </w:tabs>
        <w:rPr>
          <w:sz w:val="20"/>
          <w:szCs w:val="20"/>
          <w:color w:val="auto"/>
        </w:rPr>
      </w:pPr>
      <w:r>
        <w:rPr>
          <w:rFonts w:ascii="Arial" w:cs="Arial" w:eastAsia="Arial" w:hAnsi="Arial"/>
          <w:sz w:val="23"/>
          <w:szCs w:val="23"/>
          <w:color w:val="auto"/>
        </w:rPr>
        <w:t>2010</w:t>
      </w:r>
      <w:r>
        <w:rPr>
          <w:sz w:val="20"/>
          <w:szCs w:val="20"/>
          <w:color w:val="auto"/>
        </w:rPr>
        <w:tab/>
      </w:r>
      <w:r>
        <w:rPr>
          <w:rFonts w:ascii="Arial" w:cs="Arial" w:eastAsia="Arial" w:hAnsi="Arial"/>
          <w:sz w:val="22"/>
          <w:szCs w:val="22"/>
          <w:color w:val="auto"/>
        </w:rPr>
        <w:t>April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1397000</wp:posOffset>
            </wp:positionV>
            <wp:extent cx="728789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 w:name="page12"/>
    <w:bookmarkEnd w:id="11"/>
    <w:p>
      <w:pPr>
        <w:jc w:val="right"/>
        <w:ind w:right="159"/>
        <w:spacing w:after="0"/>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715010</wp:posOffset>
            </wp:positionH>
            <wp:positionV relativeFrom="page">
              <wp:posOffset>159385</wp:posOffset>
            </wp:positionV>
            <wp:extent cx="6131560" cy="4598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131560" cy="4598670"/>
                    </a:xfrm>
                    <a:prstGeom prst="rect">
                      <a:avLst/>
                    </a:prstGeom>
                    <a:noFill/>
                  </pic:spPr>
                </pic:pic>
              </a:graphicData>
            </a:graphic>
          </wp:anchor>
        </w:drawing>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960"/>
        <w:spacing w:after="0"/>
        <w:rPr>
          <w:sz w:val="20"/>
          <w:szCs w:val="20"/>
          <w:color w:val="auto"/>
        </w:rPr>
      </w:pPr>
      <w:r>
        <w:rPr>
          <w:rFonts w:ascii="Arial" w:cs="Arial" w:eastAsia="Arial" w:hAnsi="Arial"/>
          <w:sz w:val="35"/>
          <w:szCs w:val="35"/>
          <w:color w:val="6698C2"/>
        </w:rPr>
        <w:t>Forward-Looking Statement</w:t>
      </w:r>
    </w:p>
    <w:p>
      <w:pPr>
        <w:spacing w:after="0" w:line="395" w:lineRule="exact"/>
        <w:rPr>
          <w:sz w:val="20"/>
          <w:szCs w:val="20"/>
          <w:color w:val="auto"/>
        </w:rPr>
      </w:pPr>
    </w:p>
    <w:p>
      <w:pPr>
        <w:ind w:left="920"/>
        <w:spacing w:after="0"/>
        <w:rPr>
          <w:sz w:val="20"/>
          <w:szCs w:val="20"/>
          <w:color w:val="auto"/>
        </w:rPr>
      </w:pPr>
      <w:r>
        <w:rPr>
          <w:rFonts w:ascii="Arial" w:cs="Arial" w:eastAsia="Arial" w:hAnsi="Arial"/>
          <w:sz w:val="20"/>
          <w:szCs w:val="20"/>
          <w:color w:val="auto"/>
        </w:rPr>
        <w:t>This presentation includes forward-looking</w:t>
      </w:r>
    </w:p>
    <w:p>
      <w:pPr>
        <w:spacing w:after="0" w:line="11" w:lineRule="exact"/>
        <w:rPr>
          <w:sz w:val="20"/>
          <w:szCs w:val="20"/>
          <w:color w:val="auto"/>
        </w:rPr>
      </w:pPr>
    </w:p>
    <w:p>
      <w:pPr>
        <w:ind w:left="920"/>
        <w:spacing w:after="0"/>
        <w:rPr>
          <w:sz w:val="20"/>
          <w:szCs w:val="20"/>
          <w:color w:val="auto"/>
        </w:rPr>
      </w:pPr>
      <w:r>
        <w:rPr>
          <w:rFonts w:ascii="Arial" w:cs="Arial" w:eastAsia="Arial" w:hAnsi="Arial"/>
          <w:sz w:val="20"/>
          <w:szCs w:val="20"/>
          <w:color w:val="auto"/>
        </w:rPr>
        <w:t>statements, including earnings projections</w:t>
      </w:r>
    </w:p>
    <w:p>
      <w:pPr>
        <w:spacing w:after="0" w:line="11"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which are subject to risks and uncertainties.</w:t>
      </w:r>
    </w:p>
    <w:p>
      <w:pPr>
        <w:spacing w:after="0" w:line="11" w:lineRule="exact"/>
        <w:rPr>
          <w:sz w:val="20"/>
          <w:szCs w:val="20"/>
          <w:color w:val="auto"/>
        </w:rPr>
      </w:pPr>
    </w:p>
    <w:p>
      <w:pPr>
        <w:ind w:left="920"/>
        <w:spacing w:after="0"/>
        <w:rPr>
          <w:sz w:val="20"/>
          <w:szCs w:val="20"/>
          <w:color w:val="auto"/>
        </w:rPr>
      </w:pPr>
      <w:r>
        <w:rPr>
          <w:rFonts w:ascii="Arial" w:cs="Arial" w:eastAsia="Arial" w:hAnsi="Arial"/>
          <w:sz w:val="20"/>
          <w:szCs w:val="20"/>
          <w:color w:val="auto"/>
        </w:rPr>
        <w:t>Actual results might differ materially from</w:t>
      </w:r>
    </w:p>
    <w:p>
      <w:pPr>
        <w:spacing w:after="0" w:line="11" w:lineRule="exact"/>
        <w:rPr>
          <w:sz w:val="20"/>
          <w:szCs w:val="20"/>
          <w:color w:val="auto"/>
        </w:rPr>
      </w:pPr>
    </w:p>
    <w:p>
      <w:pPr>
        <w:ind w:left="920"/>
        <w:spacing w:after="0"/>
        <w:rPr>
          <w:sz w:val="20"/>
          <w:szCs w:val="20"/>
          <w:color w:val="auto"/>
        </w:rPr>
      </w:pPr>
      <w:r>
        <w:rPr>
          <w:rFonts w:ascii="Arial" w:cs="Arial" w:eastAsia="Arial" w:hAnsi="Arial"/>
          <w:sz w:val="20"/>
          <w:szCs w:val="20"/>
          <w:color w:val="auto"/>
        </w:rPr>
        <w:t>those projected in the forward-looking</w:t>
      </w:r>
    </w:p>
    <w:p>
      <w:pPr>
        <w:spacing w:after="0" w:line="11" w:lineRule="exact"/>
        <w:rPr>
          <w:sz w:val="20"/>
          <w:szCs w:val="20"/>
          <w:color w:val="auto"/>
        </w:rPr>
      </w:pPr>
    </w:p>
    <w:p>
      <w:pPr>
        <w:ind w:left="920"/>
        <w:spacing w:after="0"/>
        <w:rPr>
          <w:sz w:val="20"/>
          <w:szCs w:val="20"/>
          <w:color w:val="auto"/>
        </w:rPr>
      </w:pPr>
      <w:r>
        <w:rPr>
          <w:rFonts w:ascii="Arial" w:cs="Arial" w:eastAsia="Arial" w:hAnsi="Arial"/>
          <w:sz w:val="20"/>
          <w:szCs w:val="20"/>
          <w:color w:val="auto"/>
        </w:rPr>
        <w:t>statements. Additional information concerning</w:t>
      </w:r>
    </w:p>
    <w:p>
      <w:pPr>
        <w:spacing w:after="0" w:line="11" w:lineRule="exact"/>
        <w:rPr>
          <w:sz w:val="20"/>
          <w:szCs w:val="20"/>
          <w:color w:val="auto"/>
        </w:rPr>
      </w:pPr>
    </w:p>
    <w:p>
      <w:pPr>
        <w:ind w:left="920"/>
        <w:spacing w:after="0"/>
        <w:rPr>
          <w:sz w:val="20"/>
          <w:szCs w:val="20"/>
          <w:color w:val="auto"/>
        </w:rPr>
      </w:pPr>
      <w:r>
        <w:rPr>
          <w:rFonts w:ascii="Arial" w:cs="Arial" w:eastAsia="Arial" w:hAnsi="Arial"/>
          <w:sz w:val="20"/>
          <w:szCs w:val="20"/>
          <w:color w:val="auto"/>
        </w:rPr>
        <w:t>factors that could cause actual results to</w:t>
      </w:r>
    </w:p>
    <w:p>
      <w:pPr>
        <w:spacing w:after="0" w:line="11" w:lineRule="exact"/>
        <w:rPr>
          <w:sz w:val="20"/>
          <w:szCs w:val="20"/>
          <w:color w:val="auto"/>
        </w:rPr>
      </w:pPr>
    </w:p>
    <w:p>
      <w:pPr>
        <w:ind w:left="920"/>
        <w:spacing w:after="0"/>
        <w:rPr>
          <w:sz w:val="20"/>
          <w:szCs w:val="20"/>
          <w:color w:val="auto"/>
        </w:rPr>
      </w:pPr>
      <w:r>
        <w:rPr>
          <w:rFonts w:ascii="Arial" w:cs="Arial" w:eastAsia="Arial" w:hAnsi="Arial"/>
          <w:sz w:val="20"/>
          <w:szCs w:val="20"/>
          <w:color w:val="auto"/>
        </w:rPr>
        <w:t>materially differ from those in the forward-</w:t>
      </w:r>
    </w:p>
    <w:p>
      <w:pPr>
        <w:spacing w:after="0" w:line="11" w:lineRule="exact"/>
        <w:rPr>
          <w:sz w:val="20"/>
          <w:szCs w:val="20"/>
          <w:color w:val="auto"/>
        </w:rPr>
      </w:pPr>
    </w:p>
    <w:p>
      <w:pPr>
        <w:ind w:left="920"/>
        <w:spacing w:after="0"/>
        <w:rPr>
          <w:sz w:val="20"/>
          <w:szCs w:val="20"/>
          <w:color w:val="auto"/>
        </w:rPr>
      </w:pPr>
      <w:r>
        <w:rPr>
          <w:rFonts w:ascii="Arial" w:cs="Arial" w:eastAsia="Arial" w:hAnsi="Arial"/>
          <w:sz w:val="20"/>
          <w:szCs w:val="20"/>
          <w:color w:val="auto"/>
        </w:rPr>
        <w:t>looking statements is contained in the</w:t>
      </w:r>
    </w:p>
    <w:p>
      <w:pPr>
        <w:spacing w:after="0" w:line="11" w:lineRule="exact"/>
        <w:rPr>
          <w:sz w:val="20"/>
          <w:szCs w:val="20"/>
          <w:color w:val="auto"/>
        </w:rPr>
      </w:pPr>
    </w:p>
    <w:p>
      <w:pPr>
        <w:ind w:left="920"/>
        <w:spacing w:after="0"/>
        <w:rPr>
          <w:sz w:val="20"/>
          <w:szCs w:val="20"/>
          <w:color w:val="auto"/>
        </w:rPr>
      </w:pPr>
      <w:r>
        <w:rPr>
          <w:rFonts w:ascii="Arial" w:cs="Arial" w:eastAsia="Arial" w:hAnsi="Arial"/>
          <w:sz w:val="20"/>
          <w:szCs w:val="20"/>
          <w:color w:val="auto"/>
        </w:rPr>
        <w:t>Company’s Annual Report on Form 10-K</w:t>
      </w:r>
    </w:p>
    <w:p>
      <w:pPr>
        <w:spacing w:after="0" w:line="11" w:lineRule="exact"/>
        <w:rPr>
          <w:sz w:val="20"/>
          <w:szCs w:val="20"/>
          <w:color w:val="auto"/>
        </w:rPr>
      </w:pPr>
    </w:p>
    <w:p>
      <w:pPr>
        <w:ind w:left="920"/>
        <w:spacing w:after="0"/>
        <w:rPr>
          <w:sz w:val="20"/>
          <w:szCs w:val="20"/>
          <w:color w:val="auto"/>
        </w:rPr>
      </w:pPr>
      <w:r>
        <w:rPr>
          <w:rFonts w:ascii="Arial" w:cs="Arial" w:eastAsia="Arial" w:hAnsi="Arial"/>
          <w:sz w:val="20"/>
          <w:szCs w:val="20"/>
          <w:color w:val="auto"/>
        </w:rPr>
        <w:t>dated December 31, 2009, which information</w:t>
      </w:r>
    </w:p>
    <w:p>
      <w:pPr>
        <w:spacing w:after="0" w:line="11" w:lineRule="exact"/>
        <w:rPr>
          <w:sz w:val="20"/>
          <w:szCs w:val="20"/>
          <w:color w:val="auto"/>
        </w:rPr>
      </w:pPr>
    </w:p>
    <w:p>
      <w:pPr>
        <w:ind w:left="920"/>
        <w:spacing w:after="0"/>
        <w:rPr>
          <w:sz w:val="20"/>
          <w:szCs w:val="20"/>
          <w:color w:val="auto"/>
        </w:rPr>
      </w:pPr>
      <w:r>
        <w:rPr>
          <w:rFonts w:ascii="Arial" w:cs="Arial" w:eastAsia="Arial" w:hAnsi="Arial"/>
          <w:sz w:val="20"/>
          <w:szCs w:val="20"/>
          <w:color w:val="auto"/>
        </w:rPr>
        <w:t>is incorporated herein by reference, and such</w:t>
      </w:r>
    </w:p>
    <w:p>
      <w:pPr>
        <w:spacing w:after="0" w:line="11" w:lineRule="exact"/>
        <w:rPr>
          <w:sz w:val="20"/>
          <w:szCs w:val="20"/>
          <w:color w:val="auto"/>
        </w:rPr>
      </w:pPr>
    </w:p>
    <w:p>
      <w:pPr>
        <w:ind w:left="920"/>
        <w:spacing w:after="0"/>
        <w:rPr>
          <w:sz w:val="20"/>
          <w:szCs w:val="20"/>
          <w:color w:val="auto"/>
        </w:rPr>
      </w:pPr>
      <w:r>
        <w:rPr>
          <w:rFonts w:ascii="Arial" w:cs="Arial" w:eastAsia="Arial" w:hAnsi="Arial"/>
          <w:sz w:val="20"/>
          <w:szCs w:val="20"/>
          <w:color w:val="auto"/>
        </w:rPr>
        <w:t>other factors as may be described from time</w:t>
      </w:r>
    </w:p>
    <w:p>
      <w:pPr>
        <w:spacing w:after="0" w:line="11" w:lineRule="exact"/>
        <w:rPr>
          <w:sz w:val="20"/>
          <w:szCs w:val="20"/>
          <w:color w:val="auto"/>
        </w:rPr>
      </w:pPr>
    </w:p>
    <w:p>
      <w:pPr>
        <w:ind w:left="920"/>
        <w:spacing w:after="0"/>
        <w:rPr>
          <w:sz w:val="20"/>
          <w:szCs w:val="20"/>
          <w:color w:val="auto"/>
        </w:rPr>
      </w:pPr>
      <w:r>
        <w:rPr>
          <w:rFonts w:ascii="Arial" w:cs="Arial" w:eastAsia="Arial" w:hAnsi="Arial"/>
          <w:sz w:val="20"/>
          <w:szCs w:val="20"/>
          <w:color w:val="auto"/>
        </w:rPr>
        <w:t>to time in the Company’s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911860</wp:posOffset>
            </wp:positionV>
            <wp:extent cx="728789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019"/>
          </w:cols>
          <w:pgMar w:left="1440" w:top="372" w:right="1440" w:bottom="1440" w:gutter="0" w:footer="0" w:header="0"/>
        </w:sectPr>
      </w:pPr>
    </w:p>
    <w:bookmarkStart w:id="12" w:name="page13"/>
    <w:bookmarkEnd w:id="12"/>
    <w:p>
      <w:pPr>
        <w:jc w:val="right"/>
        <w:ind w:right="159"/>
        <w:spacing w:after="0"/>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715010</wp:posOffset>
            </wp:positionH>
            <wp:positionV relativeFrom="page">
              <wp:posOffset>159385</wp:posOffset>
            </wp:positionV>
            <wp:extent cx="6131560" cy="45986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131560" cy="4598670"/>
                    </a:xfrm>
                    <a:prstGeom prst="rect">
                      <a:avLst/>
                    </a:prstGeom>
                    <a:noFill/>
                  </pic:spPr>
                </pic:pic>
              </a:graphicData>
            </a:graphic>
          </wp:anchor>
        </w:drawing>
        <w:t>3</w:t>
      </w:r>
    </w:p>
    <w:p>
      <w:pPr>
        <w:spacing w:after="0" w:line="200" w:lineRule="exact"/>
        <w:rPr>
          <w:sz w:val="20"/>
          <w:szCs w:val="20"/>
          <w:color w:val="auto"/>
        </w:rPr>
      </w:pPr>
    </w:p>
    <w:p>
      <w:pPr>
        <w:spacing w:after="0" w:line="371" w:lineRule="exact"/>
        <w:rPr>
          <w:sz w:val="20"/>
          <w:szCs w:val="20"/>
          <w:color w:val="auto"/>
        </w:rPr>
      </w:pPr>
    </w:p>
    <w:p>
      <w:pPr>
        <w:ind w:left="420"/>
        <w:spacing w:after="0"/>
        <w:rPr>
          <w:sz w:val="20"/>
          <w:szCs w:val="20"/>
          <w:color w:val="auto"/>
        </w:rPr>
      </w:pPr>
      <w:r>
        <w:rPr>
          <w:rFonts w:ascii="Arial" w:cs="Arial" w:eastAsia="Arial" w:hAnsi="Arial"/>
          <w:sz w:val="40"/>
          <w:szCs w:val="40"/>
          <w:color w:val="6698C2"/>
        </w:rPr>
        <w:t>Consolidated Financial Highlights</w:t>
      </w:r>
    </w:p>
    <w:p>
      <w:pPr>
        <w:spacing w:after="0" w:line="358" w:lineRule="exact"/>
        <w:rPr>
          <w:sz w:val="20"/>
          <w:szCs w:val="20"/>
          <w:color w:val="auto"/>
        </w:rPr>
      </w:pPr>
    </w:p>
    <w:tbl>
      <w:tblPr>
        <w:tblLayout w:type="fixed"/>
        <w:tblInd w:w="1600" w:type="dxa"/>
        <w:tblCellMar>
          <w:top w:w="0" w:type="dxa"/>
          <w:left w:w="0" w:type="dxa"/>
          <w:bottom w:w="0" w:type="dxa"/>
          <w:right w:w="0" w:type="dxa"/>
        </w:tblCellMar>
      </w:tblPr>
      <w:tr>
        <w:trPr>
          <w:trHeight w:val="487"/>
        </w:trPr>
        <w:tc>
          <w:tcPr>
            <w:tcW w:w="1300" w:type="dxa"/>
            <w:vAlign w:val="bottom"/>
          </w:tcPr>
          <w:p>
            <w:pPr>
              <w:spacing w:after="0"/>
              <w:rPr>
                <w:sz w:val="24"/>
                <w:szCs w:val="24"/>
                <w:color w:val="auto"/>
              </w:rPr>
            </w:pPr>
          </w:p>
        </w:tc>
        <w:tc>
          <w:tcPr>
            <w:tcW w:w="3920" w:type="dxa"/>
            <w:vAlign w:val="bottom"/>
          </w:tcPr>
          <w:p>
            <w:pPr>
              <w:ind w:left="1040"/>
              <w:spacing w:after="0"/>
              <w:rPr>
                <w:sz w:val="20"/>
                <w:szCs w:val="20"/>
                <w:color w:val="auto"/>
              </w:rPr>
            </w:pPr>
            <w:r>
              <w:rPr>
                <w:rFonts w:ascii="Arial" w:cs="Arial" w:eastAsia="Arial" w:hAnsi="Arial"/>
                <w:sz w:val="35"/>
                <w:szCs w:val="35"/>
                <w:b w:val="1"/>
                <w:bCs w:val="1"/>
                <w:color w:val="auto"/>
              </w:rPr>
              <w:t xml:space="preserve">Q1 Highlights </w:t>
            </w:r>
            <w:r>
              <w:rPr>
                <w:rFonts w:ascii="Arial" w:cs="Arial" w:eastAsia="Arial" w:hAnsi="Arial"/>
                <w:sz w:val="29"/>
                <w:szCs w:val="29"/>
                <w:b w:val="1"/>
                <w:bCs w:val="1"/>
                <w:color w:val="6698C2"/>
                <w:vertAlign w:val="superscript"/>
              </w:rPr>
              <w:t>(1)</w:t>
            </w:r>
          </w:p>
        </w:tc>
        <w:tc>
          <w:tcPr>
            <w:tcW w:w="0" w:type="dxa"/>
            <w:vAlign w:val="bottom"/>
          </w:tcPr>
          <w:p>
            <w:pPr>
              <w:spacing w:after="0"/>
              <w:rPr>
                <w:sz w:val="1"/>
                <w:szCs w:val="1"/>
                <w:color w:val="auto"/>
              </w:rPr>
            </w:pPr>
          </w:p>
        </w:tc>
      </w:tr>
      <w:tr>
        <w:trPr>
          <w:trHeight w:val="600"/>
        </w:trPr>
        <w:tc>
          <w:tcPr>
            <w:tcW w:w="1300" w:type="dxa"/>
            <w:vAlign w:val="bottom"/>
          </w:tcPr>
          <w:p>
            <w:pPr>
              <w:ind w:left="300"/>
              <w:spacing w:after="0"/>
              <w:rPr>
                <w:sz w:val="20"/>
                <w:szCs w:val="20"/>
                <w:color w:val="auto"/>
              </w:rPr>
            </w:pPr>
            <w:r>
              <w:rPr>
                <w:rFonts w:ascii="Arial" w:cs="Arial" w:eastAsia="Arial" w:hAnsi="Arial"/>
                <w:sz w:val="32"/>
                <w:szCs w:val="32"/>
                <w:color w:val="auto"/>
              </w:rPr>
              <w:t>13%</w:t>
            </w:r>
          </w:p>
        </w:tc>
        <w:tc>
          <w:tcPr>
            <w:tcW w:w="3920" w:type="dxa"/>
            <w:vAlign w:val="bottom"/>
          </w:tcPr>
          <w:p>
            <w:pPr>
              <w:ind w:left="180"/>
              <w:spacing w:after="0"/>
              <w:rPr>
                <w:sz w:val="20"/>
                <w:szCs w:val="20"/>
                <w:color w:val="auto"/>
              </w:rPr>
            </w:pPr>
            <w:r>
              <w:rPr>
                <w:rFonts w:ascii="Arial" w:cs="Arial" w:eastAsia="Arial" w:hAnsi="Arial"/>
                <w:sz w:val="35"/>
                <w:szCs w:val="35"/>
                <w:b w:val="1"/>
                <w:bCs w:val="1"/>
                <w:color w:val="auto"/>
              </w:rPr>
              <w:t xml:space="preserve">Revenue </w:t>
            </w:r>
            <w:r>
              <w:rPr>
                <w:rFonts w:ascii="Arial" w:cs="Arial" w:eastAsia="Arial" w:hAnsi="Arial"/>
                <w:sz w:val="37"/>
                <w:szCs w:val="37"/>
                <w:b w:val="1"/>
                <w:bCs w:val="1"/>
                <w:color w:val="6698C2"/>
              </w:rPr>
              <w:t>$4.1B</w:t>
            </w:r>
          </w:p>
        </w:tc>
        <w:tc>
          <w:tcPr>
            <w:tcW w:w="0" w:type="dxa"/>
            <w:vAlign w:val="bottom"/>
          </w:tcPr>
          <w:p>
            <w:pPr>
              <w:spacing w:after="0"/>
              <w:rPr>
                <w:sz w:val="1"/>
                <w:szCs w:val="1"/>
                <w:color w:val="auto"/>
              </w:rPr>
            </w:pPr>
          </w:p>
        </w:tc>
      </w:tr>
      <w:tr>
        <w:trPr>
          <w:trHeight w:val="387"/>
        </w:trPr>
        <w:tc>
          <w:tcPr>
            <w:tcW w:w="1300" w:type="dxa"/>
            <w:vAlign w:val="bottom"/>
          </w:tcPr>
          <w:p>
            <w:pPr>
              <w:spacing w:after="0"/>
              <w:rPr>
                <w:sz w:val="20"/>
                <w:szCs w:val="20"/>
                <w:color w:val="auto"/>
              </w:rPr>
            </w:pPr>
            <w:r>
              <w:rPr>
                <w:rFonts w:ascii="Arial" w:cs="Arial" w:eastAsia="Arial" w:hAnsi="Arial"/>
                <w:sz w:val="32"/>
                <w:szCs w:val="32"/>
                <w:color w:val="auto"/>
              </w:rPr>
              <w:t>5% CC</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300" w:type="dxa"/>
            <w:vAlign w:val="bottom"/>
          </w:tcPr>
          <w:p>
            <w:pPr>
              <w:spacing w:after="0"/>
              <w:rPr>
                <w:sz w:val="20"/>
                <w:szCs w:val="20"/>
                <w:color w:val="auto"/>
              </w:rPr>
            </w:pPr>
            <w:r>
              <w:rPr>
                <w:rFonts w:ascii="Arial" w:cs="Arial" w:eastAsia="Arial" w:hAnsi="Arial"/>
                <w:sz w:val="32"/>
                <w:szCs w:val="32"/>
                <w:color w:val="auto"/>
              </w:rPr>
              <w:t>120 bps</w:t>
            </w:r>
          </w:p>
        </w:tc>
        <w:tc>
          <w:tcPr>
            <w:tcW w:w="3920" w:type="dxa"/>
            <w:vAlign w:val="bottom"/>
          </w:tcPr>
          <w:p>
            <w:pPr>
              <w:ind w:left="180"/>
              <w:spacing w:after="0"/>
              <w:rPr>
                <w:sz w:val="20"/>
                <w:szCs w:val="20"/>
                <w:color w:val="auto"/>
              </w:rPr>
            </w:pPr>
            <w:r>
              <w:rPr>
                <w:rFonts w:ascii="Arial" w:cs="Arial" w:eastAsia="Arial" w:hAnsi="Arial"/>
                <w:sz w:val="35"/>
                <w:szCs w:val="35"/>
                <w:b w:val="1"/>
                <w:bCs w:val="1"/>
                <w:color w:val="auto"/>
              </w:rPr>
              <w:t xml:space="preserve">Gross Margin </w:t>
            </w:r>
            <w:r>
              <w:rPr>
                <w:rFonts w:ascii="Arial" w:cs="Arial" w:eastAsia="Arial" w:hAnsi="Arial"/>
                <w:sz w:val="37"/>
                <w:szCs w:val="37"/>
                <w:b w:val="1"/>
                <w:bCs w:val="1"/>
                <w:color w:val="6698C2"/>
              </w:rPr>
              <w:t>17.1%</w:t>
            </w:r>
          </w:p>
        </w:tc>
        <w:tc>
          <w:tcPr>
            <w:tcW w:w="0" w:type="dxa"/>
            <w:vAlign w:val="bottom"/>
          </w:tcPr>
          <w:p>
            <w:pPr>
              <w:spacing w:after="0"/>
              <w:rPr>
                <w:sz w:val="1"/>
                <w:szCs w:val="1"/>
                <w:color w:val="auto"/>
              </w:rPr>
            </w:pPr>
          </w:p>
        </w:tc>
      </w:tr>
      <w:tr>
        <w:trPr>
          <w:trHeight w:val="618"/>
        </w:trPr>
        <w:tc>
          <w:tcPr>
            <w:tcW w:w="1300" w:type="dxa"/>
            <w:vAlign w:val="bottom"/>
          </w:tcPr>
          <w:p>
            <w:pPr>
              <w:ind w:left="120"/>
              <w:spacing w:after="0"/>
              <w:rPr>
                <w:sz w:val="20"/>
                <w:szCs w:val="20"/>
                <w:color w:val="auto"/>
              </w:rPr>
            </w:pPr>
            <w:r>
              <w:rPr>
                <w:rFonts w:ascii="Arial" w:cs="Arial" w:eastAsia="Arial" w:hAnsi="Arial"/>
                <w:sz w:val="32"/>
                <w:szCs w:val="32"/>
                <w:color w:val="auto"/>
              </w:rPr>
              <w:t>N/A</w:t>
            </w:r>
          </w:p>
        </w:tc>
        <w:tc>
          <w:tcPr>
            <w:tcW w:w="3920" w:type="dxa"/>
            <w:vAlign w:val="bottom"/>
            <w:vMerge w:val="restart"/>
          </w:tcPr>
          <w:p>
            <w:pPr>
              <w:ind w:left="180"/>
              <w:spacing w:after="0"/>
              <w:rPr>
                <w:sz w:val="20"/>
                <w:szCs w:val="20"/>
                <w:color w:val="auto"/>
              </w:rPr>
            </w:pPr>
            <w:r>
              <w:rPr>
                <w:rFonts w:ascii="Arial" w:cs="Arial" w:eastAsia="Arial" w:hAnsi="Arial"/>
                <w:sz w:val="35"/>
                <w:szCs w:val="35"/>
                <w:b w:val="1"/>
                <w:bCs w:val="1"/>
                <w:color w:val="auto"/>
              </w:rPr>
              <w:t xml:space="preserve">Operating Profit </w:t>
            </w:r>
            <w:r>
              <w:rPr>
                <w:rFonts w:ascii="Arial" w:cs="Arial" w:eastAsia="Arial" w:hAnsi="Arial"/>
                <w:sz w:val="37"/>
                <w:szCs w:val="37"/>
                <w:b w:val="1"/>
                <w:bCs w:val="1"/>
                <w:color w:val="6698C2"/>
              </w:rPr>
              <w:t>$33M</w:t>
            </w:r>
          </w:p>
        </w:tc>
        <w:tc>
          <w:tcPr>
            <w:tcW w:w="0" w:type="dxa"/>
            <w:vAlign w:val="bottom"/>
          </w:tcPr>
          <w:p>
            <w:pPr>
              <w:spacing w:after="0"/>
              <w:rPr>
                <w:sz w:val="1"/>
                <w:szCs w:val="1"/>
                <w:color w:val="auto"/>
              </w:rPr>
            </w:pPr>
          </w:p>
        </w:tc>
      </w:tr>
      <w:tr>
        <w:trPr>
          <w:trHeight w:val="197"/>
        </w:trPr>
        <w:tc>
          <w:tcPr>
            <w:tcW w:w="1300" w:type="dxa"/>
            <w:vAlign w:val="bottom"/>
            <w:vMerge w:val="restart"/>
          </w:tcPr>
          <w:p>
            <w:pPr>
              <w:ind w:left="120"/>
              <w:spacing w:after="0"/>
              <w:rPr>
                <w:sz w:val="20"/>
                <w:szCs w:val="20"/>
                <w:color w:val="auto"/>
              </w:rPr>
            </w:pPr>
            <w:r>
              <w:rPr>
                <w:rFonts w:ascii="Arial" w:cs="Arial" w:eastAsia="Arial" w:hAnsi="Arial"/>
                <w:sz w:val="32"/>
                <w:szCs w:val="32"/>
                <w:color w:val="auto"/>
              </w:rPr>
              <w:t>N/A</w:t>
            </w:r>
          </w:p>
        </w:tc>
        <w:tc>
          <w:tcPr>
            <w:tcW w:w="3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300" w:type="dxa"/>
            <w:vAlign w:val="bottom"/>
            <w:vMerge w:val="continue"/>
          </w:tcPr>
          <w:p>
            <w:pPr>
              <w:spacing w:after="0"/>
              <w:rPr>
                <w:sz w:val="16"/>
                <w:szCs w:val="16"/>
                <w:color w:val="auto"/>
              </w:rPr>
            </w:pP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4"/>
        </w:trPr>
        <w:tc>
          <w:tcPr>
            <w:tcW w:w="1300" w:type="dxa"/>
            <w:vAlign w:val="bottom"/>
          </w:tcPr>
          <w:p>
            <w:pPr>
              <w:ind w:left="40"/>
              <w:spacing w:after="0"/>
              <w:rPr>
                <w:sz w:val="20"/>
                <w:szCs w:val="20"/>
                <w:color w:val="auto"/>
              </w:rPr>
            </w:pPr>
            <w:r>
              <w:rPr>
                <w:rFonts w:ascii="Arial" w:cs="Arial" w:eastAsia="Arial" w:hAnsi="Arial"/>
                <w:sz w:val="32"/>
                <w:szCs w:val="32"/>
                <w:color w:val="auto"/>
              </w:rPr>
              <w:t>80 bps</w:t>
            </w:r>
          </w:p>
        </w:tc>
        <w:tc>
          <w:tcPr>
            <w:tcW w:w="3920" w:type="dxa"/>
            <w:vAlign w:val="bottom"/>
          </w:tcPr>
          <w:p>
            <w:pPr>
              <w:ind w:left="180"/>
              <w:spacing w:after="0"/>
              <w:rPr>
                <w:sz w:val="20"/>
                <w:szCs w:val="20"/>
                <w:color w:val="auto"/>
              </w:rPr>
            </w:pPr>
            <w:r>
              <w:rPr>
                <w:rFonts w:ascii="Arial" w:cs="Arial" w:eastAsia="Arial" w:hAnsi="Arial"/>
                <w:sz w:val="35"/>
                <w:szCs w:val="35"/>
                <w:b w:val="1"/>
                <w:bCs w:val="1"/>
                <w:color w:val="auto"/>
              </w:rPr>
              <w:t xml:space="preserve">OP Margin </w:t>
            </w:r>
            <w:r>
              <w:rPr>
                <w:rFonts w:ascii="Arial" w:cs="Arial" w:eastAsia="Arial" w:hAnsi="Arial"/>
                <w:sz w:val="37"/>
                <w:szCs w:val="37"/>
                <w:b w:val="1"/>
                <w:bCs w:val="1"/>
                <w:color w:val="6698C2"/>
              </w:rPr>
              <w:t>0.8%</w:t>
            </w:r>
          </w:p>
        </w:tc>
        <w:tc>
          <w:tcPr>
            <w:tcW w:w="0" w:type="dxa"/>
            <w:vAlign w:val="bottom"/>
          </w:tcPr>
          <w:p>
            <w:pPr>
              <w:spacing w:after="0"/>
              <w:rPr>
                <w:sz w:val="1"/>
                <w:szCs w:val="1"/>
                <w:color w:val="auto"/>
              </w:rPr>
            </w:pPr>
          </w:p>
        </w:tc>
      </w:tr>
      <w:tr>
        <w:trPr>
          <w:trHeight w:val="679"/>
        </w:trPr>
        <w:tc>
          <w:tcPr>
            <w:tcW w:w="1300" w:type="dxa"/>
            <w:vAlign w:val="bottom"/>
          </w:tcPr>
          <w:p>
            <w:pPr>
              <w:ind w:left="180"/>
              <w:spacing w:after="0"/>
              <w:rPr>
                <w:sz w:val="20"/>
                <w:szCs w:val="20"/>
                <w:color w:val="auto"/>
              </w:rPr>
            </w:pPr>
            <w:r>
              <w:rPr>
                <w:rFonts w:ascii="Arial" w:cs="Arial" w:eastAsia="Arial" w:hAnsi="Arial"/>
                <w:sz w:val="32"/>
                <w:szCs w:val="32"/>
                <w:color w:val="auto"/>
              </w:rPr>
              <w:t>N/A</w:t>
            </w:r>
          </w:p>
        </w:tc>
        <w:tc>
          <w:tcPr>
            <w:tcW w:w="3920" w:type="dxa"/>
            <w:vAlign w:val="bottom"/>
          </w:tcPr>
          <w:p>
            <w:pPr>
              <w:ind w:left="160"/>
              <w:spacing w:after="0"/>
              <w:rPr>
                <w:sz w:val="20"/>
                <w:szCs w:val="20"/>
                <w:color w:val="auto"/>
              </w:rPr>
            </w:pPr>
            <w:r>
              <w:rPr>
                <w:rFonts w:ascii="Arial" w:cs="Arial" w:eastAsia="Arial" w:hAnsi="Arial"/>
                <w:sz w:val="35"/>
                <w:szCs w:val="35"/>
                <w:b w:val="1"/>
                <w:bCs w:val="1"/>
                <w:color w:val="auto"/>
              </w:rPr>
              <w:t xml:space="preserve">EPS </w:t>
            </w:r>
            <w:r>
              <w:rPr>
                <w:rFonts w:ascii="Arial" w:cs="Arial" w:eastAsia="Arial" w:hAnsi="Arial"/>
                <w:sz w:val="37"/>
                <w:szCs w:val="37"/>
                <w:b w:val="1"/>
                <w:bCs w:val="1"/>
                <w:color w:val="6698C2"/>
              </w:rPr>
              <w:t>$.04</w:t>
            </w:r>
          </w:p>
        </w:tc>
        <w:tc>
          <w:tcPr>
            <w:tcW w:w="0" w:type="dxa"/>
            <w:vAlign w:val="bottom"/>
          </w:tcPr>
          <w:p>
            <w:pPr>
              <w:spacing w:after="0"/>
              <w:rPr>
                <w:sz w:val="1"/>
                <w:szCs w:val="1"/>
                <w:color w:val="auto"/>
              </w:rPr>
            </w:pPr>
          </w:p>
        </w:tc>
      </w:tr>
      <w:tr>
        <w:trPr>
          <w:trHeight w:val="347"/>
        </w:trPr>
        <w:tc>
          <w:tcPr>
            <w:tcW w:w="1300" w:type="dxa"/>
            <w:vAlign w:val="bottom"/>
          </w:tcPr>
          <w:p>
            <w:pPr>
              <w:ind w:left="160"/>
              <w:spacing w:after="0" w:line="347" w:lineRule="exact"/>
              <w:rPr>
                <w:sz w:val="20"/>
                <w:szCs w:val="20"/>
                <w:color w:val="auto"/>
              </w:rPr>
            </w:pPr>
            <w:r>
              <w:rPr>
                <w:rFonts w:ascii="Arial" w:cs="Arial" w:eastAsia="Arial" w:hAnsi="Arial"/>
                <w:sz w:val="32"/>
                <w:szCs w:val="32"/>
                <w:color w:val="auto"/>
              </w:rPr>
              <w:t>N/A</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40" w:hanging="190"/>
        <w:spacing w:after="0" w:line="183" w:lineRule="auto"/>
        <w:tabs>
          <w:tab w:leader="none" w:pos="540" w:val="left"/>
        </w:tabs>
        <w:numPr>
          <w:ilvl w:val="0"/>
          <w:numId w:val="3"/>
        </w:numPr>
        <w:rPr>
          <w:rFonts w:ascii="Arial" w:cs="Arial" w:eastAsia="Arial" w:hAnsi="Arial"/>
          <w:sz w:val="22"/>
          <w:szCs w:val="22"/>
          <w:color w:val="auto"/>
          <w:vertAlign w:val="superscript"/>
        </w:rPr>
      </w:pPr>
      <w:r>
        <w:rPr>
          <w:rFonts w:ascii="Arial" w:cs="Arial" w:eastAsia="Arial" w:hAnsi="Arial"/>
          <w:sz w:val="15"/>
          <w:szCs w:val="15"/>
          <w:color w:val="auto"/>
        </w:rPr>
        <w:t>2009 results include non-recurring items, including reorganization charges, totaling a net benefit of $6M</w:t>
      </w:r>
    </w:p>
    <w:p>
      <w:pPr>
        <w:spacing w:after="0" w:line="2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before income taxes.</w:t>
      </w:r>
    </w:p>
    <w:p>
      <w:pPr>
        <w:ind w:left="320" w:right="659"/>
        <w:spacing w:after="0" w:line="279" w:lineRule="auto"/>
        <w:rPr>
          <w:sz w:val="20"/>
          <w:szCs w:val="20"/>
          <w:color w:val="auto"/>
        </w:rPr>
      </w:pPr>
      <w:r>
        <w:rPr>
          <w:rFonts w:ascii="Arial" w:cs="Arial" w:eastAsia="Arial" w:hAnsi="Arial"/>
          <w:sz w:val="14"/>
          <w:szCs w:val="14"/>
          <w:b w:val="1"/>
          <w:bCs w:val="1"/>
          <w:color w:val="auto"/>
        </w:rPr>
        <w:t>Throughout this presentation, the difference between reported variances and Constant Currency (CC) variances represents the impact of currency on our financial results. Constant Currency is further explained on our Web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259080</wp:posOffset>
            </wp:positionV>
            <wp:extent cx="728789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019"/>
          </w:cols>
          <w:pgMar w:left="1440" w:top="372" w:right="1440" w:bottom="1440" w:gutter="0" w:footer="0" w:header="0"/>
        </w:sectPr>
      </w:pPr>
    </w:p>
    <w:bookmarkStart w:id="13" w:name="page14"/>
    <w:bookmarkEnd w:id="13"/>
    <w:p>
      <w:pPr>
        <w:jc w:val="right"/>
        <w:ind w:right="159"/>
        <w:spacing w:after="0"/>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715010</wp:posOffset>
            </wp:positionH>
            <wp:positionV relativeFrom="page">
              <wp:posOffset>159385</wp:posOffset>
            </wp:positionV>
            <wp:extent cx="6131560" cy="45986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131560" cy="4598670"/>
                    </a:xfrm>
                    <a:prstGeom prst="rect">
                      <a:avLst/>
                    </a:prstGeom>
                    <a:noFill/>
                  </pic:spPr>
                </pic:pic>
              </a:graphicData>
            </a:graphic>
          </wp:anchor>
        </w:drawing>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Arial" w:cs="Arial" w:eastAsia="Arial" w:hAnsi="Arial"/>
          <w:sz w:val="40"/>
          <w:szCs w:val="40"/>
          <w:color w:val="6698C2"/>
        </w:rPr>
        <w:t>Consolidated Gross Margin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3635375</wp:posOffset>
            </wp:positionV>
            <wp:extent cx="728789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019"/>
          </w:cols>
          <w:pgMar w:left="1440" w:top="372" w:right="1440" w:bottom="1440" w:gutter="0" w:footer="0" w:header="0"/>
        </w:sectPr>
      </w:pPr>
    </w:p>
    <w:bookmarkStart w:id="14" w:name="page15"/>
    <w:bookmarkEnd w:id="14"/>
    <w:p>
      <w:pPr>
        <w:jc w:val="right"/>
        <w:ind w:right="159"/>
        <w:spacing w:after="0"/>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715010</wp:posOffset>
            </wp:positionH>
            <wp:positionV relativeFrom="page">
              <wp:posOffset>159385</wp:posOffset>
            </wp:positionV>
            <wp:extent cx="6131560" cy="4598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131560" cy="4598670"/>
                    </a:xfrm>
                    <a:prstGeom prst="rect">
                      <a:avLst/>
                    </a:prstGeom>
                    <a:noFill/>
                  </pic:spPr>
                </pic:pic>
              </a:graphicData>
            </a:graphic>
          </wp:anchor>
        </w:drawing>
        <w:t>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20"/>
        <w:spacing w:after="0"/>
        <w:rPr>
          <w:sz w:val="20"/>
          <w:szCs w:val="20"/>
          <w:color w:val="auto"/>
        </w:rPr>
      </w:pPr>
      <w:r>
        <w:rPr>
          <w:rFonts w:ascii="Arial" w:cs="Arial" w:eastAsia="Arial" w:hAnsi="Arial"/>
          <w:sz w:val="40"/>
          <w:szCs w:val="40"/>
          <w:color w:val="6698C2"/>
        </w:rPr>
        <w:t>Americas Segment</w:t>
      </w:r>
    </w:p>
    <w:p>
      <w:pPr>
        <w:spacing w:after="0" w:line="5" w:lineRule="exact"/>
        <w:rPr>
          <w:sz w:val="20"/>
          <w:szCs w:val="20"/>
          <w:color w:val="auto"/>
        </w:rPr>
      </w:pPr>
    </w:p>
    <w:p>
      <w:pPr>
        <w:ind w:left="420"/>
        <w:spacing w:after="0"/>
        <w:rPr>
          <w:sz w:val="20"/>
          <w:szCs w:val="20"/>
          <w:color w:val="auto"/>
        </w:rPr>
      </w:pPr>
      <w:r>
        <w:rPr>
          <w:rFonts w:ascii="Arial" w:cs="Arial" w:eastAsia="Arial" w:hAnsi="Arial"/>
          <w:sz w:val="27"/>
          <w:szCs w:val="27"/>
          <w:color w:val="6698C2"/>
        </w:rPr>
        <w:t>(18% of Revenue)</w:t>
      </w:r>
    </w:p>
    <w:p>
      <w:pPr>
        <w:spacing w:after="0" w:line="203" w:lineRule="exact"/>
        <w:rPr>
          <w:sz w:val="20"/>
          <w:szCs w:val="20"/>
          <w:color w:val="auto"/>
        </w:rPr>
      </w:pPr>
    </w:p>
    <w:p>
      <w:pPr>
        <w:ind w:left="3280"/>
        <w:spacing w:after="0"/>
        <w:rPr>
          <w:sz w:val="20"/>
          <w:szCs w:val="20"/>
          <w:color w:val="auto"/>
        </w:rPr>
      </w:pPr>
      <w:r>
        <w:rPr>
          <w:rFonts w:ascii="Arial" w:cs="Arial" w:eastAsia="Arial" w:hAnsi="Arial"/>
          <w:sz w:val="35"/>
          <w:szCs w:val="35"/>
          <w:b w:val="1"/>
          <w:bCs w:val="1"/>
          <w:color w:val="auto"/>
        </w:rPr>
        <w:t xml:space="preserve">Q1 Financial Highlights </w:t>
      </w:r>
      <w:r>
        <w:rPr>
          <w:rFonts w:ascii="Arial" w:cs="Arial" w:eastAsia="Arial" w:hAnsi="Arial"/>
          <w:sz w:val="29"/>
          <w:szCs w:val="29"/>
          <w:b w:val="1"/>
          <w:bCs w:val="1"/>
          <w:color w:val="C8504F"/>
          <w:vertAlign w:val="superscript"/>
        </w:rPr>
        <w:t>(1)</w:t>
      </w:r>
    </w:p>
    <w:p>
      <w:pPr>
        <w:spacing w:after="0" w:line="272" w:lineRule="exact"/>
        <w:rPr>
          <w:sz w:val="20"/>
          <w:szCs w:val="20"/>
          <w:color w:val="auto"/>
        </w:rPr>
      </w:pPr>
    </w:p>
    <w:tbl>
      <w:tblPr>
        <w:tblLayout w:type="fixed"/>
        <w:tblInd w:w="1680" w:type="dxa"/>
        <w:tblCellMar>
          <w:top w:w="0" w:type="dxa"/>
          <w:left w:w="0" w:type="dxa"/>
          <w:bottom w:w="0" w:type="dxa"/>
          <w:right w:w="0" w:type="dxa"/>
        </w:tblCellMar>
      </w:tblPr>
      <w:tr>
        <w:trPr>
          <w:trHeight w:val="387"/>
        </w:trPr>
        <w:tc>
          <w:tcPr>
            <w:tcW w:w="1500" w:type="dxa"/>
            <w:vAlign w:val="bottom"/>
          </w:tcPr>
          <w:p>
            <w:pPr>
              <w:ind w:left="420"/>
              <w:spacing w:after="0"/>
              <w:rPr>
                <w:sz w:val="20"/>
                <w:szCs w:val="20"/>
                <w:color w:val="auto"/>
              </w:rPr>
            </w:pPr>
            <w:r>
              <w:rPr>
                <w:rFonts w:ascii="Arial" w:cs="Arial" w:eastAsia="Arial" w:hAnsi="Arial"/>
                <w:sz w:val="32"/>
                <w:szCs w:val="32"/>
                <w:color w:val="auto"/>
              </w:rPr>
              <w:t>24%</w:t>
            </w:r>
          </w:p>
        </w:tc>
        <w:tc>
          <w:tcPr>
            <w:tcW w:w="3240" w:type="dxa"/>
            <w:vAlign w:val="bottom"/>
            <w:vMerge w:val="restart"/>
          </w:tcPr>
          <w:p>
            <w:pPr>
              <w:ind w:left="200"/>
              <w:spacing w:after="0"/>
              <w:rPr>
                <w:sz w:val="20"/>
                <w:szCs w:val="20"/>
                <w:color w:val="auto"/>
              </w:rPr>
            </w:pPr>
            <w:r>
              <w:rPr>
                <w:rFonts w:ascii="Arial" w:cs="Arial" w:eastAsia="Arial" w:hAnsi="Arial"/>
                <w:sz w:val="35"/>
                <w:szCs w:val="35"/>
                <w:b w:val="1"/>
                <w:bCs w:val="1"/>
                <w:color w:val="auto"/>
              </w:rPr>
              <w:t xml:space="preserve">Revenue </w:t>
            </w:r>
            <w:r>
              <w:rPr>
                <w:rFonts w:ascii="Arial" w:cs="Arial" w:eastAsia="Arial" w:hAnsi="Arial"/>
                <w:sz w:val="37"/>
                <w:szCs w:val="37"/>
                <w:b w:val="1"/>
                <w:bCs w:val="1"/>
                <w:color w:val="C8504F"/>
              </w:rPr>
              <w:t>$737M</w:t>
            </w:r>
          </w:p>
        </w:tc>
        <w:tc>
          <w:tcPr>
            <w:tcW w:w="0" w:type="dxa"/>
            <w:vAlign w:val="bottom"/>
          </w:tcPr>
          <w:p>
            <w:pPr>
              <w:spacing w:after="0"/>
              <w:rPr>
                <w:sz w:val="1"/>
                <w:szCs w:val="1"/>
                <w:color w:val="auto"/>
              </w:rPr>
            </w:pPr>
          </w:p>
        </w:tc>
      </w:tr>
      <w:tr>
        <w:trPr>
          <w:trHeight w:val="207"/>
        </w:trPr>
        <w:tc>
          <w:tcPr>
            <w:tcW w:w="1500" w:type="dxa"/>
            <w:vAlign w:val="bottom"/>
            <w:vMerge w:val="restart"/>
          </w:tcPr>
          <w:p>
            <w:pPr>
              <w:jc w:val="center"/>
              <w:ind w:right="154"/>
              <w:spacing w:after="0"/>
              <w:rPr>
                <w:sz w:val="20"/>
                <w:szCs w:val="20"/>
                <w:color w:val="auto"/>
              </w:rPr>
            </w:pPr>
            <w:r>
              <w:rPr>
                <w:rFonts w:ascii="Arial" w:cs="Arial" w:eastAsia="Arial" w:hAnsi="Arial"/>
                <w:sz w:val="32"/>
                <w:szCs w:val="32"/>
                <w:color w:val="auto"/>
              </w:rPr>
              <w:t>20% CC</w:t>
            </w:r>
          </w:p>
        </w:tc>
        <w:tc>
          <w:tcPr>
            <w:tcW w:w="3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00" w:type="dxa"/>
            <w:vAlign w:val="bottom"/>
            <w:vMerge w:val="continue"/>
          </w:tcPr>
          <w:p>
            <w:pPr>
              <w:spacing w:after="0"/>
              <w:rPr>
                <w:sz w:val="16"/>
                <w:szCs w:val="16"/>
                <w:color w:val="auto"/>
              </w:rPr>
            </w:pP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3"/>
        </w:trPr>
        <w:tc>
          <w:tcPr>
            <w:tcW w:w="1500" w:type="dxa"/>
            <w:vAlign w:val="bottom"/>
          </w:tcPr>
          <w:p>
            <w:pPr>
              <w:ind w:left="480"/>
              <w:spacing w:after="0"/>
              <w:rPr>
                <w:sz w:val="20"/>
                <w:szCs w:val="20"/>
                <w:color w:val="auto"/>
              </w:rPr>
            </w:pPr>
            <w:r>
              <w:rPr>
                <w:rFonts w:ascii="Arial" w:cs="Arial" w:eastAsia="Arial" w:hAnsi="Arial"/>
                <w:sz w:val="32"/>
                <w:szCs w:val="32"/>
                <w:color w:val="auto"/>
              </w:rPr>
              <w:t>N/A</w:t>
            </w:r>
          </w:p>
        </w:tc>
        <w:tc>
          <w:tcPr>
            <w:tcW w:w="3240" w:type="dxa"/>
            <w:vAlign w:val="bottom"/>
            <w:vMerge w:val="restart"/>
          </w:tcPr>
          <w:p>
            <w:pPr>
              <w:ind w:left="240"/>
              <w:spacing w:after="0"/>
              <w:rPr>
                <w:sz w:val="20"/>
                <w:szCs w:val="20"/>
                <w:color w:val="auto"/>
              </w:rPr>
            </w:pPr>
            <w:r>
              <w:rPr>
                <w:rFonts w:ascii="Arial" w:cs="Arial" w:eastAsia="Arial" w:hAnsi="Arial"/>
                <w:sz w:val="35"/>
                <w:szCs w:val="35"/>
                <w:b w:val="1"/>
                <w:bCs w:val="1"/>
                <w:color w:val="auto"/>
              </w:rPr>
              <w:t xml:space="preserve">OUP  </w:t>
            </w:r>
            <w:r>
              <w:rPr>
                <w:rFonts w:ascii="Arial" w:cs="Arial" w:eastAsia="Arial" w:hAnsi="Arial"/>
                <w:sz w:val="37"/>
                <w:szCs w:val="37"/>
                <w:b w:val="1"/>
                <w:bCs w:val="1"/>
                <w:color w:val="C8504F"/>
              </w:rPr>
              <w:t>$1M</w:t>
            </w:r>
          </w:p>
        </w:tc>
        <w:tc>
          <w:tcPr>
            <w:tcW w:w="0" w:type="dxa"/>
            <w:vAlign w:val="bottom"/>
          </w:tcPr>
          <w:p>
            <w:pPr>
              <w:spacing w:after="0"/>
              <w:rPr>
                <w:sz w:val="1"/>
                <w:szCs w:val="1"/>
                <w:color w:val="auto"/>
              </w:rPr>
            </w:pPr>
          </w:p>
        </w:tc>
      </w:tr>
      <w:tr>
        <w:trPr>
          <w:trHeight w:val="207"/>
        </w:trPr>
        <w:tc>
          <w:tcPr>
            <w:tcW w:w="1500" w:type="dxa"/>
            <w:vAlign w:val="bottom"/>
            <w:vMerge w:val="restart"/>
          </w:tcPr>
          <w:p>
            <w:pPr>
              <w:ind w:left="460"/>
              <w:spacing w:after="0"/>
              <w:rPr>
                <w:sz w:val="20"/>
                <w:szCs w:val="20"/>
                <w:color w:val="auto"/>
              </w:rPr>
            </w:pPr>
            <w:r>
              <w:rPr>
                <w:rFonts w:ascii="Arial" w:cs="Arial" w:eastAsia="Arial" w:hAnsi="Arial"/>
                <w:sz w:val="32"/>
                <w:szCs w:val="32"/>
                <w:color w:val="auto"/>
              </w:rPr>
              <w:t>N/A</w:t>
            </w:r>
          </w:p>
        </w:tc>
        <w:tc>
          <w:tcPr>
            <w:tcW w:w="3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500" w:type="dxa"/>
            <w:vAlign w:val="bottom"/>
            <w:vMerge w:val="continue"/>
          </w:tcPr>
          <w:p>
            <w:pPr>
              <w:spacing w:after="0"/>
              <w:rPr>
                <w:sz w:val="17"/>
                <w:szCs w:val="17"/>
                <w:color w:val="auto"/>
              </w:rPr>
            </w:pPr>
          </w:p>
        </w:tc>
        <w:tc>
          <w:tcPr>
            <w:tcW w:w="3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7"/>
        </w:trPr>
        <w:tc>
          <w:tcPr>
            <w:tcW w:w="1500" w:type="dxa"/>
            <w:vAlign w:val="bottom"/>
          </w:tcPr>
          <w:p>
            <w:pPr>
              <w:jc w:val="right"/>
              <w:ind w:right="34"/>
              <w:spacing w:after="0"/>
              <w:rPr>
                <w:sz w:val="20"/>
                <w:szCs w:val="20"/>
                <w:color w:val="auto"/>
              </w:rPr>
            </w:pPr>
            <w:r>
              <w:rPr>
                <w:rFonts w:ascii="Arial" w:cs="Arial" w:eastAsia="Arial" w:hAnsi="Arial"/>
                <w:sz w:val="15"/>
                <w:szCs w:val="15"/>
                <w:b w:val="1"/>
                <w:bCs w:val="1"/>
                <w:color w:val="C8504F"/>
              </w:rPr>
              <w:t>(2)</w:t>
            </w:r>
          </w:p>
        </w:tc>
        <w:tc>
          <w:tcPr>
            <w:tcW w:w="3240" w:type="dxa"/>
            <w:vAlign w:val="bottom"/>
            <w:vMerge w:val="restart"/>
          </w:tcPr>
          <w:p>
            <w:pPr>
              <w:ind w:left="220"/>
              <w:spacing w:after="0"/>
              <w:rPr>
                <w:sz w:val="20"/>
                <w:szCs w:val="20"/>
                <w:color w:val="auto"/>
              </w:rPr>
            </w:pPr>
            <w:r>
              <w:rPr>
                <w:rFonts w:ascii="Arial" w:cs="Arial" w:eastAsia="Arial" w:hAnsi="Arial"/>
                <w:sz w:val="35"/>
                <w:szCs w:val="35"/>
                <w:b w:val="1"/>
                <w:bCs w:val="1"/>
                <w:color w:val="auto"/>
              </w:rPr>
              <w:t xml:space="preserve">OUP Margin </w:t>
            </w:r>
            <w:r>
              <w:rPr>
                <w:rFonts w:ascii="Arial" w:cs="Arial" w:eastAsia="Arial" w:hAnsi="Arial"/>
                <w:sz w:val="37"/>
                <w:szCs w:val="37"/>
                <w:b w:val="1"/>
                <w:bCs w:val="1"/>
                <w:color w:val="C8504F"/>
              </w:rPr>
              <w:t>0.2%</w:t>
            </w:r>
          </w:p>
        </w:tc>
        <w:tc>
          <w:tcPr>
            <w:tcW w:w="0" w:type="dxa"/>
            <w:vAlign w:val="bottom"/>
          </w:tcPr>
          <w:p>
            <w:pPr>
              <w:spacing w:after="0"/>
              <w:rPr>
                <w:sz w:val="1"/>
                <w:szCs w:val="1"/>
                <w:color w:val="auto"/>
              </w:rPr>
            </w:pPr>
          </w:p>
        </w:tc>
      </w:tr>
      <w:tr>
        <w:trPr>
          <w:trHeight w:val="394"/>
        </w:trPr>
        <w:tc>
          <w:tcPr>
            <w:tcW w:w="1500" w:type="dxa"/>
            <w:vAlign w:val="bottom"/>
          </w:tcPr>
          <w:p>
            <w:pPr>
              <w:jc w:val="center"/>
              <w:ind w:right="54"/>
              <w:spacing w:after="0"/>
              <w:rPr>
                <w:sz w:val="20"/>
                <w:szCs w:val="20"/>
                <w:color w:val="auto"/>
              </w:rPr>
            </w:pPr>
            <w:r>
              <w:rPr>
                <w:rFonts w:ascii="Arial" w:cs="Arial" w:eastAsia="Arial" w:hAnsi="Arial"/>
                <w:sz w:val="32"/>
                <w:szCs w:val="32"/>
                <w:color w:val="auto"/>
              </w:rPr>
              <w:t>180 bps</w:t>
            </w:r>
          </w:p>
        </w:tc>
        <w:tc>
          <w:tcPr>
            <w:tcW w:w="3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0" w:hanging="180"/>
        <w:spacing w:after="0"/>
        <w:tabs>
          <w:tab w:leader="none" w:pos="660" w:val="left"/>
        </w:tabs>
        <w:numPr>
          <w:ilvl w:val="0"/>
          <w:numId w:val="4"/>
        </w:numPr>
        <w:rPr>
          <w:rFonts w:ascii="Arial" w:cs="Arial" w:eastAsia="Arial" w:hAnsi="Arial"/>
          <w:sz w:val="22"/>
          <w:szCs w:val="22"/>
          <w:color w:val="auto"/>
          <w:vertAlign w:val="superscript"/>
        </w:rPr>
      </w:pPr>
      <w:r>
        <w:rPr>
          <w:rFonts w:ascii="Arial" w:cs="Arial" w:eastAsia="Arial" w:hAnsi="Arial"/>
          <w:sz w:val="15"/>
          <w:szCs w:val="15"/>
          <w:color w:val="auto"/>
        </w:rPr>
        <w:t>Included in these amounts is the US, which had revenue of $442M (+18%) and OUP loss of $8M.</w:t>
      </w:r>
    </w:p>
    <w:p>
      <w:pPr>
        <w:spacing w:after="0" w:line="101" w:lineRule="exact"/>
        <w:rPr>
          <w:rFonts w:ascii="Arial" w:cs="Arial" w:eastAsia="Arial" w:hAnsi="Arial"/>
          <w:sz w:val="22"/>
          <w:szCs w:val="22"/>
          <w:color w:val="auto"/>
          <w:vertAlign w:val="superscript"/>
        </w:rPr>
      </w:pPr>
    </w:p>
    <w:p>
      <w:pPr>
        <w:ind w:left="640" w:hanging="170"/>
        <w:spacing w:after="0"/>
        <w:tabs>
          <w:tab w:leader="none" w:pos="640" w:val="left"/>
        </w:tabs>
        <w:numPr>
          <w:ilvl w:val="0"/>
          <w:numId w:val="4"/>
        </w:numPr>
        <w:rPr>
          <w:rFonts w:ascii="Arial" w:cs="Arial" w:eastAsia="Arial" w:hAnsi="Arial"/>
          <w:sz w:val="20"/>
          <w:szCs w:val="20"/>
          <w:color w:val="auto"/>
          <w:vertAlign w:val="superscript"/>
        </w:rPr>
      </w:pPr>
      <w:r>
        <w:rPr>
          <w:rFonts w:ascii="Arial" w:cs="Arial" w:eastAsia="Arial" w:hAnsi="Arial"/>
          <w:sz w:val="15"/>
          <w:szCs w:val="15"/>
          <w:color w:val="auto"/>
        </w:rPr>
        <w:t>2009 includes reorganization charges totaling $0.9M.</w:t>
      </w:r>
    </w:p>
    <w:p>
      <w:pPr>
        <w:spacing w:after="0" w:line="94" w:lineRule="exact"/>
        <w:rPr>
          <w:sz w:val="20"/>
          <w:szCs w:val="20"/>
          <w:color w:val="auto"/>
        </w:rPr>
      </w:pPr>
    </w:p>
    <w:p>
      <w:pPr>
        <w:ind w:left="500" w:right="1179"/>
        <w:spacing w:after="0" w:line="247" w:lineRule="auto"/>
        <w:rPr>
          <w:sz w:val="20"/>
          <w:szCs w:val="20"/>
          <w:color w:val="auto"/>
        </w:rPr>
      </w:pPr>
      <w:r>
        <w:rPr>
          <w:rFonts w:ascii="Arial" w:cs="Arial" w:eastAsia="Arial" w:hAnsi="Arial"/>
          <w:sz w:val="19"/>
          <w:szCs w:val="19"/>
          <w:b w:val="1"/>
          <w:bCs w:val="1"/>
          <w:color w:val="auto"/>
        </w:rPr>
        <w:t>Operating Unit Profit (OUP) is the measure that we use to evaluate segment performance. OUP is equal to segment revenues less direct costs and branch and national headquarters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257810</wp:posOffset>
            </wp:positionV>
            <wp:extent cx="728789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019"/>
          </w:cols>
          <w:pgMar w:left="1440" w:top="372" w:right="1440" w:bottom="1440" w:gutter="0" w:footer="0" w:header="0"/>
        </w:sectPr>
      </w:pPr>
    </w:p>
    <w:bookmarkStart w:id="15" w:name="page16"/>
    <w:bookmarkEnd w:id="15"/>
    <w:p>
      <w:pPr>
        <w:jc w:val="right"/>
        <w:ind w:right="1380"/>
        <w:spacing w:after="0"/>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715010</wp:posOffset>
            </wp:positionH>
            <wp:positionV relativeFrom="page">
              <wp:posOffset>159385</wp:posOffset>
            </wp:positionV>
            <wp:extent cx="6131560" cy="45986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131560" cy="4598670"/>
                    </a:xfrm>
                    <a:prstGeom prst="rect">
                      <a:avLst/>
                    </a:prstGeom>
                    <a:noFill/>
                  </pic:spPr>
                </pic:pic>
              </a:graphicData>
            </a:graphic>
          </wp:anchor>
        </w:drawing>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640"/>
        <w:spacing w:after="0"/>
        <w:rPr>
          <w:sz w:val="20"/>
          <w:szCs w:val="20"/>
          <w:color w:val="auto"/>
        </w:rPr>
      </w:pPr>
      <w:r>
        <w:rPr>
          <w:rFonts w:ascii="Arial" w:cs="Arial" w:eastAsia="Arial" w:hAnsi="Arial"/>
          <w:sz w:val="40"/>
          <w:szCs w:val="40"/>
          <w:color w:val="6698C2"/>
        </w:rPr>
        <w:t>Americas - Q1 Revenue Growth YoY</w:t>
      </w:r>
    </w:p>
    <w:p>
      <w:pPr>
        <w:spacing w:after="0" w:line="102" w:lineRule="exact"/>
        <w:rPr>
          <w:sz w:val="20"/>
          <w:szCs w:val="20"/>
          <w:color w:val="auto"/>
        </w:rPr>
      </w:pPr>
    </w:p>
    <w:p>
      <w:pPr>
        <w:ind w:left="1680" w:right="8440"/>
        <w:spacing w:after="0" w:line="289" w:lineRule="auto"/>
        <w:tabs>
          <w:tab w:leader="none" w:pos="1915"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of Segment Revenue</w:t>
      </w:r>
    </w:p>
    <w:p>
      <w:pPr>
        <w:spacing w:after="0" w:line="58" w:lineRule="exact"/>
        <w:rPr>
          <w:sz w:val="20"/>
          <w:szCs w:val="20"/>
          <w:color w:val="auto"/>
        </w:rPr>
      </w:pPr>
    </w:p>
    <w:p>
      <w:pPr>
        <w:ind w:left="1860"/>
        <w:spacing w:after="0"/>
        <w:rPr>
          <w:sz w:val="20"/>
          <w:szCs w:val="20"/>
          <w:color w:val="auto"/>
        </w:rPr>
      </w:pPr>
      <w:r>
        <w:rPr>
          <w:rFonts w:ascii="Arial" w:cs="Arial" w:eastAsia="Arial" w:hAnsi="Arial"/>
          <w:sz w:val="24"/>
          <w:szCs w:val="24"/>
          <w:b w:val="1"/>
          <w:bCs w:val="1"/>
          <w:color w:val="D47C18"/>
        </w:rPr>
        <w:t>60%</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40"/>
        <w:spacing w:after="0"/>
        <w:rPr>
          <w:sz w:val="20"/>
          <w:szCs w:val="20"/>
          <w:color w:val="auto"/>
        </w:rPr>
      </w:pPr>
      <w:r>
        <w:rPr>
          <w:rFonts w:ascii="Arial" w:cs="Arial" w:eastAsia="Arial" w:hAnsi="Arial"/>
          <w:sz w:val="24"/>
          <w:szCs w:val="24"/>
          <w:b w:val="1"/>
          <w:bCs w:val="1"/>
          <w:color w:val="D47C18"/>
        </w:rPr>
        <w:t>14%</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900"/>
        <w:spacing w:after="0"/>
        <w:rPr>
          <w:sz w:val="20"/>
          <w:szCs w:val="20"/>
          <w:color w:val="auto"/>
        </w:rPr>
      </w:pPr>
      <w:r>
        <w:rPr>
          <w:rFonts w:ascii="Arial" w:cs="Arial" w:eastAsia="Arial" w:hAnsi="Arial"/>
          <w:sz w:val="24"/>
          <w:szCs w:val="24"/>
          <w:b w:val="1"/>
          <w:bCs w:val="1"/>
          <w:color w:val="D47C18"/>
        </w:rPr>
        <w:t>9%</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40"/>
        <w:spacing w:after="0"/>
        <w:rPr>
          <w:sz w:val="20"/>
          <w:szCs w:val="20"/>
          <w:color w:val="auto"/>
        </w:rPr>
      </w:pPr>
      <w:r>
        <w:rPr>
          <w:rFonts w:ascii="Arial" w:cs="Arial" w:eastAsia="Arial" w:hAnsi="Arial"/>
          <w:sz w:val="24"/>
          <w:szCs w:val="24"/>
          <w:b w:val="1"/>
          <w:bCs w:val="1"/>
          <w:color w:val="D47C18"/>
        </w:rPr>
        <w:t>17%</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00" w:type="dxa"/>
            <w:vAlign w:val="bottom"/>
          </w:tcPr>
          <w:p>
            <w:pPr>
              <w:jc w:val="center"/>
              <w:ind w:left="4046"/>
              <w:spacing w:after="0"/>
              <w:rPr>
                <w:sz w:val="20"/>
                <w:szCs w:val="20"/>
                <w:color w:val="auto"/>
              </w:rPr>
            </w:pPr>
            <w:r>
              <w:rPr>
                <w:rFonts w:ascii="Arial" w:cs="Arial" w:eastAsia="Arial" w:hAnsi="Arial"/>
                <w:sz w:val="19"/>
                <w:szCs w:val="19"/>
                <w:b w:val="1"/>
                <w:bCs w:val="1"/>
                <w:color w:val="auto"/>
              </w:rPr>
              <w:t>Revenue</w:t>
            </w:r>
          </w:p>
        </w:tc>
        <w:tc>
          <w:tcPr>
            <w:tcW w:w="5760" w:type="dxa"/>
            <w:vAlign w:val="bottom"/>
          </w:tcPr>
          <w:p>
            <w:pPr>
              <w:ind w:left="400"/>
              <w:spacing w:after="0"/>
              <w:rPr>
                <w:sz w:val="20"/>
                <w:szCs w:val="20"/>
                <w:color w:val="auto"/>
              </w:rPr>
            </w:pPr>
            <w:r>
              <w:rPr>
                <w:rFonts w:ascii="Arial" w:cs="Arial" w:eastAsia="Arial" w:hAnsi="Arial"/>
                <w:sz w:val="19"/>
                <w:szCs w:val="19"/>
                <w:b w:val="1"/>
                <w:bCs w:val="1"/>
                <w:color w:val="auto"/>
              </w:rPr>
              <w:t>Revenue Growth - CC</w:t>
            </w:r>
          </w:p>
        </w:tc>
      </w:tr>
      <w:tr>
        <w:trPr>
          <w:trHeight w:val="250"/>
        </w:trPr>
        <w:tc>
          <w:tcPr>
            <w:tcW w:w="5700" w:type="dxa"/>
            <w:vAlign w:val="bottom"/>
          </w:tcPr>
          <w:p>
            <w:pPr>
              <w:jc w:val="center"/>
              <w:ind w:left="4046"/>
              <w:spacing w:after="0"/>
              <w:rPr>
                <w:sz w:val="20"/>
                <w:szCs w:val="20"/>
                <w:color w:val="auto"/>
              </w:rPr>
            </w:pPr>
            <w:r>
              <w:rPr>
                <w:rFonts w:ascii="Arial" w:cs="Arial" w:eastAsia="Arial" w:hAnsi="Arial"/>
                <w:sz w:val="19"/>
                <w:szCs w:val="19"/>
                <w:b w:val="1"/>
                <w:bCs w:val="1"/>
                <w:color w:val="auto"/>
                <w:w w:val="96"/>
              </w:rPr>
              <w:t>Growth</w:t>
            </w:r>
          </w:p>
        </w:tc>
        <w:tc>
          <w:tcPr>
            <w:tcW w:w="5760" w:type="dxa"/>
            <w:vAlign w:val="bottom"/>
          </w:tcPr>
          <w:p>
            <w:pPr>
              <w:spacing w:after="0"/>
              <w:rPr>
                <w:sz w:val="21"/>
                <w:szCs w:val="21"/>
                <w:color w:val="auto"/>
              </w:rPr>
            </w:pPr>
          </w:p>
        </w:tc>
      </w:tr>
      <w:tr>
        <w:trPr>
          <w:trHeight w:val="915"/>
        </w:trPr>
        <w:tc>
          <w:tcPr>
            <w:tcW w:w="5700" w:type="dxa"/>
            <w:vAlign w:val="bottom"/>
            <w:tcBorders>
              <w:bottom w:val="single" w:sz="8" w:color="808080"/>
            </w:tcBorders>
          </w:tcPr>
          <w:p>
            <w:pPr>
              <w:spacing w:after="0"/>
              <w:rPr>
                <w:sz w:val="24"/>
                <w:szCs w:val="24"/>
                <w:color w:val="auto"/>
              </w:rPr>
            </w:pPr>
          </w:p>
        </w:tc>
        <w:tc>
          <w:tcPr>
            <w:tcW w:w="5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16" w:name="page17"/>
    <w:bookmarkEnd w:id="16"/>
    <w:p>
      <w:pPr>
        <w:jc w:val="right"/>
        <w:ind w:right="159"/>
        <w:spacing w:after="0"/>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715010</wp:posOffset>
            </wp:positionH>
            <wp:positionV relativeFrom="page">
              <wp:posOffset>159385</wp:posOffset>
            </wp:positionV>
            <wp:extent cx="6131560" cy="45986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131560" cy="4598670"/>
                    </a:xfrm>
                    <a:prstGeom prst="rect">
                      <a:avLst/>
                    </a:prstGeom>
                    <a:noFill/>
                  </pic:spPr>
                </pic:pic>
              </a:graphicData>
            </a:graphic>
          </wp:anchor>
        </w:drawing>
        <w:t>7</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0"/>
        <w:spacing w:after="0"/>
        <w:rPr>
          <w:sz w:val="20"/>
          <w:szCs w:val="20"/>
          <w:color w:val="auto"/>
        </w:rPr>
      </w:pPr>
      <w:r>
        <w:rPr>
          <w:rFonts w:ascii="Arial" w:cs="Arial" w:eastAsia="Arial" w:hAnsi="Arial"/>
          <w:sz w:val="40"/>
          <w:szCs w:val="40"/>
          <w:color w:val="6698C2"/>
        </w:rPr>
        <w:t>France Segment</w:t>
      </w:r>
    </w:p>
    <w:p>
      <w:pPr>
        <w:spacing w:after="0" w:line="5" w:lineRule="exact"/>
        <w:rPr>
          <w:sz w:val="20"/>
          <w:szCs w:val="20"/>
          <w:color w:val="auto"/>
        </w:rPr>
      </w:pPr>
    </w:p>
    <w:p>
      <w:pPr>
        <w:ind w:left="420"/>
        <w:spacing w:after="0"/>
        <w:rPr>
          <w:sz w:val="20"/>
          <w:szCs w:val="20"/>
          <w:color w:val="auto"/>
        </w:rPr>
      </w:pPr>
      <w:r>
        <w:rPr>
          <w:rFonts w:ascii="Arial" w:cs="Arial" w:eastAsia="Arial" w:hAnsi="Arial"/>
          <w:sz w:val="27"/>
          <w:szCs w:val="27"/>
          <w:color w:val="6698C2"/>
        </w:rPr>
        <w:t>(27% of Revenue)</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Arial" w:cs="Arial" w:eastAsia="Arial" w:hAnsi="Arial"/>
          <w:sz w:val="35"/>
          <w:szCs w:val="35"/>
          <w:b w:val="1"/>
          <w:bCs w:val="1"/>
          <w:color w:val="auto"/>
        </w:rPr>
        <w:t>Q1 Financial Highlights</w:t>
      </w:r>
    </w:p>
    <w:p>
      <w:pPr>
        <w:spacing w:after="0" w:line="259" w:lineRule="exact"/>
        <w:rPr>
          <w:sz w:val="20"/>
          <w:szCs w:val="20"/>
          <w:color w:val="auto"/>
        </w:rPr>
      </w:pPr>
    </w:p>
    <w:tbl>
      <w:tblPr>
        <w:tblLayout w:type="fixed"/>
        <w:tblInd w:w="2020" w:type="dxa"/>
        <w:tblCellMar>
          <w:top w:w="0" w:type="dxa"/>
          <w:left w:w="0" w:type="dxa"/>
          <w:bottom w:w="0" w:type="dxa"/>
          <w:right w:w="0" w:type="dxa"/>
        </w:tblCellMar>
      </w:tblPr>
      <w:tr>
        <w:trPr>
          <w:trHeight w:val="387"/>
        </w:trPr>
        <w:tc>
          <w:tcPr>
            <w:tcW w:w="1280" w:type="dxa"/>
            <w:vAlign w:val="bottom"/>
            <w:gridSpan w:val="2"/>
          </w:tcPr>
          <w:p>
            <w:pPr>
              <w:jc w:val="center"/>
              <w:ind w:right="486"/>
              <w:spacing w:after="0"/>
              <w:rPr>
                <w:sz w:val="20"/>
                <w:szCs w:val="20"/>
                <w:color w:val="auto"/>
              </w:rPr>
            </w:pPr>
            <w:r>
              <w:rPr>
                <w:rFonts w:ascii="Arial" w:cs="Arial" w:eastAsia="Arial" w:hAnsi="Arial"/>
                <w:sz w:val="32"/>
                <w:szCs w:val="32"/>
                <w:color w:val="auto"/>
                <w:w w:val="99"/>
              </w:rPr>
              <w:t>16%</w:t>
            </w:r>
          </w:p>
        </w:tc>
        <w:tc>
          <w:tcPr>
            <w:tcW w:w="3180" w:type="dxa"/>
            <w:vAlign w:val="bottom"/>
            <w:vMerge w:val="restart"/>
          </w:tcPr>
          <w:p>
            <w:pPr>
              <w:ind w:left="160"/>
              <w:spacing w:after="0"/>
              <w:rPr>
                <w:sz w:val="20"/>
                <w:szCs w:val="20"/>
                <w:color w:val="auto"/>
              </w:rPr>
            </w:pPr>
            <w:r>
              <w:rPr>
                <w:rFonts w:ascii="Arial" w:cs="Arial" w:eastAsia="Arial" w:hAnsi="Arial"/>
                <w:sz w:val="35"/>
                <w:szCs w:val="35"/>
                <w:b w:val="1"/>
                <w:bCs w:val="1"/>
                <w:color w:val="auto"/>
              </w:rPr>
              <w:t xml:space="preserve">Revenue </w:t>
            </w:r>
            <w:r>
              <w:rPr>
                <w:rFonts w:ascii="Arial" w:cs="Arial" w:eastAsia="Arial" w:hAnsi="Arial"/>
                <w:sz w:val="37"/>
                <w:szCs w:val="37"/>
                <w:b w:val="1"/>
                <w:bCs w:val="1"/>
                <w:color w:val="5F81AA"/>
              </w:rPr>
              <w:t>$1.1B</w:t>
            </w:r>
          </w:p>
        </w:tc>
        <w:tc>
          <w:tcPr>
            <w:tcW w:w="0" w:type="dxa"/>
            <w:vAlign w:val="bottom"/>
          </w:tcPr>
          <w:p>
            <w:pPr>
              <w:spacing w:after="0"/>
              <w:rPr>
                <w:sz w:val="1"/>
                <w:szCs w:val="1"/>
                <w:color w:val="auto"/>
              </w:rPr>
            </w:pPr>
          </w:p>
        </w:tc>
      </w:tr>
      <w:tr>
        <w:trPr>
          <w:trHeight w:val="217"/>
        </w:trPr>
        <w:tc>
          <w:tcPr>
            <w:tcW w:w="660" w:type="dxa"/>
            <w:vAlign w:val="bottom"/>
            <w:vMerge w:val="restart"/>
          </w:tcPr>
          <w:p>
            <w:pPr>
              <w:jc w:val="right"/>
              <w:spacing w:after="0"/>
              <w:rPr>
                <w:sz w:val="20"/>
                <w:szCs w:val="20"/>
                <w:color w:val="auto"/>
              </w:rPr>
            </w:pPr>
            <w:r>
              <w:rPr>
                <w:rFonts w:ascii="Arial" w:cs="Arial" w:eastAsia="Arial" w:hAnsi="Arial"/>
                <w:sz w:val="32"/>
                <w:szCs w:val="32"/>
                <w:color w:val="auto"/>
              </w:rPr>
              <w:t>9%</w:t>
            </w:r>
          </w:p>
        </w:tc>
        <w:tc>
          <w:tcPr>
            <w:tcW w:w="620" w:type="dxa"/>
            <w:vAlign w:val="bottom"/>
          </w:tcPr>
          <w:p>
            <w:pPr>
              <w:spacing w:after="0"/>
              <w:rPr>
                <w:sz w:val="18"/>
                <w:szCs w:val="18"/>
                <w:color w:val="auto"/>
              </w:rPr>
            </w:pPr>
          </w:p>
        </w:tc>
        <w:tc>
          <w:tcPr>
            <w:tcW w:w="3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6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1"/>
        </w:trPr>
        <w:tc>
          <w:tcPr>
            <w:tcW w:w="660" w:type="dxa"/>
            <w:vAlign w:val="bottom"/>
          </w:tcPr>
          <w:p>
            <w:pPr>
              <w:jc w:val="center"/>
              <w:spacing w:after="0" w:line="301" w:lineRule="exact"/>
              <w:rPr>
                <w:sz w:val="20"/>
                <w:szCs w:val="20"/>
                <w:color w:val="auto"/>
              </w:rPr>
            </w:pPr>
            <w:r>
              <w:rPr>
                <w:rFonts w:ascii="Arial" w:cs="Arial" w:eastAsia="Arial" w:hAnsi="Arial"/>
                <w:sz w:val="32"/>
                <w:szCs w:val="32"/>
                <w:color w:val="auto"/>
                <w:w w:val="99"/>
              </w:rPr>
              <w:t>CC</w:t>
            </w:r>
          </w:p>
        </w:tc>
        <w:tc>
          <w:tcPr>
            <w:tcW w:w="620" w:type="dxa"/>
            <w:vAlign w:val="bottom"/>
          </w:tcPr>
          <w:p>
            <w:pPr>
              <w:jc w:val="right"/>
              <w:ind w:right="346"/>
              <w:spacing w:after="0"/>
              <w:rPr>
                <w:sz w:val="20"/>
                <w:szCs w:val="20"/>
                <w:color w:val="auto"/>
              </w:rPr>
            </w:pPr>
            <w:r>
              <w:rPr>
                <w:rFonts w:ascii="Arial" w:cs="Arial" w:eastAsia="Arial" w:hAnsi="Arial"/>
                <w:sz w:val="15"/>
                <w:szCs w:val="15"/>
                <w:b w:val="1"/>
                <w:bCs w:val="1"/>
                <w:color w:val="5F81AA"/>
                <w:w w:val="97"/>
              </w:rPr>
              <w:t>(1)</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60" w:type="dxa"/>
            <w:vAlign w:val="bottom"/>
          </w:tcPr>
          <w:p>
            <w:pPr>
              <w:jc w:val="center"/>
              <w:spacing w:after="0" w:line="292" w:lineRule="exact"/>
              <w:rPr>
                <w:sz w:val="20"/>
                <w:szCs w:val="20"/>
                <w:color w:val="auto"/>
              </w:rPr>
            </w:pPr>
            <w:r>
              <w:rPr>
                <w:rFonts w:ascii="Arial" w:cs="Arial" w:eastAsia="Arial" w:hAnsi="Arial"/>
                <w:sz w:val="32"/>
                <w:szCs w:val="32"/>
                <w:color w:val="auto"/>
                <w:w w:val="99"/>
              </w:rPr>
              <w:t>84%</w:t>
            </w:r>
          </w:p>
        </w:tc>
        <w:tc>
          <w:tcPr>
            <w:tcW w:w="620" w:type="dxa"/>
            <w:vAlign w:val="bottom"/>
            <w:vMerge w:val="restart"/>
          </w:tcPr>
          <w:p>
            <w:pPr>
              <w:jc w:val="right"/>
              <w:ind w:right="106"/>
              <w:spacing w:after="0"/>
              <w:rPr>
                <w:sz w:val="20"/>
                <w:szCs w:val="20"/>
                <w:color w:val="auto"/>
              </w:rPr>
            </w:pPr>
            <w:r>
              <w:rPr>
                <w:rFonts w:ascii="Arial" w:cs="Arial" w:eastAsia="Arial" w:hAnsi="Arial"/>
                <w:sz w:val="15"/>
                <w:szCs w:val="15"/>
                <w:b w:val="1"/>
                <w:bCs w:val="1"/>
                <w:color w:val="5F81AA"/>
              </w:rPr>
              <w:t>(1)</w:t>
            </w:r>
          </w:p>
        </w:tc>
        <w:tc>
          <w:tcPr>
            <w:tcW w:w="3180" w:type="dxa"/>
            <w:vAlign w:val="bottom"/>
            <w:vMerge w:val="restart"/>
          </w:tcPr>
          <w:p>
            <w:pPr>
              <w:ind w:left="180"/>
              <w:spacing w:after="0"/>
              <w:rPr>
                <w:sz w:val="20"/>
                <w:szCs w:val="20"/>
                <w:color w:val="auto"/>
              </w:rPr>
            </w:pPr>
            <w:r>
              <w:rPr>
                <w:rFonts w:ascii="Arial" w:cs="Arial" w:eastAsia="Arial" w:hAnsi="Arial"/>
                <w:sz w:val="35"/>
                <w:szCs w:val="35"/>
                <w:b w:val="1"/>
                <w:bCs w:val="1"/>
                <w:color w:val="auto"/>
              </w:rPr>
              <w:t xml:space="preserve">OUP </w:t>
            </w:r>
            <w:r>
              <w:rPr>
                <w:rFonts w:ascii="Arial" w:cs="Arial" w:eastAsia="Arial" w:hAnsi="Arial"/>
                <w:sz w:val="37"/>
                <w:szCs w:val="37"/>
                <w:b w:val="1"/>
                <w:bCs w:val="1"/>
                <w:color w:val="5F81AA"/>
              </w:rPr>
              <w:t>$0M</w:t>
            </w:r>
          </w:p>
        </w:tc>
        <w:tc>
          <w:tcPr>
            <w:tcW w:w="0" w:type="dxa"/>
            <w:vAlign w:val="bottom"/>
          </w:tcPr>
          <w:p>
            <w:pPr>
              <w:spacing w:after="0"/>
              <w:rPr>
                <w:sz w:val="1"/>
                <w:szCs w:val="1"/>
                <w:color w:val="auto"/>
              </w:rPr>
            </w:pPr>
          </w:p>
        </w:tc>
      </w:tr>
      <w:tr>
        <w:trPr>
          <w:trHeight w:val="232"/>
        </w:trPr>
        <w:tc>
          <w:tcPr>
            <w:tcW w:w="660" w:type="dxa"/>
            <w:vAlign w:val="bottom"/>
            <w:vMerge w:val="restart"/>
          </w:tcPr>
          <w:p>
            <w:pPr>
              <w:jc w:val="right"/>
              <w:spacing w:after="0"/>
              <w:rPr>
                <w:sz w:val="20"/>
                <w:szCs w:val="20"/>
                <w:color w:val="auto"/>
              </w:rPr>
            </w:pPr>
            <w:r>
              <w:rPr>
                <w:rFonts w:ascii="Arial" w:cs="Arial" w:eastAsia="Arial" w:hAnsi="Arial"/>
                <w:sz w:val="32"/>
                <w:szCs w:val="32"/>
                <w:color w:val="auto"/>
                <w:w w:val="96"/>
              </w:rPr>
              <w:t>70%</w:t>
            </w:r>
          </w:p>
        </w:tc>
        <w:tc>
          <w:tcPr>
            <w:tcW w:w="620" w:type="dxa"/>
            <w:vAlign w:val="bottom"/>
            <w:vMerge w:val="continue"/>
          </w:tcPr>
          <w:p>
            <w:pPr>
              <w:spacing w:after="0"/>
              <w:rPr>
                <w:sz w:val="20"/>
                <w:szCs w:val="20"/>
                <w:color w:val="auto"/>
              </w:rPr>
            </w:pPr>
          </w:p>
        </w:tc>
        <w:tc>
          <w:tcPr>
            <w:tcW w:w="3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66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2"/>
        </w:trPr>
        <w:tc>
          <w:tcPr>
            <w:tcW w:w="660" w:type="dxa"/>
            <w:vAlign w:val="bottom"/>
          </w:tcPr>
          <w:p>
            <w:pPr>
              <w:jc w:val="center"/>
              <w:spacing w:after="0"/>
              <w:rPr>
                <w:sz w:val="20"/>
                <w:szCs w:val="20"/>
                <w:color w:val="auto"/>
              </w:rPr>
            </w:pPr>
            <w:r>
              <w:rPr>
                <w:rFonts w:ascii="Arial" w:cs="Arial" w:eastAsia="Arial" w:hAnsi="Arial"/>
                <w:sz w:val="32"/>
                <w:szCs w:val="32"/>
                <w:color w:val="auto"/>
                <w:w w:val="99"/>
              </w:rPr>
              <w:t>CC</w:t>
            </w:r>
          </w:p>
        </w:tc>
        <w:tc>
          <w:tcPr>
            <w:tcW w:w="620" w:type="dxa"/>
            <w:vAlign w:val="bottom"/>
            <w:vMerge w:val="restart"/>
          </w:tcPr>
          <w:p>
            <w:pPr>
              <w:jc w:val="right"/>
              <w:ind w:right="266"/>
              <w:spacing w:after="0"/>
              <w:rPr>
                <w:sz w:val="20"/>
                <w:szCs w:val="20"/>
                <w:color w:val="auto"/>
              </w:rPr>
            </w:pPr>
            <w:r>
              <w:rPr>
                <w:rFonts w:ascii="Arial" w:cs="Arial" w:eastAsia="Arial" w:hAnsi="Arial"/>
                <w:sz w:val="15"/>
                <w:szCs w:val="15"/>
                <w:b w:val="1"/>
                <w:bCs w:val="1"/>
                <w:color w:val="5F81AA"/>
              </w:rPr>
              <w:t>(1)</w:t>
            </w:r>
          </w:p>
        </w:tc>
        <w:tc>
          <w:tcPr>
            <w:tcW w:w="3180" w:type="dxa"/>
            <w:vAlign w:val="bottom"/>
            <w:vMerge w:val="restart"/>
          </w:tcPr>
          <w:p>
            <w:pPr>
              <w:ind w:left="160"/>
              <w:spacing w:after="0"/>
              <w:rPr>
                <w:sz w:val="20"/>
                <w:szCs w:val="20"/>
                <w:color w:val="auto"/>
              </w:rPr>
            </w:pPr>
            <w:r>
              <w:rPr>
                <w:rFonts w:ascii="Arial" w:cs="Arial" w:eastAsia="Arial" w:hAnsi="Arial"/>
                <w:sz w:val="35"/>
                <w:szCs w:val="35"/>
                <w:b w:val="1"/>
                <w:bCs w:val="1"/>
                <w:color w:val="auto"/>
              </w:rPr>
              <w:t xml:space="preserve">OUP Margin </w:t>
            </w:r>
            <w:r>
              <w:rPr>
                <w:rFonts w:ascii="Arial" w:cs="Arial" w:eastAsia="Arial" w:hAnsi="Arial"/>
                <w:sz w:val="37"/>
                <w:szCs w:val="37"/>
                <w:b w:val="1"/>
                <w:bCs w:val="1"/>
                <w:color w:val="5F81AA"/>
              </w:rPr>
              <w:t>0.0%</w:t>
            </w:r>
          </w:p>
        </w:tc>
        <w:tc>
          <w:tcPr>
            <w:tcW w:w="0" w:type="dxa"/>
            <w:vAlign w:val="bottom"/>
          </w:tcPr>
          <w:p>
            <w:pPr>
              <w:spacing w:after="0"/>
              <w:rPr>
                <w:sz w:val="1"/>
                <w:szCs w:val="1"/>
                <w:color w:val="auto"/>
              </w:rPr>
            </w:pPr>
          </w:p>
        </w:tc>
      </w:tr>
      <w:tr>
        <w:trPr>
          <w:trHeight w:val="382"/>
        </w:trPr>
        <w:tc>
          <w:tcPr>
            <w:tcW w:w="660" w:type="dxa"/>
            <w:vAlign w:val="bottom"/>
          </w:tcPr>
          <w:p>
            <w:pPr>
              <w:jc w:val="center"/>
              <w:spacing w:after="0"/>
              <w:rPr>
                <w:sz w:val="20"/>
                <w:szCs w:val="20"/>
                <w:color w:val="auto"/>
              </w:rPr>
            </w:pPr>
            <w:r>
              <w:rPr>
                <w:rFonts w:ascii="Arial" w:cs="Arial" w:eastAsia="Arial" w:hAnsi="Arial"/>
                <w:sz w:val="32"/>
                <w:szCs w:val="32"/>
                <w:color w:val="auto"/>
              </w:rPr>
              <w:t>10</w:t>
            </w:r>
          </w:p>
        </w:tc>
        <w:tc>
          <w:tcPr>
            <w:tcW w:w="620" w:type="dxa"/>
            <w:vAlign w:val="bottom"/>
            <w:vMerge w:val="continue"/>
          </w:tcPr>
          <w:p>
            <w:pPr>
              <w:spacing w:after="0"/>
              <w:rPr>
                <w:sz w:val="24"/>
                <w:szCs w:val="24"/>
                <w:color w:val="auto"/>
              </w:rPr>
            </w:pPr>
          </w:p>
        </w:tc>
        <w:tc>
          <w:tcPr>
            <w:tcW w:w="3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ind w:left="2080"/>
        <w:spacing w:after="0"/>
        <w:rPr>
          <w:sz w:val="20"/>
          <w:szCs w:val="20"/>
          <w:color w:val="auto"/>
        </w:rPr>
      </w:pPr>
      <w:r>
        <w:rPr>
          <w:rFonts w:ascii="Arial" w:cs="Arial" w:eastAsia="Arial" w:hAnsi="Arial"/>
          <w:sz w:val="32"/>
          <w:szCs w:val="32"/>
          <w:color w:val="auto"/>
        </w:rPr>
        <w:t>bps</w:t>
      </w:r>
    </w:p>
    <w:p>
      <w:pPr>
        <w:spacing w:after="0" w:line="345" w:lineRule="exact"/>
        <w:rPr>
          <w:sz w:val="20"/>
          <w:szCs w:val="20"/>
          <w:color w:val="auto"/>
        </w:rPr>
      </w:pPr>
    </w:p>
    <w:p>
      <w:pPr>
        <w:ind w:left="600" w:hanging="170"/>
        <w:spacing w:after="0"/>
        <w:tabs>
          <w:tab w:leader="none" w:pos="600" w:val="left"/>
        </w:tabs>
        <w:numPr>
          <w:ilvl w:val="0"/>
          <w:numId w:val="6"/>
        </w:numPr>
        <w:rPr>
          <w:rFonts w:ascii="Arial" w:cs="Arial" w:eastAsia="Arial" w:hAnsi="Arial"/>
          <w:sz w:val="20"/>
          <w:szCs w:val="20"/>
          <w:b w:val="1"/>
          <w:bCs w:val="1"/>
          <w:color w:val="auto"/>
          <w:vertAlign w:val="superscript"/>
        </w:rPr>
      </w:pPr>
      <w:r>
        <w:rPr>
          <w:rFonts w:ascii="Arial" w:cs="Arial" w:eastAsia="Arial" w:hAnsi="Arial"/>
          <w:sz w:val="15"/>
          <w:szCs w:val="15"/>
          <w:color w:val="auto"/>
        </w:rPr>
        <w:t>2009 includes non-recurring items, including reorganization charges, totaling a net benefit of $3.2M.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758190</wp:posOffset>
            </wp:positionV>
            <wp:extent cx="728789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019"/>
          </w:cols>
          <w:pgMar w:left="1440" w:top="372" w:right="1440" w:bottom="1440" w:gutter="0" w:footer="0" w:header="0"/>
        </w:sectPr>
      </w:pPr>
    </w:p>
    <w:bookmarkStart w:id="17" w:name="page18"/>
    <w:bookmarkEnd w:id="17"/>
    <w:p>
      <w:pPr>
        <w:jc w:val="right"/>
        <w:ind w:right="159"/>
        <w:spacing w:after="0"/>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715010</wp:posOffset>
            </wp:positionH>
            <wp:positionV relativeFrom="page">
              <wp:posOffset>159385</wp:posOffset>
            </wp:positionV>
            <wp:extent cx="6131560" cy="45986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131560" cy="4598670"/>
                    </a:xfrm>
                    <a:prstGeom prst="rect">
                      <a:avLst/>
                    </a:prstGeom>
                    <a:noFill/>
                  </pic:spPr>
                </pic:pic>
              </a:graphicData>
            </a:graphic>
          </wp:anchor>
        </w:drawing>
        <w:t>8</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0"/>
        <w:spacing w:after="0"/>
        <w:rPr>
          <w:sz w:val="20"/>
          <w:szCs w:val="20"/>
          <w:color w:val="auto"/>
        </w:rPr>
      </w:pPr>
      <w:r>
        <w:rPr>
          <w:rFonts w:ascii="Arial" w:cs="Arial" w:eastAsia="Arial" w:hAnsi="Arial"/>
          <w:sz w:val="40"/>
          <w:szCs w:val="40"/>
          <w:color w:val="6698C2"/>
        </w:rPr>
        <w:t>EMEA Segment</w:t>
      </w:r>
    </w:p>
    <w:p>
      <w:pPr>
        <w:spacing w:after="0" w:line="5" w:lineRule="exact"/>
        <w:rPr>
          <w:sz w:val="20"/>
          <w:szCs w:val="20"/>
          <w:color w:val="auto"/>
        </w:rPr>
      </w:pPr>
    </w:p>
    <w:p>
      <w:pPr>
        <w:ind w:left="420"/>
        <w:spacing w:after="0"/>
        <w:rPr>
          <w:sz w:val="20"/>
          <w:szCs w:val="20"/>
          <w:color w:val="auto"/>
        </w:rPr>
      </w:pPr>
      <w:r>
        <w:rPr>
          <w:rFonts w:ascii="Arial" w:cs="Arial" w:eastAsia="Arial" w:hAnsi="Arial"/>
          <w:sz w:val="27"/>
          <w:szCs w:val="27"/>
          <w:color w:val="6698C2"/>
        </w:rPr>
        <w:t>(39% of Revenue)</w:t>
      </w:r>
    </w:p>
    <w:p>
      <w:pPr>
        <w:spacing w:after="0" w:line="183" w:lineRule="exact"/>
        <w:rPr>
          <w:sz w:val="20"/>
          <w:szCs w:val="20"/>
          <w:color w:val="auto"/>
        </w:rPr>
      </w:pPr>
    </w:p>
    <w:p>
      <w:pPr>
        <w:ind w:left="3280"/>
        <w:spacing w:after="0"/>
        <w:rPr>
          <w:sz w:val="20"/>
          <w:szCs w:val="20"/>
          <w:color w:val="auto"/>
        </w:rPr>
      </w:pPr>
      <w:r>
        <w:rPr>
          <w:rFonts w:ascii="Arial" w:cs="Arial" w:eastAsia="Arial" w:hAnsi="Arial"/>
          <w:sz w:val="35"/>
          <w:szCs w:val="35"/>
          <w:b w:val="1"/>
          <w:bCs w:val="1"/>
          <w:color w:val="auto"/>
        </w:rPr>
        <w:t xml:space="preserve">Q1 Financial Highlights </w:t>
      </w:r>
      <w:r>
        <w:rPr>
          <w:rFonts w:ascii="Arial" w:cs="Arial" w:eastAsia="Arial" w:hAnsi="Arial"/>
          <w:sz w:val="29"/>
          <w:szCs w:val="29"/>
          <w:b w:val="1"/>
          <w:bCs w:val="1"/>
          <w:color w:val="6698C2"/>
          <w:vertAlign w:val="superscript"/>
        </w:rPr>
        <w:t>(1) (2)</w:t>
      </w:r>
    </w:p>
    <w:p>
      <w:pPr>
        <w:spacing w:after="0" w:line="303" w:lineRule="exact"/>
        <w:rPr>
          <w:sz w:val="20"/>
          <w:szCs w:val="20"/>
          <w:color w:val="auto"/>
        </w:rPr>
      </w:pPr>
    </w:p>
    <w:tbl>
      <w:tblPr>
        <w:tblLayout w:type="fixed"/>
        <w:tblInd w:w="1820" w:type="dxa"/>
        <w:tblCellMar>
          <w:top w:w="0" w:type="dxa"/>
          <w:left w:w="0" w:type="dxa"/>
          <w:bottom w:w="0" w:type="dxa"/>
          <w:right w:w="0" w:type="dxa"/>
        </w:tblCellMar>
      </w:tblPr>
      <w:tr>
        <w:trPr>
          <w:trHeight w:val="387"/>
        </w:trPr>
        <w:tc>
          <w:tcPr>
            <w:tcW w:w="1300" w:type="dxa"/>
            <w:vAlign w:val="bottom"/>
          </w:tcPr>
          <w:p>
            <w:pPr>
              <w:jc w:val="center"/>
              <w:ind w:right="179"/>
              <w:spacing w:after="0"/>
              <w:rPr>
                <w:sz w:val="20"/>
                <w:szCs w:val="20"/>
                <w:color w:val="auto"/>
              </w:rPr>
            </w:pPr>
            <w:r>
              <w:rPr>
                <w:rFonts w:ascii="Arial" w:cs="Arial" w:eastAsia="Arial" w:hAnsi="Arial"/>
                <w:sz w:val="32"/>
                <w:szCs w:val="32"/>
                <w:color w:val="auto"/>
              </w:rPr>
              <w:t>9%</w:t>
            </w:r>
          </w:p>
        </w:tc>
        <w:tc>
          <w:tcPr>
            <w:tcW w:w="1820" w:type="dxa"/>
            <w:vAlign w:val="bottom"/>
            <w:vMerge w:val="restart"/>
          </w:tcPr>
          <w:p>
            <w:pPr>
              <w:ind w:left="260"/>
              <w:spacing w:after="0"/>
              <w:rPr>
                <w:sz w:val="20"/>
                <w:szCs w:val="20"/>
                <w:color w:val="auto"/>
              </w:rPr>
            </w:pPr>
            <w:r>
              <w:rPr>
                <w:rFonts w:ascii="Arial" w:cs="Arial" w:eastAsia="Arial" w:hAnsi="Arial"/>
                <w:sz w:val="35"/>
                <w:szCs w:val="35"/>
                <w:b w:val="1"/>
                <w:bCs w:val="1"/>
                <w:color w:val="auto"/>
              </w:rPr>
              <w:t>Revenue</w:t>
            </w:r>
          </w:p>
        </w:tc>
        <w:tc>
          <w:tcPr>
            <w:tcW w:w="1100" w:type="dxa"/>
            <w:vAlign w:val="bottom"/>
            <w:vMerge w:val="restart"/>
          </w:tcPr>
          <w:p>
            <w:pPr>
              <w:ind w:left="100"/>
              <w:spacing w:after="0"/>
              <w:rPr>
                <w:sz w:val="20"/>
                <w:szCs w:val="20"/>
                <w:color w:val="auto"/>
              </w:rPr>
            </w:pPr>
            <w:r>
              <w:rPr>
                <w:rFonts w:ascii="Arial" w:cs="Arial" w:eastAsia="Arial" w:hAnsi="Arial"/>
                <w:sz w:val="38"/>
                <w:szCs w:val="38"/>
                <w:b w:val="1"/>
                <w:bCs w:val="1"/>
                <w:color w:val="6698C2"/>
                <w:w w:val="96"/>
              </w:rPr>
              <w:t>$1.6B</w:t>
            </w:r>
          </w:p>
        </w:tc>
        <w:tc>
          <w:tcPr>
            <w:tcW w:w="0" w:type="dxa"/>
            <w:vAlign w:val="bottom"/>
          </w:tcPr>
          <w:p>
            <w:pPr>
              <w:spacing w:after="0"/>
              <w:rPr>
                <w:sz w:val="1"/>
                <w:szCs w:val="1"/>
                <w:color w:val="auto"/>
              </w:rPr>
            </w:pPr>
          </w:p>
        </w:tc>
      </w:tr>
      <w:tr>
        <w:trPr>
          <w:trHeight w:val="217"/>
        </w:trPr>
        <w:tc>
          <w:tcPr>
            <w:tcW w:w="1300" w:type="dxa"/>
            <w:vAlign w:val="bottom"/>
            <w:vMerge w:val="restart"/>
          </w:tcPr>
          <w:p>
            <w:pPr>
              <w:jc w:val="center"/>
              <w:ind w:right="119"/>
              <w:spacing w:after="0"/>
              <w:rPr>
                <w:sz w:val="20"/>
                <w:szCs w:val="20"/>
                <w:color w:val="auto"/>
              </w:rPr>
            </w:pPr>
            <w:r>
              <w:rPr>
                <w:rFonts w:ascii="Arial" w:cs="Arial" w:eastAsia="Arial" w:hAnsi="Arial"/>
                <w:sz w:val="32"/>
                <w:szCs w:val="32"/>
                <w:color w:val="auto"/>
              </w:rPr>
              <w:t>0% CC</w:t>
            </w:r>
          </w:p>
        </w:tc>
        <w:tc>
          <w:tcPr>
            <w:tcW w:w="182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300" w:type="dxa"/>
            <w:vAlign w:val="bottom"/>
            <w:vMerge w:val="continue"/>
          </w:tcPr>
          <w:p>
            <w:pPr>
              <w:spacing w:after="0"/>
              <w:rPr>
                <w:sz w:val="16"/>
                <w:szCs w:val="16"/>
                <w:color w:val="auto"/>
              </w:rPr>
            </w:pPr>
          </w:p>
        </w:tc>
        <w:tc>
          <w:tcPr>
            <w:tcW w:w="18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4"/>
        </w:trPr>
        <w:tc>
          <w:tcPr>
            <w:tcW w:w="1300" w:type="dxa"/>
            <w:vAlign w:val="bottom"/>
          </w:tcPr>
          <w:p>
            <w:pPr>
              <w:jc w:val="center"/>
              <w:ind w:right="199"/>
              <w:spacing w:after="0"/>
              <w:rPr>
                <w:sz w:val="20"/>
                <w:szCs w:val="20"/>
                <w:color w:val="auto"/>
              </w:rPr>
            </w:pPr>
            <w:r>
              <w:rPr>
                <w:rFonts w:ascii="Arial" w:cs="Arial" w:eastAsia="Arial" w:hAnsi="Arial"/>
                <w:sz w:val="32"/>
                <w:szCs w:val="32"/>
                <w:color w:val="auto"/>
              </w:rPr>
              <w:t>N/A</w:t>
            </w:r>
          </w:p>
        </w:tc>
        <w:tc>
          <w:tcPr>
            <w:tcW w:w="2920" w:type="dxa"/>
            <w:vAlign w:val="bottom"/>
            <w:gridSpan w:val="2"/>
            <w:vMerge w:val="restart"/>
          </w:tcPr>
          <w:p>
            <w:pPr>
              <w:ind w:left="300"/>
              <w:spacing w:after="0"/>
              <w:rPr>
                <w:sz w:val="20"/>
                <w:szCs w:val="20"/>
                <w:color w:val="auto"/>
              </w:rPr>
            </w:pPr>
            <w:r>
              <w:rPr>
                <w:rFonts w:ascii="Arial" w:cs="Arial" w:eastAsia="Arial" w:hAnsi="Arial"/>
                <w:sz w:val="35"/>
                <w:szCs w:val="35"/>
                <w:b w:val="1"/>
                <w:bCs w:val="1"/>
                <w:color w:val="auto"/>
              </w:rPr>
              <w:t xml:space="preserve">OUP </w:t>
            </w:r>
            <w:r>
              <w:rPr>
                <w:rFonts w:ascii="Arial" w:cs="Arial" w:eastAsia="Arial" w:hAnsi="Arial"/>
                <w:sz w:val="37"/>
                <w:szCs w:val="37"/>
                <w:b w:val="1"/>
                <w:bCs w:val="1"/>
                <w:color w:val="6698C2"/>
              </w:rPr>
              <w:t>$24M</w:t>
            </w:r>
          </w:p>
        </w:tc>
        <w:tc>
          <w:tcPr>
            <w:tcW w:w="0" w:type="dxa"/>
            <w:vAlign w:val="bottom"/>
          </w:tcPr>
          <w:p>
            <w:pPr>
              <w:spacing w:after="0"/>
              <w:rPr>
                <w:sz w:val="1"/>
                <w:szCs w:val="1"/>
                <w:color w:val="auto"/>
              </w:rPr>
            </w:pPr>
          </w:p>
        </w:tc>
      </w:tr>
      <w:tr>
        <w:trPr>
          <w:trHeight w:val="197"/>
        </w:trPr>
        <w:tc>
          <w:tcPr>
            <w:tcW w:w="1300" w:type="dxa"/>
            <w:vAlign w:val="bottom"/>
            <w:vMerge w:val="restart"/>
          </w:tcPr>
          <w:p>
            <w:pPr>
              <w:jc w:val="center"/>
              <w:ind w:right="159"/>
              <w:spacing w:after="0"/>
              <w:rPr>
                <w:sz w:val="20"/>
                <w:szCs w:val="20"/>
                <w:color w:val="auto"/>
              </w:rPr>
            </w:pPr>
            <w:r>
              <w:rPr>
                <w:rFonts w:ascii="Arial" w:cs="Arial" w:eastAsia="Arial" w:hAnsi="Arial"/>
                <w:sz w:val="32"/>
                <w:szCs w:val="32"/>
                <w:color w:val="auto"/>
              </w:rPr>
              <w:t>N/A</w:t>
            </w:r>
          </w:p>
        </w:tc>
        <w:tc>
          <w:tcPr>
            <w:tcW w:w="2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300" w:type="dxa"/>
            <w:vAlign w:val="bottom"/>
            <w:vMerge w:val="continue"/>
          </w:tcPr>
          <w:p>
            <w:pPr>
              <w:spacing w:after="0"/>
              <w:rPr>
                <w:sz w:val="16"/>
                <w:szCs w:val="16"/>
                <w:color w:val="auto"/>
              </w:rPr>
            </w:pPr>
          </w:p>
        </w:tc>
        <w:tc>
          <w:tcPr>
            <w:tcW w:w="18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1800"/>
        <w:spacing w:after="0"/>
        <w:tabs>
          <w:tab w:leader="none" w:pos="3380" w:val="left"/>
        </w:tabs>
        <w:rPr>
          <w:sz w:val="20"/>
          <w:szCs w:val="20"/>
          <w:color w:val="auto"/>
        </w:rPr>
      </w:pPr>
      <w:r>
        <w:rPr>
          <w:rFonts w:ascii="Arial" w:cs="Arial" w:eastAsia="Arial" w:hAnsi="Arial"/>
          <w:sz w:val="32"/>
          <w:szCs w:val="32"/>
          <w:color w:val="auto"/>
        </w:rPr>
        <w:t>160 bps</w:t>
      </w:r>
      <w:r>
        <w:rPr>
          <w:sz w:val="20"/>
          <w:szCs w:val="20"/>
          <w:color w:val="auto"/>
        </w:rPr>
        <w:tab/>
      </w:r>
      <w:r>
        <w:rPr>
          <w:rFonts w:ascii="Arial" w:cs="Arial" w:eastAsia="Arial" w:hAnsi="Arial"/>
          <w:sz w:val="35"/>
          <w:szCs w:val="35"/>
          <w:b w:val="1"/>
          <w:bCs w:val="1"/>
          <w:color w:val="auto"/>
        </w:rPr>
        <w:t xml:space="preserve">OUP Margin </w:t>
      </w:r>
      <w:r>
        <w:rPr>
          <w:rFonts w:ascii="Arial" w:cs="Arial" w:eastAsia="Arial" w:hAnsi="Arial"/>
          <w:sz w:val="37"/>
          <w:szCs w:val="37"/>
          <w:b w:val="1"/>
          <w:bCs w:val="1"/>
          <w:color w:val="6698C2"/>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40" w:right="1139" w:hanging="190"/>
        <w:spacing w:after="0" w:line="205" w:lineRule="auto"/>
        <w:tabs>
          <w:tab w:leader="none" w:pos="677" w:val="left"/>
        </w:tabs>
        <w:numPr>
          <w:ilvl w:val="0"/>
          <w:numId w:val="7"/>
        </w:numPr>
        <w:rPr>
          <w:rFonts w:ascii="Arial" w:cs="Arial" w:eastAsia="Arial" w:hAnsi="Arial"/>
          <w:sz w:val="23"/>
          <w:szCs w:val="23"/>
          <w:b w:val="1"/>
          <w:bCs w:val="1"/>
          <w:color w:val="auto"/>
          <w:vertAlign w:val="superscript"/>
        </w:rPr>
      </w:pPr>
      <w:r>
        <w:rPr>
          <w:rFonts w:ascii="Arial" w:cs="Arial" w:eastAsia="Arial" w:hAnsi="Arial"/>
          <w:sz w:val="16"/>
          <w:szCs w:val="16"/>
          <w:color w:val="auto"/>
        </w:rPr>
        <w:t>Included in these amounts is Italy, which had revenue of $234M (+6% in USD, 0% in CC) and OUP of $7M (+386% in USD, +363% in CC).</w:t>
      </w:r>
    </w:p>
    <w:p>
      <w:pPr>
        <w:spacing w:after="0" w:line="54" w:lineRule="exact"/>
        <w:rPr>
          <w:rFonts w:ascii="Arial" w:cs="Arial" w:eastAsia="Arial" w:hAnsi="Arial"/>
          <w:sz w:val="23"/>
          <w:szCs w:val="23"/>
          <w:b w:val="1"/>
          <w:bCs w:val="1"/>
          <w:color w:val="auto"/>
          <w:vertAlign w:val="superscript"/>
        </w:rPr>
      </w:pPr>
    </w:p>
    <w:p>
      <w:pPr>
        <w:ind w:left="620" w:hanging="160"/>
        <w:spacing w:after="0"/>
        <w:tabs>
          <w:tab w:leader="none" w:pos="620" w:val="left"/>
        </w:tabs>
        <w:numPr>
          <w:ilvl w:val="0"/>
          <w:numId w:val="7"/>
        </w:numPr>
        <w:rPr>
          <w:rFonts w:ascii="Arial" w:cs="Arial" w:eastAsia="Arial" w:hAnsi="Arial"/>
          <w:sz w:val="19"/>
          <w:szCs w:val="19"/>
          <w:b w:val="1"/>
          <w:bCs w:val="1"/>
          <w:color w:val="auto"/>
          <w:vertAlign w:val="superscript"/>
        </w:rPr>
      </w:pPr>
      <w:r>
        <w:rPr>
          <w:rFonts w:ascii="Arial" w:cs="Arial" w:eastAsia="Arial" w:hAnsi="Arial"/>
          <w:sz w:val="14"/>
          <w:szCs w:val="14"/>
          <w:color w:val="auto"/>
        </w:rPr>
        <w:t>2009 includes non-recurring items, including reorganization charges, totaling a net benefit of $1.7M.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547370</wp:posOffset>
            </wp:positionV>
            <wp:extent cx="728789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019"/>
          </w:cols>
          <w:pgMar w:left="1440" w:top="372" w:right="1440" w:bottom="1440" w:gutter="0" w:footer="0" w:header="0"/>
        </w:sectPr>
      </w:pPr>
    </w:p>
    <w:bookmarkStart w:id="18" w:name="page19"/>
    <w:bookmarkEnd w:id="18"/>
    <w:p>
      <w:pPr>
        <w:jc w:val="right"/>
        <w:ind w:right="1380"/>
        <w:spacing w:after="0"/>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715010</wp:posOffset>
            </wp:positionH>
            <wp:positionV relativeFrom="page">
              <wp:posOffset>159385</wp:posOffset>
            </wp:positionV>
            <wp:extent cx="6131560" cy="45986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131560" cy="4598670"/>
                    </a:xfrm>
                    <a:prstGeom prst="rect">
                      <a:avLst/>
                    </a:prstGeom>
                    <a:noFill/>
                  </pic:spPr>
                </pic:pic>
              </a:graphicData>
            </a:graphic>
          </wp:anchor>
        </w:drawing>
        <w:t>9</w:t>
      </w:r>
    </w:p>
    <w:p>
      <w:pPr>
        <w:spacing w:after="0" w:line="200" w:lineRule="exact"/>
        <w:rPr>
          <w:sz w:val="20"/>
          <w:szCs w:val="20"/>
          <w:color w:val="auto"/>
        </w:rPr>
      </w:pPr>
    </w:p>
    <w:p>
      <w:pPr>
        <w:spacing w:after="0" w:line="341" w:lineRule="exact"/>
        <w:rPr>
          <w:sz w:val="20"/>
          <w:szCs w:val="20"/>
          <w:color w:val="auto"/>
        </w:rPr>
      </w:pPr>
    </w:p>
    <w:p>
      <w:pPr>
        <w:ind w:left="1640"/>
        <w:spacing w:after="0"/>
        <w:rPr>
          <w:sz w:val="20"/>
          <w:szCs w:val="20"/>
          <w:color w:val="auto"/>
        </w:rPr>
      </w:pPr>
      <w:r>
        <w:rPr>
          <w:rFonts w:ascii="Arial" w:cs="Arial" w:eastAsia="Arial" w:hAnsi="Arial"/>
          <w:sz w:val="40"/>
          <w:szCs w:val="40"/>
          <w:color w:val="6698C2"/>
        </w:rPr>
        <w:t>EMEA - Q1 Revenue Growth YoY</w:t>
      </w:r>
    </w:p>
    <w:p>
      <w:pPr>
        <w:spacing w:after="0" w:line="102" w:lineRule="exact"/>
        <w:rPr>
          <w:sz w:val="20"/>
          <w:szCs w:val="20"/>
          <w:color w:val="auto"/>
        </w:rPr>
      </w:pPr>
    </w:p>
    <w:p>
      <w:pPr>
        <w:ind w:left="1680" w:right="8440"/>
        <w:spacing w:after="0" w:line="289" w:lineRule="auto"/>
        <w:tabs>
          <w:tab w:leader="none" w:pos="1915"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of Segment Revenue</w:t>
      </w:r>
    </w:p>
    <w:p>
      <w:pPr>
        <w:spacing w:after="0" w:line="27" w:lineRule="exact"/>
        <w:rPr>
          <w:sz w:val="20"/>
          <w:szCs w:val="20"/>
          <w:color w:val="auto"/>
        </w:rPr>
      </w:pPr>
    </w:p>
    <w:p>
      <w:pPr>
        <w:ind w:left="1860"/>
        <w:spacing w:after="0"/>
        <w:rPr>
          <w:sz w:val="20"/>
          <w:szCs w:val="20"/>
          <w:color w:val="auto"/>
        </w:rPr>
      </w:pPr>
      <w:r>
        <w:rPr>
          <w:rFonts w:ascii="Arial" w:cs="Arial" w:eastAsia="Arial" w:hAnsi="Arial"/>
          <w:sz w:val="24"/>
          <w:szCs w:val="24"/>
          <w:b w:val="1"/>
          <w:bCs w:val="1"/>
          <w:color w:val="D47C18"/>
        </w:rPr>
        <w:t>15%</w:t>
      </w:r>
    </w:p>
    <w:p>
      <w:pPr>
        <w:spacing w:after="0" w:line="217" w:lineRule="exact"/>
        <w:rPr>
          <w:sz w:val="20"/>
          <w:szCs w:val="20"/>
          <w:color w:val="auto"/>
        </w:rPr>
      </w:pPr>
    </w:p>
    <w:p>
      <w:pPr>
        <w:ind w:left="1840"/>
        <w:spacing w:after="0"/>
        <w:rPr>
          <w:sz w:val="20"/>
          <w:szCs w:val="20"/>
          <w:color w:val="auto"/>
        </w:rPr>
      </w:pPr>
      <w:r>
        <w:rPr>
          <w:rFonts w:ascii="Arial" w:cs="Arial" w:eastAsia="Arial" w:hAnsi="Arial"/>
          <w:sz w:val="24"/>
          <w:szCs w:val="24"/>
          <w:b w:val="1"/>
          <w:bCs w:val="1"/>
          <w:color w:val="D47C18"/>
        </w:rPr>
        <w:t>14%</w:t>
      </w:r>
    </w:p>
    <w:p>
      <w:pPr>
        <w:spacing w:after="0" w:line="227" w:lineRule="exact"/>
        <w:rPr>
          <w:sz w:val="20"/>
          <w:szCs w:val="20"/>
          <w:color w:val="auto"/>
        </w:rPr>
      </w:pPr>
    </w:p>
    <w:p>
      <w:pPr>
        <w:ind w:left="1840"/>
        <w:spacing w:after="0"/>
        <w:rPr>
          <w:sz w:val="20"/>
          <w:szCs w:val="20"/>
          <w:color w:val="auto"/>
        </w:rPr>
      </w:pPr>
      <w:r>
        <w:rPr>
          <w:rFonts w:ascii="Arial" w:cs="Arial" w:eastAsia="Arial" w:hAnsi="Arial"/>
          <w:sz w:val="24"/>
          <w:szCs w:val="24"/>
          <w:b w:val="1"/>
          <w:bCs w:val="1"/>
          <w:color w:val="D47C18"/>
        </w:rPr>
        <w:t>13%</w:t>
      </w:r>
    </w:p>
    <w:p>
      <w:pPr>
        <w:spacing w:after="0" w:line="217" w:lineRule="exact"/>
        <w:rPr>
          <w:sz w:val="20"/>
          <w:szCs w:val="20"/>
          <w:color w:val="auto"/>
        </w:rPr>
      </w:pPr>
    </w:p>
    <w:p>
      <w:pPr>
        <w:ind w:left="1840"/>
        <w:spacing w:after="0"/>
        <w:rPr>
          <w:sz w:val="20"/>
          <w:szCs w:val="20"/>
          <w:color w:val="auto"/>
        </w:rPr>
      </w:pPr>
      <w:r>
        <w:rPr>
          <w:rFonts w:ascii="Arial" w:cs="Arial" w:eastAsia="Arial" w:hAnsi="Arial"/>
          <w:sz w:val="24"/>
          <w:szCs w:val="24"/>
          <w:b w:val="1"/>
          <w:bCs w:val="1"/>
          <w:color w:val="D47C18"/>
        </w:rPr>
        <w:t>11%</w:t>
      </w:r>
    </w:p>
    <w:p>
      <w:pPr>
        <w:spacing w:after="0" w:line="257" w:lineRule="exact"/>
        <w:rPr>
          <w:sz w:val="20"/>
          <w:szCs w:val="20"/>
          <w:color w:val="auto"/>
        </w:rPr>
      </w:pPr>
    </w:p>
    <w:p>
      <w:pPr>
        <w:jc w:val="right"/>
        <w:ind w:right="9160"/>
        <w:spacing w:after="0"/>
        <w:rPr>
          <w:sz w:val="20"/>
          <w:szCs w:val="20"/>
          <w:color w:val="auto"/>
        </w:rPr>
      </w:pPr>
      <w:r>
        <w:rPr>
          <w:rFonts w:ascii="Arial" w:cs="Arial" w:eastAsia="Arial" w:hAnsi="Arial"/>
          <w:sz w:val="24"/>
          <w:szCs w:val="24"/>
          <w:b w:val="1"/>
          <w:bCs w:val="1"/>
          <w:color w:val="D47C18"/>
        </w:rPr>
        <w:t>10%</w:t>
      </w:r>
    </w:p>
    <w:p>
      <w:pPr>
        <w:spacing w:after="0" w:line="217" w:lineRule="exact"/>
        <w:rPr>
          <w:sz w:val="20"/>
          <w:szCs w:val="20"/>
          <w:color w:val="auto"/>
        </w:rPr>
      </w:pPr>
    </w:p>
    <w:p>
      <w:pPr>
        <w:jc w:val="right"/>
        <w:ind w:right="9180"/>
        <w:spacing w:after="0"/>
        <w:rPr>
          <w:sz w:val="20"/>
          <w:szCs w:val="20"/>
          <w:color w:val="auto"/>
        </w:rPr>
      </w:pPr>
      <w:r>
        <w:rPr>
          <w:rFonts w:ascii="Arial" w:cs="Arial" w:eastAsia="Arial" w:hAnsi="Arial"/>
          <w:sz w:val="24"/>
          <w:szCs w:val="24"/>
          <w:b w:val="1"/>
          <w:bCs w:val="1"/>
          <w:color w:val="D47C18"/>
        </w:rPr>
        <w:t>9%</w:t>
      </w:r>
    </w:p>
    <w:p>
      <w:pPr>
        <w:spacing w:after="0" w:line="217" w:lineRule="exact"/>
        <w:rPr>
          <w:sz w:val="20"/>
          <w:szCs w:val="20"/>
          <w:color w:val="auto"/>
        </w:rPr>
      </w:pPr>
    </w:p>
    <w:p>
      <w:pPr>
        <w:jc w:val="right"/>
        <w:ind w:right="9180"/>
        <w:spacing w:after="0"/>
        <w:rPr>
          <w:sz w:val="20"/>
          <w:szCs w:val="20"/>
          <w:color w:val="auto"/>
        </w:rPr>
      </w:pPr>
      <w:r>
        <w:rPr>
          <w:rFonts w:ascii="Arial" w:cs="Arial" w:eastAsia="Arial" w:hAnsi="Arial"/>
          <w:sz w:val="24"/>
          <w:szCs w:val="24"/>
          <w:b w:val="1"/>
          <w:bCs w:val="1"/>
          <w:color w:val="D47C18"/>
        </w:rPr>
        <w:t>5%</w:t>
      </w:r>
    </w:p>
    <w:p>
      <w:pPr>
        <w:spacing w:after="0" w:line="267" w:lineRule="exact"/>
        <w:rPr>
          <w:sz w:val="20"/>
          <w:szCs w:val="20"/>
          <w:color w:val="auto"/>
        </w:rPr>
      </w:pPr>
    </w:p>
    <w:p>
      <w:pPr>
        <w:ind w:left="1840"/>
        <w:spacing w:after="0"/>
        <w:rPr>
          <w:sz w:val="20"/>
          <w:szCs w:val="20"/>
          <w:color w:val="auto"/>
        </w:rPr>
      </w:pPr>
      <w:r>
        <w:rPr>
          <w:rFonts w:ascii="Arial" w:cs="Arial" w:eastAsia="Arial" w:hAnsi="Arial"/>
          <w:sz w:val="24"/>
          <w:szCs w:val="24"/>
          <w:b w:val="1"/>
          <w:bCs w:val="1"/>
          <w:color w:val="D47C18"/>
        </w:rPr>
        <w:t>23%</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980" w:type="dxa"/>
            <w:vAlign w:val="bottom"/>
          </w:tcPr>
          <w:p>
            <w:pPr>
              <w:jc w:val="center"/>
              <w:ind w:left="4306"/>
              <w:spacing w:after="0"/>
              <w:rPr>
                <w:sz w:val="20"/>
                <w:szCs w:val="20"/>
                <w:color w:val="auto"/>
              </w:rPr>
            </w:pPr>
            <w:r>
              <w:rPr>
                <w:rFonts w:ascii="Arial" w:cs="Arial" w:eastAsia="Arial" w:hAnsi="Arial"/>
                <w:sz w:val="19"/>
                <w:szCs w:val="19"/>
                <w:b w:val="1"/>
                <w:bCs w:val="1"/>
                <w:color w:val="auto"/>
                <w:w w:val="98"/>
              </w:rPr>
              <w:t>Revenue</w:t>
            </w:r>
          </w:p>
        </w:tc>
        <w:tc>
          <w:tcPr>
            <w:tcW w:w="5480" w:type="dxa"/>
            <w:vAlign w:val="bottom"/>
          </w:tcPr>
          <w:p>
            <w:pPr>
              <w:ind w:left="380"/>
              <w:spacing w:after="0"/>
              <w:rPr>
                <w:sz w:val="20"/>
                <w:szCs w:val="20"/>
                <w:color w:val="auto"/>
              </w:rPr>
            </w:pPr>
            <w:r>
              <w:rPr>
                <w:rFonts w:ascii="Arial" w:cs="Arial" w:eastAsia="Arial" w:hAnsi="Arial"/>
                <w:sz w:val="19"/>
                <w:szCs w:val="19"/>
                <w:b w:val="1"/>
                <w:bCs w:val="1"/>
                <w:color w:val="auto"/>
              </w:rPr>
              <w:t>Revenue Growth - CC</w:t>
            </w:r>
          </w:p>
        </w:tc>
      </w:tr>
      <w:tr>
        <w:trPr>
          <w:trHeight w:val="250"/>
        </w:trPr>
        <w:tc>
          <w:tcPr>
            <w:tcW w:w="5980" w:type="dxa"/>
            <w:vAlign w:val="bottom"/>
          </w:tcPr>
          <w:p>
            <w:pPr>
              <w:jc w:val="center"/>
              <w:ind w:left="4306"/>
              <w:spacing w:after="0"/>
              <w:rPr>
                <w:sz w:val="20"/>
                <w:szCs w:val="20"/>
                <w:color w:val="auto"/>
              </w:rPr>
            </w:pPr>
            <w:r>
              <w:rPr>
                <w:rFonts w:ascii="Arial" w:cs="Arial" w:eastAsia="Arial" w:hAnsi="Arial"/>
                <w:sz w:val="19"/>
                <w:szCs w:val="19"/>
                <w:b w:val="1"/>
                <w:bCs w:val="1"/>
                <w:color w:val="auto"/>
                <w:w w:val="99"/>
              </w:rPr>
              <w:t>Growth</w:t>
            </w:r>
          </w:p>
        </w:tc>
        <w:tc>
          <w:tcPr>
            <w:tcW w:w="5480" w:type="dxa"/>
            <w:vAlign w:val="bottom"/>
          </w:tcPr>
          <w:p>
            <w:pPr>
              <w:spacing w:after="0"/>
              <w:rPr>
                <w:sz w:val="21"/>
                <w:szCs w:val="21"/>
                <w:color w:val="auto"/>
              </w:rPr>
            </w:pPr>
          </w:p>
        </w:tc>
      </w:tr>
      <w:tr>
        <w:trPr>
          <w:trHeight w:val="864"/>
        </w:trPr>
        <w:tc>
          <w:tcPr>
            <w:tcW w:w="5980" w:type="dxa"/>
            <w:vAlign w:val="bottom"/>
            <w:tcBorders>
              <w:bottom w:val="single" w:sz="8" w:color="808080"/>
            </w:tcBorders>
          </w:tcPr>
          <w:p>
            <w:pPr>
              <w:spacing w:after="0"/>
              <w:rPr>
                <w:sz w:val="24"/>
                <w:szCs w:val="24"/>
                <w:color w:val="auto"/>
              </w:rPr>
            </w:pPr>
          </w:p>
        </w:tc>
        <w:tc>
          <w:tcPr>
            <w:tcW w:w="5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19" w:name="page20"/>
    <w:bookmarkEnd w:id="19"/>
    <w:p>
      <w:pPr>
        <w:jc w:val="right"/>
        <w:ind w:right="159"/>
        <w:spacing w:after="0"/>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715010</wp:posOffset>
            </wp:positionH>
            <wp:positionV relativeFrom="page">
              <wp:posOffset>159385</wp:posOffset>
            </wp:positionV>
            <wp:extent cx="6131560" cy="45986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131560" cy="4598670"/>
                    </a:xfrm>
                    <a:prstGeom prst="rect">
                      <a:avLst/>
                    </a:prstGeom>
                    <a:noFill/>
                  </pic:spPr>
                </pic:pic>
              </a:graphicData>
            </a:graphic>
          </wp:anchor>
        </w:drawing>
        <w:t>10</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0"/>
        <w:spacing w:after="0"/>
        <w:rPr>
          <w:sz w:val="20"/>
          <w:szCs w:val="20"/>
          <w:color w:val="auto"/>
        </w:rPr>
      </w:pPr>
      <w:r>
        <w:rPr>
          <w:rFonts w:ascii="Arial" w:cs="Arial" w:eastAsia="Arial" w:hAnsi="Arial"/>
          <w:sz w:val="40"/>
          <w:szCs w:val="40"/>
          <w:color w:val="6698C2"/>
        </w:rPr>
        <w:t>Asia Pacific Segment</w:t>
      </w:r>
    </w:p>
    <w:p>
      <w:pPr>
        <w:spacing w:after="0" w:line="5" w:lineRule="exact"/>
        <w:rPr>
          <w:sz w:val="20"/>
          <w:szCs w:val="20"/>
          <w:color w:val="auto"/>
        </w:rPr>
      </w:pPr>
    </w:p>
    <w:p>
      <w:pPr>
        <w:ind w:left="420"/>
        <w:spacing w:after="0"/>
        <w:rPr>
          <w:sz w:val="20"/>
          <w:szCs w:val="20"/>
          <w:color w:val="auto"/>
        </w:rPr>
      </w:pPr>
      <w:r>
        <w:rPr>
          <w:rFonts w:ascii="Arial" w:cs="Arial" w:eastAsia="Arial" w:hAnsi="Arial"/>
          <w:sz w:val="27"/>
          <w:szCs w:val="27"/>
          <w:color w:val="6698C2"/>
        </w:rPr>
        <w:t>(12% of Revenue)</w:t>
      </w:r>
    </w:p>
    <w:p>
      <w:pPr>
        <w:spacing w:after="0" w:line="227" w:lineRule="exact"/>
        <w:rPr>
          <w:sz w:val="20"/>
          <w:szCs w:val="20"/>
          <w:color w:val="auto"/>
        </w:rPr>
      </w:pPr>
    </w:p>
    <w:tbl>
      <w:tblPr>
        <w:tblLayout w:type="fixed"/>
        <w:tblInd w:w="2120" w:type="dxa"/>
        <w:tblCellMar>
          <w:top w:w="0" w:type="dxa"/>
          <w:left w:w="0" w:type="dxa"/>
          <w:bottom w:w="0" w:type="dxa"/>
          <w:right w:w="0" w:type="dxa"/>
        </w:tblCellMar>
      </w:tblPr>
      <w:tr>
        <w:trPr>
          <w:trHeight w:val="464"/>
        </w:trPr>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0" w:type="dxa"/>
            <w:vAlign w:val="bottom"/>
          </w:tcPr>
          <w:p>
            <w:pPr>
              <w:ind w:left="120"/>
              <w:spacing w:after="0"/>
              <w:rPr>
                <w:sz w:val="20"/>
                <w:szCs w:val="20"/>
                <w:color w:val="auto"/>
              </w:rPr>
            </w:pPr>
            <w:r>
              <w:rPr>
                <w:rFonts w:ascii="Arial" w:cs="Arial" w:eastAsia="Arial" w:hAnsi="Arial"/>
                <w:sz w:val="35"/>
                <w:szCs w:val="35"/>
                <w:b w:val="1"/>
                <w:bCs w:val="1"/>
                <w:color w:val="auto"/>
                <w:w w:val="99"/>
              </w:rPr>
              <w:t>Q1 Financial Highlights</w:t>
            </w:r>
          </w:p>
        </w:tc>
        <w:tc>
          <w:tcPr>
            <w:tcW w:w="0" w:type="dxa"/>
            <w:vAlign w:val="bottom"/>
          </w:tcPr>
          <w:p>
            <w:pPr>
              <w:spacing w:after="0"/>
              <w:rPr>
                <w:sz w:val="1"/>
                <w:szCs w:val="1"/>
                <w:color w:val="auto"/>
              </w:rPr>
            </w:pPr>
          </w:p>
        </w:tc>
      </w:tr>
      <w:tr>
        <w:trPr>
          <w:trHeight w:val="585"/>
        </w:trPr>
        <w:tc>
          <w:tcPr>
            <w:tcW w:w="1040" w:type="dxa"/>
            <w:vAlign w:val="bottom"/>
            <w:gridSpan w:val="2"/>
          </w:tcPr>
          <w:p>
            <w:pPr>
              <w:spacing w:after="0"/>
              <w:rPr>
                <w:sz w:val="20"/>
                <w:szCs w:val="20"/>
                <w:color w:val="auto"/>
              </w:rPr>
            </w:pPr>
            <w:r>
              <w:rPr>
                <w:rFonts w:ascii="Arial" w:cs="Arial" w:eastAsia="Arial" w:hAnsi="Arial"/>
                <w:sz w:val="32"/>
                <w:szCs w:val="32"/>
                <w:color w:val="auto"/>
              </w:rPr>
              <w:t>17%</w:t>
            </w:r>
          </w:p>
        </w:tc>
        <w:tc>
          <w:tcPr>
            <w:tcW w:w="4000" w:type="dxa"/>
            <w:vAlign w:val="bottom"/>
            <w:vMerge w:val="restart"/>
          </w:tcPr>
          <w:p>
            <w:pPr>
              <w:ind w:left="220"/>
              <w:spacing w:after="0"/>
              <w:rPr>
                <w:sz w:val="20"/>
                <w:szCs w:val="20"/>
                <w:color w:val="auto"/>
              </w:rPr>
            </w:pPr>
            <w:r>
              <w:rPr>
                <w:rFonts w:ascii="Arial" w:cs="Arial" w:eastAsia="Arial" w:hAnsi="Arial"/>
                <w:sz w:val="35"/>
                <w:szCs w:val="35"/>
                <w:b w:val="1"/>
                <w:bCs w:val="1"/>
                <w:color w:val="auto"/>
              </w:rPr>
              <w:t xml:space="preserve">Revenue </w:t>
            </w:r>
            <w:r>
              <w:rPr>
                <w:rFonts w:ascii="Arial" w:cs="Arial" w:eastAsia="Arial" w:hAnsi="Arial"/>
                <w:sz w:val="37"/>
                <w:szCs w:val="37"/>
                <w:b w:val="1"/>
                <w:bCs w:val="1"/>
                <w:color w:val="C8504F"/>
              </w:rPr>
              <w:t>$497M</w:t>
            </w:r>
          </w:p>
        </w:tc>
        <w:tc>
          <w:tcPr>
            <w:tcW w:w="0" w:type="dxa"/>
            <w:vAlign w:val="bottom"/>
          </w:tcPr>
          <w:p>
            <w:pPr>
              <w:spacing w:after="0"/>
              <w:rPr>
                <w:sz w:val="1"/>
                <w:szCs w:val="1"/>
                <w:color w:val="auto"/>
              </w:rPr>
            </w:pPr>
          </w:p>
        </w:tc>
      </w:tr>
      <w:tr>
        <w:trPr>
          <w:trHeight w:val="217"/>
        </w:trPr>
        <w:tc>
          <w:tcPr>
            <w:tcW w:w="540" w:type="dxa"/>
            <w:vAlign w:val="bottom"/>
            <w:vMerge w:val="restart"/>
          </w:tcPr>
          <w:p>
            <w:pPr>
              <w:ind w:left="40"/>
              <w:spacing w:after="0"/>
              <w:rPr>
                <w:sz w:val="20"/>
                <w:szCs w:val="20"/>
                <w:color w:val="auto"/>
              </w:rPr>
            </w:pPr>
            <w:r>
              <w:rPr>
                <w:rFonts w:ascii="Arial" w:cs="Arial" w:eastAsia="Arial" w:hAnsi="Arial"/>
                <w:sz w:val="32"/>
                <w:szCs w:val="32"/>
                <w:color w:val="auto"/>
              </w:rPr>
              <w:t>5%</w:t>
            </w:r>
          </w:p>
        </w:tc>
        <w:tc>
          <w:tcPr>
            <w:tcW w:w="50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4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2"/>
        </w:trPr>
        <w:tc>
          <w:tcPr>
            <w:tcW w:w="540" w:type="dxa"/>
            <w:vAlign w:val="bottom"/>
          </w:tcPr>
          <w:p>
            <w:pPr>
              <w:ind w:left="40"/>
              <w:spacing w:after="0" w:line="341" w:lineRule="exact"/>
              <w:rPr>
                <w:sz w:val="20"/>
                <w:szCs w:val="20"/>
                <w:color w:val="auto"/>
              </w:rPr>
            </w:pPr>
            <w:r>
              <w:rPr>
                <w:rFonts w:ascii="Arial" w:cs="Arial" w:eastAsia="Arial" w:hAnsi="Arial"/>
                <w:sz w:val="32"/>
                <w:szCs w:val="32"/>
                <w:color w:val="auto"/>
              </w:rPr>
              <w:t>CC</w:t>
            </w:r>
          </w:p>
        </w:tc>
        <w:tc>
          <w:tcPr>
            <w:tcW w:w="500" w:type="dxa"/>
            <w:vAlign w:val="bottom"/>
          </w:tcPr>
          <w:p>
            <w:pPr>
              <w:jc w:val="right"/>
              <w:ind w:right="226"/>
              <w:spacing w:after="0"/>
              <w:rPr>
                <w:sz w:val="20"/>
                <w:szCs w:val="20"/>
                <w:color w:val="auto"/>
              </w:rPr>
            </w:pPr>
            <w:r>
              <w:rPr>
                <w:rFonts w:ascii="Arial" w:cs="Arial" w:eastAsia="Arial" w:hAnsi="Arial"/>
                <w:sz w:val="15"/>
                <w:szCs w:val="15"/>
                <w:b w:val="1"/>
                <w:bCs w:val="1"/>
                <w:color w:val="C8504F"/>
                <w:w w:val="97"/>
              </w:rPr>
              <w:t>(1)</w:t>
            </w:r>
          </w:p>
        </w:tc>
        <w:tc>
          <w:tcPr>
            <w:tcW w:w="4000" w:type="dxa"/>
            <w:vAlign w:val="bottom"/>
            <w:vMerge w:val="restart"/>
          </w:tcPr>
          <w:p>
            <w:pPr>
              <w:ind w:left="260"/>
              <w:spacing w:after="0"/>
              <w:rPr>
                <w:sz w:val="20"/>
                <w:szCs w:val="20"/>
                <w:color w:val="auto"/>
              </w:rPr>
            </w:pPr>
            <w:r>
              <w:rPr>
                <w:rFonts w:ascii="Arial" w:cs="Arial" w:eastAsia="Arial" w:hAnsi="Arial"/>
                <w:sz w:val="35"/>
                <w:szCs w:val="35"/>
                <w:b w:val="1"/>
                <w:bCs w:val="1"/>
                <w:color w:val="auto"/>
              </w:rPr>
              <w:t xml:space="preserve">OUP </w:t>
            </w:r>
            <w:r>
              <w:rPr>
                <w:rFonts w:ascii="Arial" w:cs="Arial" w:eastAsia="Arial" w:hAnsi="Arial"/>
                <w:sz w:val="37"/>
                <w:szCs w:val="37"/>
                <w:b w:val="1"/>
                <w:bCs w:val="1"/>
                <w:color w:val="C8504F"/>
              </w:rPr>
              <w:t>$13M</w:t>
            </w:r>
          </w:p>
        </w:tc>
        <w:tc>
          <w:tcPr>
            <w:tcW w:w="0" w:type="dxa"/>
            <w:vAlign w:val="bottom"/>
          </w:tcPr>
          <w:p>
            <w:pPr>
              <w:spacing w:after="0"/>
              <w:rPr>
                <w:sz w:val="1"/>
                <w:szCs w:val="1"/>
                <w:color w:val="auto"/>
              </w:rPr>
            </w:pPr>
          </w:p>
        </w:tc>
      </w:tr>
      <w:tr>
        <w:trPr>
          <w:trHeight w:val="372"/>
        </w:trPr>
        <w:tc>
          <w:tcPr>
            <w:tcW w:w="540" w:type="dxa"/>
            <w:vAlign w:val="bottom"/>
          </w:tcPr>
          <w:p>
            <w:pPr>
              <w:ind w:left="60"/>
              <w:spacing w:after="0"/>
              <w:rPr>
                <w:sz w:val="20"/>
                <w:szCs w:val="20"/>
                <w:color w:val="auto"/>
              </w:rPr>
            </w:pPr>
            <w:r>
              <w:rPr>
                <w:rFonts w:ascii="Arial" w:cs="Arial" w:eastAsia="Arial" w:hAnsi="Arial"/>
                <w:sz w:val="32"/>
                <w:szCs w:val="32"/>
                <w:color w:val="auto"/>
                <w:w w:val="99"/>
              </w:rPr>
              <w:t>4%</w:t>
            </w:r>
          </w:p>
        </w:tc>
        <w:tc>
          <w:tcPr>
            <w:tcW w:w="500" w:type="dxa"/>
            <w:vAlign w:val="bottom"/>
          </w:tcPr>
          <w:p>
            <w:pPr>
              <w:jc w:val="right"/>
              <w:ind w:right="26"/>
              <w:spacing w:after="0"/>
              <w:rPr>
                <w:sz w:val="20"/>
                <w:szCs w:val="20"/>
                <w:color w:val="auto"/>
              </w:rPr>
            </w:pPr>
            <w:r>
              <w:rPr>
                <w:rFonts w:ascii="Arial" w:cs="Arial" w:eastAsia="Arial" w:hAnsi="Arial"/>
                <w:sz w:val="15"/>
                <w:szCs w:val="15"/>
                <w:b w:val="1"/>
                <w:bCs w:val="1"/>
                <w:color w:val="C8504F"/>
              </w:rPr>
              <w:t>(1)</w:t>
            </w:r>
          </w:p>
        </w:tc>
        <w:tc>
          <w:tcPr>
            <w:tcW w:w="4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40" w:type="dxa"/>
            <w:vAlign w:val="bottom"/>
          </w:tcPr>
          <w:p>
            <w:pPr>
              <w:ind w:left="40"/>
              <w:spacing w:after="0" w:line="262" w:lineRule="exact"/>
              <w:rPr>
                <w:sz w:val="20"/>
                <w:szCs w:val="20"/>
                <w:color w:val="auto"/>
              </w:rPr>
            </w:pPr>
            <w:r>
              <w:rPr>
                <w:rFonts w:ascii="Arial" w:cs="Arial" w:eastAsia="Arial" w:hAnsi="Arial"/>
                <w:sz w:val="30"/>
                <w:szCs w:val="30"/>
                <w:color w:val="auto"/>
              </w:rPr>
              <w:t>9%</w:t>
            </w:r>
          </w:p>
        </w:tc>
        <w:tc>
          <w:tcPr>
            <w:tcW w:w="50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2"/>
        </w:trPr>
        <w:tc>
          <w:tcPr>
            <w:tcW w:w="540" w:type="dxa"/>
            <w:vAlign w:val="bottom"/>
          </w:tcPr>
          <w:p>
            <w:pPr>
              <w:ind w:left="40"/>
              <w:spacing w:after="0"/>
              <w:rPr>
                <w:sz w:val="20"/>
                <w:szCs w:val="20"/>
                <w:color w:val="auto"/>
              </w:rPr>
            </w:pPr>
            <w:r>
              <w:rPr>
                <w:rFonts w:ascii="Arial" w:cs="Arial" w:eastAsia="Arial" w:hAnsi="Arial"/>
                <w:sz w:val="32"/>
                <w:szCs w:val="32"/>
                <w:color w:val="auto"/>
              </w:rPr>
              <w:t>CC</w:t>
            </w:r>
          </w:p>
        </w:tc>
        <w:tc>
          <w:tcPr>
            <w:tcW w:w="50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C8504F"/>
              </w:rPr>
              <w:t>(1)</w:t>
            </w:r>
          </w:p>
        </w:tc>
        <w:tc>
          <w:tcPr>
            <w:tcW w:w="4000" w:type="dxa"/>
            <w:vAlign w:val="bottom"/>
            <w:vMerge w:val="restart"/>
          </w:tcPr>
          <w:p>
            <w:pPr>
              <w:ind w:left="240"/>
              <w:spacing w:after="0"/>
              <w:rPr>
                <w:sz w:val="20"/>
                <w:szCs w:val="20"/>
                <w:color w:val="auto"/>
              </w:rPr>
            </w:pPr>
            <w:r>
              <w:rPr>
                <w:rFonts w:ascii="Arial" w:cs="Arial" w:eastAsia="Arial" w:hAnsi="Arial"/>
                <w:sz w:val="35"/>
                <w:szCs w:val="35"/>
                <w:b w:val="1"/>
                <w:bCs w:val="1"/>
                <w:color w:val="auto"/>
              </w:rPr>
              <w:t xml:space="preserve">OUP Margin </w:t>
            </w:r>
            <w:r>
              <w:rPr>
                <w:rFonts w:ascii="Arial" w:cs="Arial" w:eastAsia="Arial" w:hAnsi="Arial"/>
                <w:sz w:val="37"/>
                <w:szCs w:val="37"/>
                <w:b w:val="1"/>
                <w:bCs w:val="1"/>
                <w:color w:val="C8504F"/>
              </w:rPr>
              <w:t>2.5%</w:t>
            </w:r>
          </w:p>
        </w:tc>
        <w:tc>
          <w:tcPr>
            <w:tcW w:w="0" w:type="dxa"/>
            <w:vAlign w:val="bottom"/>
          </w:tcPr>
          <w:p>
            <w:pPr>
              <w:spacing w:after="0"/>
              <w:rPr>
                <w:sz w:val="1"/>
                <w:szCs w:val="1"/>
                <w:color w:val="auto"/>
              </w:rPr>
            </w:pPr>
          </w:p>
        </w:tc>
      </w:tr>
      <w:tr>
        <w:trPr>
          <w:trHeight w:val="382"/>
        </w:trPr>
        <w:tc>
          <w:tcPr>
            <w:tcW w:w="540" w:type="dxa"/>
            <w:vAlign w:val="bottom"/>
          </w:tcPr>
          <w:p>
            <w:pPr>
              <w:ind w:left="80"/>
              <w:spacing w:after="0"/>
              <w:rPr>
                <w:sz w:val="20"/>
                <w:szCs w:val="20"/>
                <w:color w:val="auto"/>
              </w:rPr>
            </w:pPr>
            <w:r>
              <w:rPr>
                <w:rFonts w:ascii="Arial" w:cs="Arial" w:eastAsia="Arial" w:hAnsi="Arial"/>
                <w:sz w:val="32"/>
                <w:szCs w:val="32"/>
                <w:color w:val="auto"/>
              </w:rPr>
              <w:t>30</w:t>
            </w:r>
          </w:p>
        </w:tc>
        <w:tc>
          <w:tcPr>
            <w:tcW w:w="500" w:type="dxa"/>
            <w:vAlign w:val="bottom"/>
            <w:vMerge w:val="continue"/>
          </w:tcPr>
          <w:p>
            <w:pPr>
              <w:spacing w:after="0"/>
              <w:rPr>
                <w:sz w:val="24"/>
                <w:szCs w:val="24"/>
                <w:color w:val="auto"/>
              </w:rPr>
            </w:pPr>
          </w:p>
        </w:tc>
        <w:tc>
          <w:tcPr>
            <w:tcW w:w="4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ind w:left="2120"/>
        <w:spacing w:after="0"/>
        <w:rPr>
          <w:sz w:val="20"/>
          <w:szCs w:val="20"/>
          <w:color w:val="auto"/>
        </w:rPr>
      </w:pPr>
      <w:r>
        <w:rPr>
          <w:rFonts w:ascii="Arial" w:cs="Arial" w:eastAsia="Arial" w:hAnsi="Arial"/>
          <w:sz w:val="32"/>
          <w:szCs w:val="32"/>
          <w:color w:val="auto"/>
        </w:rPr>
        <w:t>bps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0" w:hanging="170"/>
        <w:spacing w:after="0"/>
        <w:tabs>
          <w:tab w:leader="none" w:pos="600" w:val="left"/>
        </w:tabs>
        <w:numPr>
          <w:ilvl w:val="0"/>
          <w:numId w:val="9"/>
        </w:numPr>
        <w:rPr>
          <w:rFonts w:ascii="Arial" w:cs="Arial" w:eastAsia="Arial" w:hAnsi="Arial"/>
          <w:sz w:val="20"/>
          <w:szCs w:val="20"/>
          <w:b w:val="1"/>
          <w:bCs w:val="1"/>
          <w:color w:val="auto"/>
          <w:vertAlign w:val="superscript"/>
        </w:rPr>
      </w:pPr>
      <w:r>
        <w:rPr>
          <w:rFonts w:ascii="Arial" w:cs="Arial" w:eastAsia="Arial" w:hAnsi="Arial"/>
          <w:sz w:val="15"/>
          <w:szCs w:val="15"/>
          <w:color w:val="auto"/>
        </w:rPr>
        <w:t>2009 includes non-recurring items, including reorganization charges, totaling a net benefit of $3.9M.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713740</wp:posOffset>
            </wp:positionV>
            <wp:extent cx="728789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019"/>
          </w:cols>
          <w:pgMar w:left="1440" w:top="372" w:right="1440" w:bottom="1440" w:gutter="0" w:footer="0" w:header="0"/>
        </w:sectPr>
      </w:pPr>
    </w:p>
    <w:bookmarkStart w:id="20" w:name="page21"/>
    <w:bookmarkEnd w:id="20"/>
    <w:p>
      <w:pPr>
        <w:jc w:val="right"/>
        <w:ind w:right="1380"/>
        <w:spacing w:after="0"/>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715010</wp:posOffset>
            </wp:positionH>
            <wp:positionV relativeFrom="page">
              <wp:posOffset>159385</wp:posOffset>
            </wp:positionV>
            <wp:extent cx="6131560" cy="45986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131560" cy="4598670"/>
                    </a:xfrm>
                    <a:prstGeom prst="rect">
                      <a:avLst/>
                    </a:prstGeom>
                    <a:noFill/>
                  </pic:spPr>
                </pic:pic>
              </a:graphicData>
            </a:graphic>
          </wp:anchor>
        </w:drawing>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640"/>
        <w:spacing w:after="0"/>
        <w:rPr>
          <w:sz w:val="20"/>
          <w:szCs w:val="20"/>
          <w:color w:val="auto"/>
        </w:rPr>
      </w:pPr>
      <w:r>
        <w:rPr>
          <w:rFonts w:ascii="Arial" w:cs="Arial" w:eastAsia="Arial" w:hAnsi="Arial"/>
          <w:sz w:val="40"/>
          <w:szCs w:val="40"/>
          <w:color w:val="6698C2"/>
        </w:rPr>
        <w:t>Asia Pacific - Q1 Revenue Growth YoY</w:t>
      </w:r>
    </w:p>
    <w:p>
      <w:pPr>
        <w:spacing w:after="0" w:line="203" w:lineRule="exact"/>
        <w:rPr>
          <w:sz w:val="20"/>
          <w:szCs w:val="20"/>
          <w:color w:val="auto"/>
        </w:rPr>
      </w:pPr>
    </w:p>
    <w:p>
      <w:pPr>
        <w:ind w:left="1400" w:right="8960" w:hanging="239"/>
        <w:spacing w:after="0" w:line="289" w:lineRule="auto"/>
        <w:tabs>
          <w:tab w:leader="none" w:pos="1389"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of Segment Revenue</w:t>
      </w:r>
    </w:p>
    <w:p>
      <w:pPr>
        <w:spacing w:after="0" w:line="118" w:lineRule="exact"/>
        <w:rPr>
          <w:sz w:val="20"/>
          <w:szCs w:val="20"/>
          <w:color w:val="auto"/>
        </w:rPr>
      </w:pPr>
    </w:p>
    <w:p>
      <w:pPr>
        <w:ind w:left="1620"/>
        <w:spacing w:after="0"/>
        <w:rPr>
          <w:sz w:val="20"/>
          <w:szCs w:val="20"/>
          <w:color w:val="auto"/>
        </w:rPr>
      </w:pPr>
      <w:r>
        <w:rPr>
          <w:rFonts w:ascii="Arial" w:cs="Arial" w:eastAsia="Arial" w:hAnsi="Arial"/>
          <w:sz w:val="24"/>
          <w:szCs w:val="24"/>
          <w:b w:val="1"/>
          <w:bCs w:val="1"/>
          <w:color w:val="D47C18"/>
        </w:rPr>
        <w:t>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600"/>
        <w:spacing w:after="0"/>
        <w:rPr>
          <w:sz w:val="20"/>
          <w:szCs w:val="20"/>
          <w:color w:val="auto"/>
        </w:rPr>
      </w:pPr>
      <w:r>
        <w:rPr>
          <w:rFonts w:ascii="Arial" w:cs="Arial" w:eastAsia="Arial" w:hAnsi="Arial"/>
          <w:sz w:val="24"/>
          <w:szCs w:val="24"/>
          <w:b w:val="1"/>
          <w:bCs w:val="1"/>
          <w:color w:val="D47C18"/>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0"/>
        <w:spacing w:after="0"/>
        <w:rPr>
          <w:sz w:val="20"/>
          <w:szCs w:val="20"/>
          <w:color w:val="auto"/>
        </w:rPr>
      </w:pPr>
      <w:r>
        <w:rPr>
          <w:rFonts w:ascii="Arial" w:cs="Arial" w:eastAsia="Arial" w:hAnsi="Arial"/>
          <w:sz w:val="24"/>
          <w:szCs w:val="24"/>
          <w:b w:val="1"/>
          <w:bCs w:val="1"/>
          <w:color w:val="D47C18"/>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980" w:type="dxa"/>
            <w:vAlign w:val="bottom"/>
          </w:tcPr>
          <w:p>
            <w:pPr>
              <w:jc w:val="center"/>
              <w:ind w:left="4306"/>
              <w:spacing w:after="0"/>
              <w:rPr>
                <w:sz w:val="20"/>
                <w:szCs w:val="20"/>
                <w:color w:val="auto"/>
              </w:rPr>
            </w:pPr>
            <w:r>
              <w:rPr>
                <w:rFonts w:ascii="Arial" w:cs="Arial" w:eastAsia="Arial" w:hAnsi="Arial"/>
                <w:sz w:val="19"/>
                <w:szCs w:val="19"/>
                <w:b w:val="1"/>
                <w:bCs w:val="1"/>
                <w:color w:val="auto"/>
                <w:w w:val="98"/>
              </w:rPr>
              <w:t>Revenue</w:t>
            </w:r>
          </w:p>
        </w:tc>
        <w:tc>
          <w:tcPr>
            <w:tcW w:w="5480" w:type="dxa"/>
            <w:vAlign w:val="bottom"/>
          </w:tcPr>
          <w:p>
            <w:pPr>
              <w:ind w:left="380"/>
              <w:spacing w:after="0"/>
              <w:rPr>
                <w:sz w:val="20"/>
                <w:szCs w:val="20"/>
                <w:color w:val="auto"/>
              </w:rPr>
            </w:pPr>
            <w:r>
              <w:rPr>
                <w:rFonts w:ascii="Arial" w:cs="Arial" w:eastAsia="Arial" w:hAnsi="Arial"/>
                <w:sz w:val="19"/>
                <w:szCs w:val="19"/>
                <w:b w:val="1"/>
                <w:bCs w:val="1"/>
                <w:color w:val="auto"/>
              </w:rPr>
              <w:t>Revenue Growth - CC</w:t>
            </w:r>
          </w:p>
        </w:tc>
      </w:tr>
      <w:tr>
        <w:trPr>
          <w:trHeight w:val="250"/>
        </w:trPr>
        <w:tc>
          <w:tcPr>
            <w:tcW w:w="5980" w:type="dxa"/>
            <w:vAlign w:val="bottom"/>
          </w:tcPr>
          <w:p>
            <w:pPr>
              <w:jc w:val="center"/>
              <w:ind w:left="4306"/>
              <w:spacing w:after="0"/>
              <w:rPr>
                <w:sz w:val="20"/>
                <w:szCs w:val="20"/>
                <w:color w:val="auto"/>
              </w:rPr>
            </w:pPr>
            <w:r>
              <w:rPr>
                <w:rFonts w:ascii="Arial" w:cs="Arial" w:eastAsia="Arial" w:hAnsi="Arial"/>
                <w:sz w:val="19"/>
                <w:szCs w:val="19"/>
                <w:b w:val="1"/>
                <w:bCs w:val="1"/>
                <w:color w:val="auto"/>
                <w:w w:val="99"/>
              </w:rPr>
              <w:t>Growth</w:t>
            </w:r>
          </w:p>
        </w:tc>
        <w:tc>
          <w:tcPr>
            <w:tcW w:w="5480" w:type="dxa"/>
            <w:vAlign w:val="bottom"/>
          </w:tcPr>
          <w:p>
            <w:pPr>
              <w:spacing w:after="0"/>
              <w:rPr>
                <w:sz w:val="21"/>
                <w:szCs w:val="21"/>
                <w:color w:val="auto"/>
              </w:rPr>
            </w:pPr>
          </w:p>
        </w:tc>
      </w:tr>
      <w:tr>
        <w:trPr>
          <w:trHeight w:val="955"/>
        </w:trPr>
        <w:tc>
          <w:tcPr>
            <w:tcW w:w="5980" w:type="dxa"/>
            <w:vAlign w:val="bottom"/>
            <w:tcBorders>
              <w:bottom w:val="single" w:sz="8" w:color="808080"/>
            </w:tcBorders>
          </w:tcPr>
          <w:p>
            <w:pPr>
              <w:spacing w:after="0"/>
              <w:rPr>
                <w:sz w:val="24"/>
                <w:szCs w:val="24"/>
                <w:color w:val="auto"/>
              </w:rPr>
            </w:pPr>
          </w:p>
        </w:tc>
        <w:tc>
          <w:tcPr>
            <w:tcW w:w="5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21" w:name="page22"/>
    <w:bookmarkEnd w:id="21"/>
    <w:p>
      <w:pPr>
        <w:jc w:val="right"/>
        <w:ind w:right="159"/>
        <w:spacing w:after="0"/>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715010</wp:posOffset>
            </wp:positionH>
            <wp:positionV relativeFrom="page">
              <wp:posOffset>159385</wp:posOffset>
            </wp:positionV>
            <wp:extent cx="6131560" cy="45986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131560" cy="4598670"/>
                    </a:xfrm>
                    <a:prstGeom prst="rect">
                      <a:avLst/>
                    </a:prstGeom>
                    <a:noFill/>
                  </pic:spPr>
                </pic:pic>
              </a:graphicData>
            </a:graphic>
          </wp:anchor>
        </w:drawing>
        <w:t>12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40"/>
          <w:szCs w:val="40"/>
          <w:color w:val="6698C2"/>
        </w:rPr>
        <w:t>Right Management Segment</w:t>
      </w:r>
    </w:p>
    <w:p>
      <w:pPr>
        <w:spacing w:after="0" w:line="5" w:lineRule="exact"/>
        <w:rPr>
          <w:sz w:val="20"/>
          <w:szCs w:val="20"/>
          <w:color w:val="auto"/>
        </w:rPr>
      </w:pPr>
    </w:p>
    <w:p>
      <w:pPr>
        <w:ind w:left="420"/>
        <w:spacing w:after="0"/>
        <w:rPr>
          <w:sz w:val="20"/>
          <w:szCs w:val="20"/>
          <w:color w:val="auto"/>
        </w:rPr>
      </w:pPr>
      <w:r>
        <w:rPr>
          <w:rFonts w:ascii="Arial" w:cs="Arial" w:eastAsia="Arial" w:hAnsi="Arial"/>
          <w:sz w:val="27"/>
          <w:szCs w:val="27"/>
          <w:color w:val="6698C2"/>
        </w:rPr>
        <w:t>(3% of Revenue)</w:t>
      </w:r>
    </w:p>
    <w:p>
      <w:pPr>
        <w:spacing w:after="0" w:line="216" w:lineRule="exact"/>
        <w:rPr>
          <w:sz w:val="20"/>
          <w:szCs w:val="20"/>
          <w:color w:val="auto"/>
        </w:rPr>
      </w:pPr>
    </w:p>
    <w:p>
      <w:pPr>
        <w:ind w:left="3280"/>
        <w:spacing w:after="0"/>
        <w:rPr>
          <w:sz w:val="20"/>
          <w:szCs w:val="20"/>
          <w:color w:val="auto"/>
        </w:rPr>
      </w:pPr>
      <w:r>
        <w:rPr>
          <w:rFonts w:ascii="Arial" w:cs="Arial" w:eastAsia="Arial" w:hAnsi="Arial"/>
          <w:sz w:val="35"/>
          <w:szCs w:val="35"/>
          <w:b w:val="1"/>
          <w:bCs w:val="1"/>
          <w:color w:val="auto"/>
        </w:rPr>
        <w:t>Q1 Financial Highlights</w:t>
      </w:r>
    </w:p>
    <w:p>
      <w:pPr>
        <w:spacing w:after="0" w:line="269" w:lineRule="exact"/>
        <w:rPr>
          <w:sz w:val="20"/>
          <w:szCs w:val="20"/>
          <w:color w:val="auto"/>
        </w:rPr>
      </w:pPr>
    </w:p>
    <w:tbl>
      <w:tblPr>
        <w:tblLayout w:type="fixed"/>
        <w:tblInd w:w="2060" w:type="dxa"/>
        <w:tblCellMar>
          <w:top w:w="0" w:type="dxa"/>
          <w:left w:w="0" w:type="dxa"/>
          <w:bottom w:w="0" w:type="dxa"/>
          <w:right w:w="0" w:type="dxa"/>
        </w:tblCellMar>
      </w:tblPr>
      <w:tr>
        <w:trPr>
          <w:trHeight w:val="387"/>
        </w:trPr>
        <w:tc>
          <w:tcPr>
            <w:tcW w:w="1080" w:type="dxa"/>
            <w:vAlign w:val="bottom"/>
          </w:tcPr>
          <w:p>
            <w:pPr>
              <w:jc w:val="right"/>
              <w:ind w:right="79"/>
              <w:spacing w:after="0"/>
              <w:rPr>
                <w:sz w:val="20"/>
                <w:szCs w:val="20"/>
                <w:color w:val="auto"/>
              </w:rPr>
            </w:pPr>
            <w:r>
              <w:rPr>
                <w:rFonts w:ascii="Arial" w:cs="Arial" w:eastAsia="Arial" w:hAnsi="Arial"/>
                <w:sz w:val="32"/>
                <w:szCs w:val="32"/>
                <w:color w:val="auto"/>
              </w:rPr>
              <w:t>24%</w:t>
            </w:r>
          </w:p>
        </w:tc>
        <w:tc>
          <w:tcPr>
            <w:tcW w:w="2920" w:type="dxa"/>
            <w:vAlign w:val="bottom"/>
            <w:vMerge w:val="restart"/>
          </w:tcPr>
          <w:p>
            <w:pPr>
              <w:ind w:left="240"/>
              <w:spacing w:after="0"/>
              <w:rPr>
                <w:sz w:val="20"/>
                <w:szCs w:val="20"/>
                <w:color w:val="auto"/>
              </w:rPr>
            </w:pPr>
            <w:r>
              <w:rPr>
                <w:rFonts w:ascii="Arial" w:cs="Arial" w:eastAsia="Arial" w:hAnsi="Arial"/>
                <w:sz w:val="35"/>
                <w:szCs w:val="35"/>
                <w:b w:val="1"/>
                <w:bCs w:val="1"/>
                <w:color w:val="auto"/>
                <w:w w:val="98"/>
              </w:rPr>
              <w:t xml:space="preserve">Revenue </w:t>
            </w:r>
            <w:r>
              <w:rPr>
                <w:rFonts w:ascii="Arial" w:cs="Arial" w:eastAsia="Arial" w:hAnsi="Arial"/>
                <w:sz w:val="37"/>
                <w:szCs w:val="37"/>
                <w:b w:val="1"/>
                <w:bCs w:val="1"/>
                <w:color w:val="5F81AA"/>
                <w:w w:val="98"/>
              </w:rPr>
              <w:t>$103M</w:t>
            </w:r>
          </w:p>
        </w:tc>
        <w:tc>
          <w:tcPr>
            <w:tcW w:w="0" w:type="dxa"/>
            <w:vAlign w:val="bottom"/>
          </w:tcPr>
          <w:p>
            <w:pPr>
              <w:spacing w:after="0"/>
              <w:rPr>
                <w:sz w:val="1"/>
                <w:szCs w:val="1"/>
                <w:color w:val="auto"/>
              </w:rPr>
            </w:pPr>
          </w:p>
        </w:tc>
      </w:tr>
      <w:tr>
        <w:trPr>
          <w:trHeight w:val="207"/>
        </w:trPr>
        <w:tc>
          <w:tcPr>
            <w:tcW w:w="1080" w:type="dxa"/>
            <w:vAlign w:val="bottom"/>
            <w:vMerge w:val="restart"/>
          </w:tcPr>
          <w:p>
            <w:pPr>
              <w:ind w:left="80"/>
              <w:spacing w:after="0"/>
              <w:rPr>
                <w:sz w:val="20"/>
                <w:szCs w:val="20"/>
                <w:color w:val="auto"/>
              </w:rPr>
            </w:pPr>
            <w:r>
              <w:rPr>
                <w:rFonts w:ascii="Arial" w:cs="Arial" w:eastAsia="Arial" w:hAnsi="Arial"/>
                <w:sz w:val="32"/>
                <w:szCs w:val="32"/>
                <w:color w:val="auto"/>
              </w:rPr>
              <w:t>28%</w:t>
            </w:r>
          </w:p>
        </w:tc>
        <w:tc>
          <w:tcPr>
            <w:tcW w:w="2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080" w:type="dxa"/>
            <w:vAlign w:val="bottom"/>
            <w:vMerge w:val="continue"/>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080" w:type="dxa"/>
            <w:vAlign w:val="bottom"/>
          </w:tcPr>
          <w:p>
            <w:pPr>
              <w:jc w:val="right"/>
              <w:ind w:right="279"/>
              <w:spacing w:after="0" w:line="290" w:lineRule="exact"/>
              <w:rPr>
                <w:sz w:val="20"/>
                <w:szCs w:val="20"/>
                <w:color w:val="auto"/>
              </w:rPr>
            </w:pPr>
            <w:r>
              <w:rPr>
                <w:rFonts w:ascii="Arial" w:cs="Arial" w:eastAsia="Arial" w:hAnsi="Arial"/>
                <w:sz w:val="32"/>
                <w:szCs w:val="32"/>
                <w:color w:val="auto"/>
              </w:rPr>
              <w:t>CC</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080" w:type="dxa"/>
            <w:vAlign w:val="bottom"/>
          </w:tcPr>
          <w:p>
            <w:pPr>
              <w:ind w:left="20"/>
              <w:spacing w:after="0" w:line="292" w:lineRule="exact"/>
              <w:rPr>
                <w:sz w:val="20"/>
                <w:szCs w:val="20"/>
                <w:color w:val="auto"/>
              </w:rPr>
            </w:pPr>
            <w:r>
              <w:rPr>
                <w:rFonts w:ascii="Arial" w:cs="Arial" w:eastAsia="Arial" w:hAnsi="Arial"/>
                <w:sz w:val="32"/>
                <w:szCs w:val="32"/>
                <w:color w:val="auto"/>
              </w:rPr>
              <w:t>57%</w:t>
            </w:r>
          </w:p>
        </w:tc>
        <w:tc>
          <w:tcPr>
            <w:tcW w:w="2920" w:type="dxa"/>
            <w:vAlign w:val="bottom"/>
            <w:vMerge w:val="restart"/>
          </w:tcPr>
          <w:p>
            <w:pPr>
              <w:ind w:left="280"/>
              <w:spacing w:after="0"/>
              <w:rPr>
                <w:sz w:val="20"/>
                <w:szCs w:val="20"/>
                <w:color w:val="auto"/>
              </w:rPr>
            </w:pPr>
            <w:r>
              <w:rPr>
                <w:rFonts w:ascii="Arial" w:cs="Arial" w:eastAsia="Arial" w:hAnsi="Arial"/>
                <w:sz w:val="35"/>
                <w:szCs w:val="35"/>
                <w:b w:val="1"/>
                <w:bCs w:val="1"/>
                <w:color w:val="auto"/>
              </w:rPr>
              <w:t xml:space="preserve">OUP </w:t>
            </w:r>
            <w:r>
              <w:rPr>
                <w:rFonts w:ascii="Arial" w:cs="Arial" w:eastAsia="Arial" w:hAnsi="Arial"/>
                <w:sz w:val="37"/>
                <w:szCs w:val="37"/>
                <w:b w:val="1"/>
                <w:bCs w:val="1"/>
                <w:color w:val="5F81AA"/>
              </w:rPr>
              <w:t>$13M</w:t>
            </w:r>
          </w:p>
        </w:tc>
        <w:tc>
          <w:tcPr>
            <w:tcW w:w="0" w:type="dxa"/>
            <w:vAlign w:val="bottom"/>
          </w:tcPr>
          <w:p>
            <w:pPr>
              <w:spacing w:after="0"/>
              <w:rPr>
                <w:sz w:val="1"/>
                <w:szCs w:val="1"/>
                <w:color w:val="auto"/>
              </w:rPr>
            </w:pPr>
          </w:p>
        </w:tc>
      </w:tr>
      <w:tr>
        <w:trPr>
          <w:trHeight w:val="212"/>
        </w:trPr>
        <w:tc>
          <w:tcPr>
            <w:tcW w:w="1080" w:type="dxa"/>
            <w:vAlign w:val="bottom"/>
            <w:vMerge w:val="restart"/>
          </w:tcPr>
          <w:p>
            <w:pPr>
              <w:jc w:val="right"/>
              <w:ind w:right="279"/>
              <w:spacing w:after="0"/>
              <w:rPr>
                <w:sz w:val="20"/>
                <w:szCs w:val="20"/>
                <w:color w:val="auto"/>
              </w:rPr>
            </w:pPr>
            <w:r>
              <w:rPr>
                <w:rFonts w:ascii="Arial" w:cs="Arial" w:eastAsia="Arial" w:hAnsi="Arial"/>
                <w:sz w:val="32"/>
                <w:szCs w:val="32"/>
                <w:color w:val="auto"/>
                <w:w w:val="96"/>
              </w:rPr>
              <w:t>58%</w:t>
            </w:r>
          </w:p>
        </w:tc>
        <w:tc>
          <w:tcPr>
            <w:tcW w:w="2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080" w:type="dxa"/>
            <w:vAlign w:val="bottom"/>
            <w:vMerge w:val="continue"/>
          </w:tcPr>
          <w:p>
            <w:pPr>
              <w:spacing w:after="0"/>
              <w:rPr>
                <w:sz w:val="14"/>
                <w:szCs w:val="14"/>
                <w:color w:val="auto"/>
              </w:rPr>
            </w:pP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1080" w:type="dxa"/>
            <w:vAlign w:val="bottom"/>
          </w:tcPr>
          <w:p>
            <w:pPr>
              <w:ind w:left="80"/>
              <w:spacing w:after="0" w:line="324" w:lineRule="exact"/>
              <w:rPr>
                <w:sz w:val="20"/>
                <w:szCs w:val="20"/>
                <w:color w:val="auto"/>
              </w:rPr>
            </w:pPr>
            <w:r>
              <w:rPr>
                <w:rFonts w:ascii="Arial" w:cs="Arial" w:eastAsia="Arial" w:hAnsi="Arial"/>
                <w:sz w:val="32"/>
                <w:szCs w:val="32"/>
                <w:color w:val="auto"/>
              </w:rPr>
              <w:t>CC</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760"/>
        <w:spacing w:after="0"/>
        <w:tabs>
          <w:tab w:leader="none" w:pos="3380" w:val="left"/>
        </w:tabs>
        <w:rPr>
          <w:sz w:val="20"/>
          <w:szCs w:val="20"/>
          <w:color w:val="auto"/>
        </w:rPr>
      </w:pPr>
      <w:r>
        <w:rPr>
          <w:rFonts w:ascii="Arial" w:cs="Arial" w:eastAsia="Arial" w:hAnsi="Arial"/>
          <w:sz w:val="32"/>
          <w:szCs w:val="32"/>
          <w:color w:val="auto"/>
        </w:rPr>
        <w:t>930 bps</w:t>
      </w:r>
      <w:r>
        <w:rPr>
          <w:sz w:val="20"/>
          <w:szCs w:val="20"/>
          <w:color w:val="auto"/>
        </w:rPr>
        <w:tab/>
      </w:r>
      <w:r>
        <w:rPr>
          <w:rFonts w:ascii="Arial" w:cs="Arial" w:eastAsia="Arial" w:hAnsi="Arial"/>
          <w:sz w:val="34"/>
          <w:szCs w:val="34"/>
          <w:b w:val="1"/>
          <w:bCs w:val="1"/>
          <w:color w:val="auto"/>
        </w:rPr>
        <w:t xml:space="preserve">OUP Margin </w:t>
      </w:r>
      <w:r>
        <w:rPr>
          <w:rFonts w:ascii="Arial" w:cs="Arial" w:eastAsia="Arial" w:hAnsi="Arial"/>
          <w:sz w:val="36"/>
          <w:szCs w:val="36"/>
          <w:b w:val="1"/>
          <w:bCs w:val="1"/>
          <w:color w:val="5F81AA"/>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1540510</wp:posOffset>
            </wp:positionV>
            <wp:extent cx="728789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019"/>
          </w:cols>
          <w:pgMar w:left="1440" w:top="372" w:right="1440" w:bottom="1440" w:gutter="0" w:footer="0" w:header="0"/>
        </w:sectPr>
      </w:pPr>
    </w:p>
    <w:bookmarkStart w:id="22" w:name="page23"/>
    <w:bookmarkEnd w:id="22"/>
    <w:p>
      <w:pPr>
        <w:jc w:val="right"/>
        <w:ind w:right="159"/>
        <w:spacing w:after="0"/>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715010</wp:posOffset>
            </wp:positionH>
            <wp:positionV relativeFrom="page">
              <wp:posOffset>159385</wp:posOffset>
            </wp:positionV>
            <wp:extent cx="6131560" cy="45986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131560" cy="4598670"/>
                    </a:xfrm>
                    <a:prstGeom prst="rect">
                      <a:avLst/>
                    </a:prstGeom>
                    <a:noFill/>
                  </pic:spPr>
                </pic:pic>
              </a:graphicData>
            </a:graphic>
          </wp:anchor>
        </w:drawing>
        <w:t>13</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0"/>
        <w:spacing w:after="0"/>
        <w:rPr>
          <w:sz w:val="20"/>
          <w:szCs w:val="20"/>
          <w:color w:val="auto"/>
        </w:rPr>
      </w:pPr>
      <w:r>
        <w:rPr>
          <w:rFonts w:ascii="Arial" w:cs="Arial" w:eastAsia="Arial" w:hAnsi="Arial"/>
          <w:sz w:val="40"/>
          <w:szCs w:val="40"/>
          <w:color w:val="6698C2"/>
        </w:rPr>
        <w:t>Jefferson Wells Segment</w:t>
      </w:r>
    </w:p>
    <w:p>
      <w:pPr>
        <w:spacing w:after="0" w:line="5" w:lineRule="exact"/>
        <w:rPr>
          <w:sz w:val="20"/>
          <w:szCs w:val="20"/>
          <w:color w:val="auto"/>
        </w:rPr>
      </w:pPr>
    </w:p>
    <w:p>
      <w:pPr>
        <w:ind w:left="520"/>
        <w:spacing w:after="0"/>
        <w:rPr>
          <w:sz w:val="20"/>
          <w:szCs w:val="20"/>
          <w:color w:val="auto"/>
        </w:rPr>
      </w:pPr>
      <w:r>
        <w:rPr>
          <w:rFonts w:ascii="Arial" w:cs="Arial" w:eastAsia="Arial" w:hAnsi="Arial"/>
          <w:sz w:val="27"/>
          <w:szCs w:val="27"/>
          <w:color w:val="6698C2"/>
        </w:rPr>
        <w:t>(1% of Revenue)</w:t>
      </w:r>
    </w:p>
    <w:p>
      <w:pPr>
        <w:spacing w:after="0" w:line="166" w:lineRule="exact"/>
        <w:rPr>
          <w:sz w:val="20"/>
          <w:szCs w:val="20"/>
          <w:color w:val="auto"/>
        </w:rPr>
      </w:pPr>
    </w:p>
    <w:p>
      <w:pPr>
        <w:ind w:left="3280"/>
        <w:spacing w:after="0"/>
        <w:rPr>
          <w:sz w:val="20"/>
          <w:szCs w:val="20"/>
          <w:color w:val="auto"/>
        </w:rPr>
      </w:pPr>
      <w:r>
        <w:rPr>
          <w:rFonts w:ascii="Arial" w:cs="Arial" w:eastAsia="Arial" w:hAnsi="Arial"/>
          <w:sz w:val="35"/>
          <w:szCs w:val="35"/>
          <w:b w:val="1"/>
          <w:bCs w:val="1"/>
          <w:color w:val="auto"/>
        </w:rPr>
        <w:t>Q1 Financial Highlights</w:t>
      </w:r>
    </w:p>
    <w:p>
      <w:pPr>
        <w:spacing w:after="0" w:line="378" w:lineRule="exact"/>
        <w:rPr>
          <w:sz w:val="20"/>
          <w:szCs w:val="20"/>
          <w:color w:val="auto"/>
        </w:rPr>
      </w:pPr>
    </w:p>
    <w:p>
      <w:pPr>
        <w:ind w:left="2140"/>
        <w:spacing w:after="0"/>
        <w:tabs>
          <w:tab w:leader="none" w:pos="3360" w:val="left"/>
        </w:tabs>
        <w:rPr>
          <w:sz w:val="20"/>
          <w:szCs w:val="20"/>
          <w:color w:val="auto"/>
        </w:rPr>
      </w:pPr>
      <w:r>
        <w:rPr>
          <w:rFonts w:ascii="Arial" w:cs="Arial" w:eastAsia="Arial" w:hAnsi="Arial"/>
          <w:sz w:val="32"/>
          <w:szCs w:val="32"/>
          <w:color w:val="auto"/>
        </w:rPr>
        <w:t>23%</w:t>
      </w:r>
      <w:r>
        <w:rPr>
          <w:sz w:val="20"/>
          <w:szCs w:val="20"/>
          <w:color w:val="auto"/>
        </w:rPr>
        <w:tab/>
      </w:r>
      <w:r>
        <w:rPr>
          <w:rFonts w:ascii="Arial" w:cs="Arial" w:eastAsia="Arial" w:hAnsi="Arial"/>
          <w:sz w:val="35"/>
          <w:szCs w:val="35"/>
          <w:b w:val="1"/>
          <w:bCs w:val="1"/>
          <w:color w:val="auto"/>
        </w:rPr>
        <w:t xml:space="preserve">Revenue </w:t>
      </w:r>
      <w:r>
        <w:rPr>
          <w:rFonts w:ascii="Arial" w:cs="Arial" w:eastAsia="Arial" w:hAnsi="Arial"/>
          <w:sz w:val="37"/>
          <w:szCs w:val="37"/>
          <w:b w:val="1"/>
          <w:bCs w:val="1"/>
          <w:color w:val="6698C2"/>
        </w:rPr>
        <w:t>$41M</w:t>
      </w:r>
    </w:p>
    <w:p>
      <w:pPr>
        <w:spacing w:after="0" w:line="200" w:lineRule="exact"/>
        <w:rPr>
          <w:sz w:val="20"/>
          <w:szCs w:val="20"/>
          <w:color w:val="auto"/>
        </w:rPr>
      </w:pPr>
    </w:p>
    <w:p>
      <w:pPr>
        <w:spacing w:after="0" w:line="356" w:lineRule="exact"/>
        <w:rPr>
          <w:sz w:val="20"/>
          <w:szCs w:val="20"/>
          <w:color w:val="auto"/>
        </w:rPr>
      </w:pPr>
    </w:p>
    <w:p>
      <w:pPr>
        <w:ind w:left="2220"/>
        <w:spacing w:after="0"/>
        <w:tabs>
          <w:tab w:leader="none" w:pos="3400" w:val="left"/>
        </w:tabs>
        <w:rPr>
          <w:sz w:val="20"/>
          <w:szCs w:val="20"/>
          <w:color w:val="auto"/>
        </w:rPr>
      </w:pPr>
      <w:r>
        <w:rPr>
          <w:rFonts w:ascii="Arial" w:cs="Arial" w:eastAsia="Arial" w:hAnsi="Arial"/>
          <w:sz w:val="32"/>
          <w:szCs w:val="32"/>
          <w:color w:val="auto"/>
        </w:rPr>
        <w:t>N/A</w:t>
      </w:r>
      <w:r>
        <w:rPr>
          <w:sz w:val="20"/>
          <w:szCs w:val="20"/>
          <w:color w:val="auto"/>
        </w:rPr>
        <w:tab/>
      </w:r>
      <w:r>
        <w:rPr>
          <w:rFonts w:ascii="Arial" w:cs="Arial" w:eastAsia="Arial" w:hAnsi="Arial"/>
          <w:sz w:val="35"/>
          <w:szCs w:val="35"/>
          <w:b w:val="1"/>
          <w:bCs w:val="1"/>
          <w:color w:val="auto"/>
        </w:rPr>
        <w:t xml:space="preserve">OUP </w:t>
      </w:r>
      <w:r>
        <w:rPr>
          <w:rFonts w:ascii="Arial" w:cs="Arial" w:eastAsia="Arial" w:hAnsi="Arial"/>
          <w:sz w:val="37"/>
          <w:szCs w:val="37"/>
          <w:b w:val="1"/>
          <w:bCs w:val="1"/>
          <w:color w:val="6698C2"/>
        </w:rPr>
        <w:t>$(5M)</w:t>
      </w:r>
    </w:p>
    <w:p>
      <w:pPr>
        <w:spacing w:after="0" w:line="200" w:lineRule="exact"/>
        <w:rPr>
          <w:sz w:val="20"/>
          <w:szCs w:val="20"/>
          <w:color w:val="auto"/>
        </w:rPr>
      </w:pPr>
    </w:p>
    <w:p>
      <w:pPr>
        <w:spacing w:after="0" w:line="210" w:lineRule="exact"/>
        <w:rPr>
          <w:sz w:val="20"/>
          <w:szCs w:val="20"/>
          <w:color w:val="auto"/>
        </w:rPr>
      </w:pPr>
    </w:p>
    <w:p>
      <w:pPr>
        <w:ind w:left="2880"/>
        <w:spacing w:after="0"/>
        <w:rPr>
          <w:sz w:val="20"/>
          <w:szCs w:val="20"/>
          <w:color w:val="auto"/>
        </w:rPr>
      </w:pPr>
      <w:r>
        <w:rPr>
          <w:rFonts w:ascii="Arial" w:cs="Arial" w:eastAsia="Arial" w:hAnsi="Arial"/>
          <w:sz w:val="15"/>
          <w:szCs w:val="15"/>
          <w:b w:val="1"/>
          <w:bCs w:val="1"/>
          <w:color w:val="6698C2"/>
        </w:rPr>
        <w:t>(1)</w:t>
      </w:r>
    </w:p>
    <w:p>
      <w:pPr>
        <w:ind w:left="1820"/>
        <w:spacing w:after="0"/>
        <w:tabs>
          <w:tab w:leader="none" w:pos="3380" w:val="left"/>
          <w:tab w:leader="none" w:pos="5980" w:val="left"/>
        </w:tabs>
        <w:rPr>
          <w:sz w:val="20"/>
          <w:szCs w:val="20"/>
          <w:color w:val="auto"/>
        </w:rPr>
      </w:pPr>
      <w:r>
        <w:rPr>
          <w:rFonts w:ascii="Arial" w:cs="Arial" w:eastAsia="Arial" w:hAnsi="Arial"/>
          <w:sz w:val="32"/>
          <w:szCs w:val="32"/>
          <w:color w:val="auto"/>
        </w:rPr>
        <w:t>250 bps</w:t>
      </w:r>
      <w:r>
        <w:rPr>
          <w:sz w:val="20"/>
          <w:szCs w:val="20"/>
          <w:color w:val="auto"/>
        </w:rPr>
        <w:tab/>
      </w:r>
      <w:r>
        <w:rPr>
          <w:rFonts w:ascii="Arial" w:cs="Arial" w:eastAsia="Arial" w:hAnsi="Arial"/>
          <w:sz w:val="35"/>
          <w:szCs w:val="35"/>
          <w:b w:val="1"/>
          <w:bCs w:val="1"/>
          <w:color w:val="auto"/>
        </w:rPr>
        <w:t>OUP Margin</w:t>
      </w:r>
      <w:r>
        <w:rPr>
          <w:sz w:val="20"/>
          <w:szCs w:val="20"/>
          <w:color w:val="auto"/>
        </w:rPr>
        <w:tab/>
      </w:r>
      <w:r>
        <w:rPr>
          <w:rFonts w:ascii="Arial" w:cs="Arial" w:eastAsia="Arial" w:hAnsi="Arial"/>
          <w:sz w:val="35"/>
          <w:szCs w:val="35"/>
          <w:b w:val="1"/>
          <w:bCs w:val="1"/>
          <w:color w:val="6698C2"/>
        </w:rPr>
        <w:t>-</w:t>
      </w:r>
    </w:p>
    <w:p>
      <w:pPr>
        <w:spacing w:after="0" w:line="26" w:lineRule="exact"/>
        <w:rPr>
          <w:sz w:val="20"/>
          <w:szCs w:val="20"/>
          <w:color w:val="auto"/>
        </w:rPr>
      </w:pPr>
    </w:p>
    <w:p>
      <w:pPr>
        <w:ind w:left="5540"/>
        <w:spacing w:after="0"/>
        <w:rPr>
          <w:sz w:val="20"/>
          <w:szCs w:val="20"/>
          <w:color w:val="auto"/>
        </w:rPr>
      </w:pPr>
      <w:r>
        <w:rPr>
          <w:rFonts w:ascii="Arial" w:cs="Arial" w:eastAsia="Arial" w:hAnsi="Arial"/>
          <w:sz w:val="38"/>
          <w:szCs w:val="38"/>
          <w:b w:val="1"/>
          <w:bCs w:val="1"/>
          <w:color w:val="6698C2"/>
        </w:rPr>
        <w:t>11.7%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0" w:hanging="170"/>
        <w:spacing w:after="0"/>
        <w:tabs>
          <w:tab w:leader="none" w:pos="600" w:val="left"/>
        </w:tabs>
        <w:numPr>
          <w:ilvl w:val="0"/>
          <w:numId w:val="11"/>
        </w:numPr>
        <w:rPr>
          <w:rFonts w:ascii="Arial" w:cs="Arial" w:eastAsia="Arial" w:hAnsi="Arial"/>
          <w:sz w:val="20"/>
          <w:szCs w:val="20"/>
          <w:b w:val="1"/>
          <w:bCs w:val="1"/>
          <w:color w:val="auto"/>
          <w:vertAlign w:val="superscript"/>
        </w:rPr>
      </w:pPr>
      <w:r>
        <w:rPr>
          <w:rFonts w:ascii="Arial" w:cs="Arial" w:eastAsia="Arial" w:hAnsi="Arial"/>
          <w:sz w:val="15"/>
          <w:szCs w:val="15"/>
          <w:color w:val="auto"/>
        </w:rPr>
        <w:t>2009 includes reorganization charges totaling $0.9M.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713740</wp:posOffset>
            </wp:positionV>
            <wp:extent cx="728789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019"/>
          </w:cols>
          <w:pgMar w:left="1440" w:top="372" w:right="1440" w:bottom="1440" w:gutter="0" w:footer="0" w:header="0"/>
        </w:sectPr>
      </w:pPr>
    </w:p>
    <w:bookmarkStart w:id="23" w:name="page24"/>
    <w:bookmarkEnd w:id="23"/>
    <w:p>
      <w:pPr>
        <w:jc w:val="right"/>
        <w:ind w:right="159"/>
        <w:spacing w:after="0"/>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715010</wp:posOffset>
            </wp:positionH>
            <wp:positionV relativeFrom="page">
              <wp:posOffset>159385</wp:posOffset>
            </wp:positionV>
            <wp:extent cx="6131560" cy="45986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131560" cy="4598670"/>
                    </a:xfrm>
                    <a:prstGeom prst="rect">
                      <a:avLst/>
                    </a:prstGeom>
                    <a:noFill/>
                  </pic:spPr>
                </pic:pic>
              </a:graphicData>
            </a:graphic>
          </wp:anchor>
        </w:drawing>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Arial" w:cs="Arial" w:eastAsia="Arial" w:hAnsi="Arial"/>
          <w:sz w:val="40"/>
          <w:szCs w:val="40"/>
          <w:color w:val="6698C2"/>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3635375</wp:posOffset>
            </wp:positionV>
            <wp:extent cx="728789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019"/>
          </w:cols>
          <w:pgMar w:left="1440" w:top="372" w:right="1440" w:bottom="1440" w:gutter="0" w:footer="0" w:header="0"/>
        </w:sectPr>
      </w:pPr>
    </w:p>
    <w:bookmarkStart w:id="24" w:name="page25"/>
    <w:bookmarkEnd w:id="24"/>
    <w:p>
      <w:pPr>
        <w:jc w:val="right"/>
        <w:ind w:right="159"/>
        <w:spacing w:after="0"/>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715010</wp:posOffset>
            </wp:positionH>
            <wp:positionV relativeFrom="page">
              <wp:posOffset>159385</wp:posOffset>
            </wp:positionV>
            <wp:extent cx="6131560" cy="45986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131560" cy="4598670"/>
                    </a:xfrm>
                    <a:prstGeom prst="rect">
                      <a:avLst/>
                    </a:prstGeom>
                    <a:noFill/>
                  </pic:spPr>
                </pic:pic>
              </a:graphicData>
            </a:graphic>
          </wp:anchor>
        </w:drawing>
        <w:t>15</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0" w:right="2019"/>
        <w:spacing w:after="0" w:line="248" w:lineRule="auto"/>
        <w:rPr>
          <w:sz w:val="20"/>
          <w:szCs w:val="20"/>
          <w:color w:val="auto"/>
        </w:rPr>
      </w:pPr>
      <w:r>
        <w:rPr>
          <w:rFonts w:ascii="Arial" w:cs="Arial" w:eastAsia="Arial" w:hAnsi="Arial"/>
          <w:sz w:val="40"/>
          <w:szCs w:val="40"/>
          <w:color w:val="6698C2"/>
        </w:rPr>
        <w:t>Results of Operations - Business Tax Reclassification</w:t>
      </w:r>
    </w:p>
    <w:p>
      <w:pPr>
        <w:spacing w:after="0" w:line="2" w:lineRule="exact"/>
        <w:rPr>
          <w:sz w:val="20"/>
          <w:szCs w:val="20"/>
          <w:color w:val="auto"/>
        </w:rPr>
      </w:pPr>
    </w:p>
    <w:p>
      <w:pPr>
        <w:ind w:left="420"/>
        <w:spacing w:after="0"/>
        <w:rPr>
          <w:sz w:val="20"/>
          <w:szCs w:val="20"/>
          <w:color w:val="auto"/>
        </w:rPr>
      </w:pPr>
      <w:r>
        <w:rPr>
          <w:rFonts w:ascii="Arial" w:cs="Arial" w:eastAsia="Arial" w:hAnsi="Arial"/>
          <w:sz w:val="17"/>
          <w:szCs w:val="17"/>
          <w:color w:val="6698C2"/>
        </w:rPr>
        <w:t>(in millions of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3460115</wp:posOffset>
            </wp:positionV>
            <wp:extent cx="728789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019"/>
          </w:cols>
          <w:pgMar w:left="1440" w:top="372" w:right="1440" w:bottom="1440" w:gutter="0" w:footer="0" w:header="0"/>
        </w:sectPr>
      </w:pPr>
    </w:p>
    <w:bookmarkStart w:id="25" w:name="page26"/>
    <w:bookmarkEnd w:id="25"/>
    <w:p>
      <w:pPr>
        <w:jc w:val="right"/>
        <w:ind w:right="159"/>
        <w:spacing w:after="0"/>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715010</wp:posOffset>
            </wp:positionH>
            <wp:positionV relativeFrom="page">
              <wp:posOffset>159385</wp:posOffset>
            </wp:positionV>
            <wp:extent cx="6131560" cy="45986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131560" cy="4598670"/>
                    </a:xfrm>
                    <a:prstGeom prst="rect">
                      <a:avLst/>
                    </a:prstGeom>
                    <a:noFill/>
                  </pic:spPr>
                </pic:pic>
              </a:graphicData>
            </a:graphic>
          </wp:anchor>
        </w:drawing>
        <w:t>16</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80"/>
        <w:spacing w:after="0"/>
        <w:rPr>
          <w:sz w:val="20"/>
          <w:szCs w:val="20"/>
          <w:color w:val="auto"/>
        </w:rPr>
      </w:pPr>
      <w:r>
        <w:rPr>
          <w:rFonts w:ascii="Arial" w:cs="Arial" w:eastAsia="Arial" w:hAnsi="Arial"/>
          <w:sz w:val="40"/>
          <w:szCs w:val="40"/>
          <w:color w:val="6698C2"/>
        </w:rPr>
        <w:t>Segment Operating Unit Results</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20"/>
          <w:szCs w:val="20"/>
          <w:color w:val="6698C2"/>
        </w:rPr>
        <w:t>(in millions of USD)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left="6800"/>
        <w:spacing w:after="0"/>
        <w:rPr>
          <w:sz w:val="20"/>
          <w:szCs w:val="20"/>
          <w:color w:val="auto"/>
        </w:rPr>
      </w:pPr>
      <w:r>
        <w:rPr>
          <w:rFonts w:ascii="Arial" w:cs="Arial" w:eastAsia="Arial" w:hAnsi="Arial"/>
          <w:sz w:val="17"/>
          <w:szCs w:val="17"/>
          <w:b w:val="1"/>
          <w:bCs w:val="1"/>
          <w:color w:val="5F81AA"/>
        </w:rPr>
        <w:t>Reclass of French</w:t>
      </w:r>
    </w:p>
    <w:p>
      <w:pPr>
        <w:spacing w:after="0" w:line="28" w:lineRule="exact"/>
        <w:rPr>
          <w:sz w:val="20"/>
          <w:szCs w:val="20"/>
          <w:color w:val="auto"/>
        </w:rPr>
      </w:pPr>
    </w:p>
    <w:p>
      <w:pPr>
        <w:jc w:val="center"/>
        <w:ind w:left="6800"/>
        <w:spacing w:after="0"/>
        <w:rPr>
          <w:sz w:val="20"/>
          <w:szCs w:val="20"/>
          <w:color w:val="auto"/>
        </w:rPr>
      </w:pPr>
      <w:r>
        <w:rPr>
          <w:rFonts w:ascii="Arial" w:cs="Arial" w:eastAsia="Arial" w:hAnsi="Arial"/>
          <w:sz w:val="17"/>
          <w:szCs w:val="17"/>
          <w:b w:val="1"/>
          <w:bCs w:val="1"/>
          <w:color w:val="5F81AA"/>
        </w:rPr>
        <w:t>Business Tax to</w:t>
      </w:r>
    </w:p>
    <w:p>
      <w:pPr>
        <w:spacing w:after="0" w:line="6" w:lineRule="exact"/>
        <w:rPr>
          <w:sz w:val="20"/>
          <w:szCs w:val="20"/>
          <w:color w:val="auto"/>
        </w:rPr>
      </w:pPr>
    </w:p>
    <w:p>
      <w:pPr>
        <w:jc w:val="center"/>
        <w:ind w:left="6800"/>
        <w:spacing w:after="0"/>
        <w:rPr>
          <w:sz w:val="20"/>
          <w:szCs w:val="20"/>
          <w:color w:val="auto"/>
        </w:rPr>
      </w:pPr>
      <w:r>
        <w:rPr>
          <w:rFonts w:ascii="Arial" w:cs="Arial" w:eastAsia="Arial" w:hAnsi="Arial"/>
          <w:sz w:val="17"/>
          <w:szCs w:val="17"/>
          <w:b w:val="1"/>
          <w:bCs w:val="1"/>
          <w:color w:val="5F81AA"/>
        </w:rPr>
        <w:t>Provision for</w:t>
      </w:r>
    </w:p>
    <w:p>
      <w:pPr>
        <w:spacing w:after="0" w:line="6" w:lineRule="exact"/>
        <w:rPr>
          <w:sz w:val="20"/>
          <w:szCs w:val="20"/>
          <w:color w:val="auto"/>
        </w:rPr>
      </w:pPr>
    </w:p>
    <w:p>
      <w:pPr>
        <w:jc w:val="center"/>
        <w:ind w:left="6800"/>
        <w:spacing w:after="0"/>
        <w:rPr>
          <w:sz w:val="20"/>
          <w:szCs w:val="20"/>
          <w:color w:val="auto"/>
        </w:rPr>
      </w:pPr>
      <w:r>
        <w:rPr>
          <w:rFonts w:ascii="Arial" w:cs="Arial" w:eastAsia="Arial" w:hAnsi="Arial"/>
          <w:sz w:val="17"/>
          <w:szCs w:val="17"/>
          <w:b w:val="1"/>
          <w:bCs w:val="1"/>
          <w:color w:val="5F81AA"/>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2304415</wp:posOffset>
            </wp:positionV>
            <wp:extent cx="728789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019"/>
          </w:cols>
          <w:pgMar w:left="1440" w:top="372" w:right="1440"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159385</wp:posOffset>
            </wp:positionV>
            <wp:extent cx="6131560" cy="45986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131560" cy="459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0"/>
        <w:spacing w:after="0"/>
        <w:rPr>
          <w:sz w:val="20"/>
          <w:szCs w:val="20"/>
          <w:color w:val="auto"/>
        </w:rPr>
      </w:pPr>
      <w:r>
        <w:rPr>
          <w:rFonts w:ascii="Arial" w:cs="Arial" w:eastAsia="Arial" w:hAnsi="Arial"/>
          <w:sz w:val="40"/>
          <w:szCs w:val="40"/>
          <w:color w:val="6698C2"/>
        </w:rPr>
        <w:t>Cash Flow Summary - Q1</w:t>
      </w:r>
    </w:p>
    <w:p>
      <w:pPr>
        <w:spacing w:after="0" w:line="281" w:lineRule="exact"/>
        <w:rPr>
          <w:sz w:val="20"/>
          <w:szCs w:val="20"/>
          <w:color w:val="auto"/>
        </w:rPr>
      </w:pPr>
    </w:p>
    <w:p>
      <w:pPr>
        <w:ind w:left="380"/>
        <w:spacing w:after="0"/>
        <w:rPr>
          <w:sz w:val="20"/>
          <w:szCs w:val="20"/>
          <w:color w:val="auto"/>
        </w:rPr>
      </w:pPr>
      <w:r>
        <w:rPr>
          <w:rFonts w:ascii="Arial" w:cs="Arial" w:eastAsia="Arial" w:hAnsi="Arial"/>
          <w:sz w:val="24"/>
          <w:szCs w:val="24"/>
          <w:color w:val="7EA190"/>
        </w:rPr>
        <w:t>($ in millions)</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27"/>
          <w:szCs w:val="27"/>
          <w:b w:val="1"/>
          <w:bCs w:val="1"/>
          <w:color w:val="auto"/>
        </w:rPr>
        <w:t>Cash from Operations</w:t>
      </w:r>
    </w:p>
    <w:p>
      <w:pPr>
        <w:spacing w:after="0" w:line="102" w:lineRule="exact"/>
        <w:rPr>
          <w:sz w:val="20"/>
          <w:szCs w:val="20"/>
          <w:color w:val="auto"/>
        </w:rPr>
      </w:pPr>
    </w:p>
    <w:p>
      <w:pPr>
        <w:ind w:left="1240"/>
        <w:spacing w:after="0"/>
        <w:rPr>
          <w:sz w:val="20"/>
          <w:szCs w:val="20"/>
          <w:color w:val="auto"/>
        </w:rPr>
      </w:pPr>
      <w:r>
        <w:rPr>
          <w:rFonts w:ascii="Arial" w:cs="Arial" w:eastAsia="Arial" w:hAnsi="Arial"/>
          <w:sz w:val="27"/>
          <w:szCs w:val="27"/>
          <w:b w:val="1"/>
          <w:bCs w:val="1"/>
          <w:color w:val="auto"/>
        </w:rPr>
        <w:t>Capital</w:t>
      </w:r>
    </w:p>
    <w:p>
      <w:pPr>
        <w:ind w:left="740"/>
        <w:spacing w:after="0" w:line="219" w:lineRule="auto"/>
        <w:rPr>
          <w:sz w:val="20"/>
          <w:szCs w:val="20"/>
          <w:color w:val="auto"/>
        </w:rPr>
      </w:pPr>
      <w:r>
        <w:rPr>
          <w:rFonts w:ascii="Arial" w:cs="Arial" w:eastAsia="Arial" w:hAnsi="Arial"/>
          <w:sz w:val="27"/>
          <w:szCs w:val="27"/>
          <w:b w:val="1"/>
          <w:bCs w:val="1"/>
          <w:color w:val="auto"/>
        </w:rPr>
        <w:t>Free</w:t>
      </w:r>
      <w:r>
        <w:rPr>
          <w:rFonts w:ascii="Arial" w:cs="Arial" w:eastAsia="Arial" w:hAnsi="Arial"/>
          <w:sz w:val="53"/>
          <w:szCs w:val="53"/>
          <w:b w:val="1"/>
          <w:bCs w:val="1"/>
          <w:color w:val="auto"/>
          <w:vertAlign w:val="superscript"/>
        </w:rPr>
        <w:t>Expenditures</w:t>
      </w:r>
      <w:r>
        <w:rPr>
          <w:rFonts w:ascii="Arial" w:cs="Arial" w:eastAsia="Arial" w:hAnsi="Arial"/>
          <w:sz w:val="27"/>
          <w:szCs w:val="27"/>
          <w:b w:val="1"/>
          <w:bCs w:val="1"/>
          <w:color w:val="auto"/>
        </w:rPr>
        <w:t>CashFlow</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7"/>
          <w:szCs w:val="27"/>
          <w:b w:val="1"/>
          <w:bCs w:val="1"/>
          <w:color w:val="auto"/>
        </w:rPr>
        <w:t>Share Repurchases</w:t>
      </w:r>
    </w:p>
    <w:p>
      <w:pPr>
        <w:spacing w:after="0" w:line="88" w:lineRule="exact"/>
        <w:rPr>
          <w:sz w:val="20"/>
          <w:szCs w:val="20"/>
          <w:color w:val="auto"/>
        </w:rPr>
      </w:pPr>
    </w:p>
    <w:p>
      <w:pPr>
        <w:jc w:val="center"/>
        <w:ind w:right="2380"/>
        <w:spacing w:after="0"/>
        <w:rPr>
          <w:sz w:val="20"/>
          <w:szCs w:val="20"/>
          <w:color w:val="auto"/>
        </w:rPr>
      </w:pPr>
      <w:r>
        <w:rPr>
          <w:rFonts w:ascii="Arial" w:cs="Arial" w:eastAsia="Arial" w:hAnsi="Arial"/>
          <w:sz w:val="27"/>
          <w:szCs w:val="27"/>
          <w:b w:val="1"/>
          <w:bCs w:val="1"/>
          <w:color w:val="auto"/>
        </w:rPr>
        <w:t>Change in</w:t>
      </w:r>
    </w:p>
    <w:p>
      <w:pPr>
        <w:jc w:val="center"/>
        <w:ind w:right="2380"/>
        <w:spacing w:after="0" w:line="185" w:lineRule="auto"/>
        <w:rPr>
          <w:sz w:val="20"/>
          <w:szCs w:val="20"/>
          <w:color w:val="auto"/>
        </w:rPr>
      </w:pPr>
      <w:r>
        <w:rPr>
          <w:rFonts w:ascii="Arial" w:cs="Arial" w:eastAsia="Arial" w:hAnsi="Arial"/>
          <w:sz w:val="13"/>
          <w:szCs w:val="13"/>
          <w:b w:val="1"/>
          <w:bCs w:val="1"/>
          <w:color w:val="auto"/>
        </w:rPr>
        <w:t>Debt</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27"/>
          <w:szCs w:val="27"/>
          <w:b w:val="1"/>
          <w:bCs w:val="1"/>
          <w:color w:val="auto"/>
        </w:rPr>
        <w:t>Acquisitions of</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27"/>
          <w:szCs w:val="27"/>
          <w:b w:val="1"/>
          <w:bCs w:val="1"/>
          <w:color w:val="auto"/>
        </w:rPr>
        <w:t>Businesses,netofcash acquired</w:t>
      </w:r>
    </w:p>
    <w:p>
      <w:pPr>
        <w:spacing w:after="0" w:line="22" w:lineRule="exact"/>
        <w:rPr>
          <w:sz w:val="20"/>
          <w:szCs w:val="20"/>
          <w:color w:val="auto"/>
        </w:rPr>
      </w:pPr>
    </w:p>
    <w:p>
      <w:pPr>
        <w:ind w:left="320" w:right="440"/>
        <w:spacing w:after="0" w:line="335" w:lineRule="auto"/>
        <w:rPr>
          <w:sz w:val="20"/>
          <w:szCs w:val="20"/>
          <w:color w:val="auto"/>
        </w:rPr>
      </w:pPr>
      <w:r>
        <w:rPr>
          <w:rFonts w:ascii="Arial" w:cs="Arial" w:eastAsia="Arial" w:hAnsi="Arial"/>
          <w:sz w:val="27"/>
          <w:szCs w:val="27"/>
          <w:b w:val="1"/>
          <w:bCs w:val="1"/>
          <w:color w:val="auto"/>
        </w:rPr>
        <w:t>Effect of Exchange Rate Changes Other</w:t>
      </w:r>
    </w:p>
    <w:p>
      <w:pPr>
        <w:spacing w:after="0" w:line="14" w:lineRule="exact"/>
        <w:rPr>
          <w:sz w:val="20"/>
          <w:szCs w:val="20"/>
          <w:color w:val="auto"/>
        </w:rPr>
      </w:pPr>
    </w:p>
    <w:p>
      <w:pPr>
        <w:ind w:left="800"/>
        <w:spacing w:after="0"/>
        <w:rPr>
          <w:sz w:val="20"/>
          <w:szCs w:val="20"/>
          <w:color w:val="auto"/>
        </w:rPr>
      </w:pPr>
      <w:r>
        <w:rPr>
          <w:rFonts w:ascii="Arial" w:cs="Arial" w:eastAsia="Arial" w:hAnsi="Arial"/>
          <w:sz w:val="27"/>
          <w:szCs w:val="27"/>
          <w:b w:val="1"/>
          <w:bCs w:val="1"/>
          <w:color w:val="auto"/>
        </w:rPr>
        <w:t>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939800</wp:posOffset>
            </wp:positionV>
            <wp:extent cx="728789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59"/>
        <w:spacing w:after="0"/>
        <w:rPr>
          <w:sz w:val="20"/>
          <w:szCs w:val="20"/>
          <w:color w:val="auto"/>
        </w:rPr>
      </w:pPr>
      <w:r>
        <w:rPr>
          <w:rFonts w:ascii="Arial" w:cs="Arial" w:eastAsia="Arial" w:hAnsi="Arial"/>
          <w:sz w:val="19"/>
          <w:szCs w:val="19"/>
          <w:color w:val="FFFFFF"/>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1540" w:val="left"/>
        </w:tabs>
        <w:rPr>
          <w:sz w:val="20"/>
          <w:szCs w:val="20"/>
          <w:color w:val="auto"/>
        </w:rPr>
      </w:pPr>
      <w:r>
        <w:rPr>
          <w:rFonts w:ascii="Arial" w:cs="Arial" w:eastAsia="Arial" w:hAnsi="Arial"/>
          <w:sz w:val="27"/>
          <w:szCs w:val="27"/>
          <w:b w:val="1"/>
          <w:bCs w:val="1"/>
          <w:color w:val="7EA190"/>
        </w:rPr>
        <w:t>2010</w:t>
      </w:r>
      <w:r>
        <w:rPr>
          <w:sz w:val="20"/>
          <w:szCs w:val="20"/>
          <w:color w:val="auto"/>
        </w:rPr>
        <w:tab/>
      </w:r>
      <w:r>
        <w:rPr>
          <w:rFonts w:ascii="Arial" w:cs="Arial" w:eastAsia="Arial" w:hAnsi="Arial"/>
          <w:sz w:val="27"/>
          <w:szCs w:val="27"/>
          <w:b w:val="1"/>
          <w:bCs w:val="1"/>
          <w:color w:val="7EA190"/>
        </w:rPr>
        <w:t>2009</w:t>
      </w:r>
    </w:p>
    <w:p>
      <w:pPr>
        <w:spacing w:after="0" w:line="216" w:lineRule="exact"/>
        <w:rPr>
          <w:sz w:val="20"/>
          <w:szCs w:val="20"/>
          <w:color w:val="auto"/>
        </w:rPr>
      </w:pPr>
    </w:p>
    <w:p>
      <w:pPr>
        <w:ind w:left="1700" w:hanging="1559"/>
        <w:spacing w:after="0"/>
        <w:tabs>
          <w:tab w:leader="none" w:pos="1700" w:val="left"/>
        </w:tabs>
        <w:numPr>
          <w:ilvl w:val="0"/>
          <w:numId w:val="12"/>
        </w:numPr>
        <w:rPr>
          <w:rFonts w:ascii="Arial" w:cs="Arial" w:eastAsia="Arial" w:hAnsi="Arial"/>
          <w:sz w:val="30"/>
          <w:szCs w:val="30"/>
          <w:b w:val="1"/>
          <w:bCs w:val="1"/>
          <w:color w:val="auto"/>
        </w:rPr>
      </w:pPr>
      <w:r>
        <w:rPr>
          <w:rFonts w:ascii="Arial" w:cs="Arial" w:eastAsia="Arial" w:hAnsi="Arial"/>
          <w:sz w:val="30"/>
          <w:szCs w:val="30"/>
          <w:b w:val="1"/>
          <w:bCs w:val="1"/>
          <w:color w:val="auto"/>
        </w:rPr>
        <w:t>250</w:t>
      </w:r>
    </w:p>
    <w:p>
      <w:pPr>
        <w:spacing w:after="0" w:line="57" w:lineRule="exact"/>
        <w:rPr>
          <w:sz w:val="20"/>
          <w:szCs w:val="20"/>
          <w:color w:val="auto"/>
        </w:rPr>
      </w:pPr>
    </w:p>
    <w:p>
      <w:pPr>
        <w:ind w:left="1900" w:hanging="1607"/>
        <w:spacing w:after="0"/>
        <w:tabs>
          <w:tab w:leader="none" w:pos="1900" w:val="left"/>
        </w:tabs>
        <w:numPr>
          <w:ilvl w:val="0"/>
          <w:numId w:val="13"/>
        </w:numPr>
        <w:rPr>
          <w:rFonts w:ascii="Arial" w:cs="Arial" w:eastAsia="Arial" w:hAnsi="Arial"/>
          <w:sz w:val="30"/>
          <w:szCs w:val="30"/>
          <w:b w:val="1"/>
          <w:bCs w:val="1"/>
          <w:color w:val="auto"/>
        </w:rPr>
      </w:pPr>
      <w:r>
        <w:rPr>
          <w:rFonts w:ascii="Arial" w:cs="Arial" w:eastAsia="Arial" w:hAnsi="Arial"/>
          <w:sz w:val="30"/>
          <w:szCs w:val="30"/>
          <w:b w:val="1"/>
          <w:bCs w:val="1"/>
          <w:color w:val="auto"/>
        </w:rPr>
        <w:t>(9)</w:t>
      </w:r>
    </w:p>
    <w:p>
      <w:pPr>
        <w:spacing w:after="0" w:line="46" w:lineRule="exact"/>
        <w:rPr>
          <w:sz w:val="20"/>
          <w:szCs w:val="20"/>
          <w:color w:val="auto"/>
        </w:rPr>
      </w:pPr>
    </w:p>
    <w:p>
      <w:pPr>
        <w:ind w:left="1680" w:hanging="1539"/>
        <w:spacing w:after="0"/>
        <w:tabs>
          <w:tab w:leader="none" w:pos="1680" w:val="left"/>
        </w:tabs>
        <w:numPr>
          <w:ilvl w:val="0"/>
          <w:numId w:val="14"/>
        </w:numPr>
        <w:rPr>
          <w:rFonts w:ascii="Arial" w:cs="Arial" w:eastAsia="Arial" w:hAnsi="Arial"/>
          <w:sz w:val="30"/>
          <w:szCs w:val="30"/>
          <w:b w:val="1"/>
          <w:bCs w:val="1"/>
          <w:color w:val="auto"/>
        </w:rPr>
      </w:pPr>
      <w:r>
        <w:rPr>
          <w:rFonts w:ascii="Arial" w:cs="Arial" w:eastAsia="Arial" w:hAnsi="Arial"/>
          <w:sz w:val="30"/>
          <w:szCs w:val="30"/>
          <w:b w:val="1"/>
          <w:bCs w:val="1"/>
          <w:color w:val="auto"/>
        </w:rPr>
        <w:t>241</w:t>
      </w:r>
    </w:p>
    <w:p>
      <w:pPr>
        <w:spacing w:after="0" w:line="109" w:lineRule="exact"/>
        <w:rPr>
          <w:sz w:val="20"/>
          <w:szCs w:val="20"/>
          <w:color w:val="auto"/>
        </w:rPr>
      </w:pPr>
    </w:p>
    <w:p>
      <w:pPr>
        <w:ind w:left="420"/>
        <w:spacing w:after="0"/>
        <w:tabs>
          <w:tab w:leader="none" w:pos="2000" w:val="left"/>
        </w:tabs>
        <w:rPr>
          <w:sz w:val="20"/>
          <w:szCs w:val="20"/>
          <w:color w:val="auto"/>
        </w:rPr>
      </w:pPr>
      <w:r>
        <w:rPr>
          <w:rFonts w:ascii="Arial" w:cs="Arial" w:eastAsia="Arial" w:hAnsi="Arial"/>
          <w:sz w:val="30"/>
          <w:szCs w:val="30"/>
          <w:b w:val="1"/>
          <w:bCs w:val="1"/>
          <w:color w:val="auto"/>
        </w:rPr>
        <w:t>-</w:t>
      </w:r>
      <w:r>
        <w:rPr>
          <w:sz w:val="20"/>
          <w:szCs w:val="20"/>
          <w:color w:val="auto"/>
        </w:rPr>
        <w:tab/>
      </w:r>
      <w:r>
        <w:rPr>
          <w:rFonts w:ascii="Arial" w:cs="Arial" w:eastAsia="Arial" w:hAnsi="Arial"/>
          <w:sz w:val="30"/>
          <w:szCs w:val="30"/>
          <w:b w:val="1"/>
          <w:bCs w:val="1"/>
          <w:color w:val="auto"/>
        </w:rPr>
        <w:t>-</w:t>
      </w:r>
    </w:p>
    <w:p>
      <w:pPr>
        <w:spacing w:after="0" w:line="57" w:lineRule="exact"/>
        <w:rPr>
          <w:sz w:val="20"/>
          <w:szCs w:val="20"/>
          <w:color w:val="auto"/>
        </w:rPr>
      </w:pPr>
    </w:p>
    <w:p>
      <w:pPr>
        <w:ind w:left="1800" w:hanging="1290"/>
        <w:spacing w:after="0"/>
        <w:tabs>
          <w:tab w:leader="none" w:pos="1800" w:val="left"/>
        </w:tabs>
        <w:numPr>
          <w:ilvl w:val="0"/>
          <w:numId w:val="15"/>
        </w:numPr>
        <w:rPr>
          <w:rFonts w:ascii="Arial" w:cs="Arial" w:eastAsia="Arial" w:hAnsi="Arial"/>
          <w:sz w:val="30"/>
          <w:szCs w:val="30"/>
          <w:b w:val="1"/>
          <w:bCs w:val="1"/>
          <w:color w:val="auto"/>
        </w:rPr>
      </w:pPr>
      <w:r>
        <w:rPr>
          <w:rFonts w:ascii="Arial" w:cs="Arial" w:eastAsia="Arial" w:hAnsi="Arial"/>
          <w:sz w:val="30"/>
          <w:szCs w:val="30"/>
          <w:b w:val="1"/>
          <w:bCs w:val="1"/>
          <w:color w:val="auto"/>
        </w:rPr>
        <w:t>(56)</w:t>
      </w:r>
    </w:p>
    <w:p>
      <w:pPr>
        <w:spacing w:after="0" w:line="188" w:lineRule="exact"/>
        <w:rPr>
          <w:rFonts w:ascii="Arial" w:cs="Arial" w:eastAsia="Arial" w:hAnsi="Arial"/>
          <w:sz w:val="30"/>
          <w:szCs w:val="30"/>
          <w:b w:val="1"/>
          <w:bCs w:val="1"/>
          <w:color w:val="auto"/>
        </w:rPr>
      </w:pPr>
    </w:p>
    <w:p>
      <w:pPr>
        <w:ind w:left="1720" w:hanging="1134"/>
        <w:spacing w:after="0"/>
        <w:tabs>
          <w:tab w:leader="none" w:pos="1720" w:val="left"/>
        </w:tabs>
        <w:numPr>
          <w:ilvl w:val="1"/>
          <w:numId w:val="15"/>
        </w:numPr>
        <w:rPr>
          <w:rFonts w:ascii="Arial" w:cs="Arial" w:eastAsia="Arial" w:hAnsi="Arial"/>
          <w:sz w:val="30"/>
          <w:szCs w:val="30"/>
          <w:b w:val="1"/>
          <w:bCs w:val="1"/>
          <w:color w:val="auto"/>
        </w:rPr>
      </w:pPr>
      <w:r>
        <w:rPr>
          <w:rFonts w:ascii="Arial" w:cs="Arial" w:eastAsia="Arial" w:hAnsi="Arial"/>
          <w:sz w:val="30"/>
          <w:szCs w:val="30"/>
          <w:b w:val="1"/>
          <w:bCs w:val="1"/>
          <w:color w:val="auto"/>
        </w:rPr>
        <w:t>(11)</w:t>
      </w:r>
    </w:p>
    <w:p>
      <w:pPr>
        <w:spacing w:after="0" w:line="208" w:lineRule="exact"/>
        <w:rPr>
          <w:sz w:val="20"/>
          <w:szCs w:val="20"/>
          <w:color w:val="auto"/>
        </w:rPr>
      </w:pPr>
    </w:p>
    <w:p>
      <w:pPr>
        <w:ind w:left="1720" w:hanging="1569"/>
        <w:spacing w:after="0"/>
        <w:tabs>
          <w:tab w:leader="none" w:pos="1720" w:val="left"/>
        </w:tabs>
        <w:numPr>
          <w:ilvl w:val="0"/>
          <w:numId w:val="16"/>
        </w:numPr>
        <w:rPr>
          <w:rFonts w:ascii="Arial" w:cs="Arial" w:eastAsia="Arial" w:hAnsi="Arial"/>
          <w:sz w:val="30"/>
          <w:szCs w:val="30"/>
          <w:b w:val="1"/>
          <w:bCs w:val="1"/>
          <w:color w:val="auto"/>
        </w:rPr>
      </w:pPr>
      <w:r>
        <w:rPr>
          <w:rFonts w:ascii="Arial" w:cs="Arial" w:eastAsia="Arial" w:hAnsi="Arial"/>
          <w:sz w:val="30"/>
          <w:szCs w:val="30"/>
          <w:b w:val="1"/>
          <w:bCs w:val="1"/>
          <w:color w:val="auto"/>
        </w:rPr>
        <w:t>(54)</w:t>
      </w:r>
    </w:p>
    <w:p>
      <w:pPr>
        <w:spacing w:after="0" w:line="46" w:lineRule="exact"/>
        <w:rPr>
          <w:rFonts w:ascii="Arial" w:cs="Arial" w:eastAsia="Arial" w:hAnsi="Arial"/>
          <w:sz w:val="30"/>
          <w:szCs w:val="30"/>
          <w:b w:val="1"/>
          <w:bCs w:val="1"/>
          <w:color w:val="auto"/>
        </w:rPr>
      </w:pPr>
    </w:p>
    <w:p>
      <w:pPr>
        <w:ind w:left="500"/>
        <w:spacing w:after="0"/>
        <w:rPr>
          <w:rFonts w:ascii="Arial" w:cs="Arial" w:eastAsia="Arial" w:hAnsi="Arial"/>
          <w:sz w:val="30"/>
          <w:szCs w:val="30"/>
          <w:b w:val="1"/>
          <w:bCs w:val="1"/>
          <w:color w:val="auto"/>
        </w:rPr>
      </w:pPr>
      <w:r>
        <w:rPr>
          <w:rFonts w:ascii="Arial" w:cs="Arial" w:eastAsia="Arial" w:hAnsi="Arial"/>
          <w:sz w:val="30"/>
          <w:szCs w:val="30"/>
          <w:b w:val="1"/>
          <w:bCs w:val="1"/>
          <w:color w:val="auto"/>
        </w:rPr>
        <w:t>5</w:t>
      </w:r>
      <w:r>
        <w:rPr>
          <w:rFonts w:ascii="Arial" w:cs="Arial" w:eastAsia="Arial" w:hAnsi="Arial"/>
          <w:sz w:val="28"/>
          <w:szCs w:val="28"/>
          <w:b w:val="1"/>
          <w:bCs w:val="1"/>
          <w:color w:val="auto"/>
        </w:rPr>
        <w:t>7</w:t>
      </w:r>
    </w:p>
    <w:p>
      <w:pPr>
        <w:spacing w:after="0" w:line="119" w:lineRule="exact"/>
        <w:rPr>
          <w:sz w:val="20"/>
          <w:szCs w:val="20"/>
          <w:color w:val="auto"/>
        </w:rPr>
      </w:pPr>
    </w:p>
    <w:p>
      <w:pPr>
        <w:ind w:left="1660" w:hanging="1509"/>
        <w:spacing w:after="0"/>
        <w:tabs>
          <w:tab w:leader="none" w:pos="1660" w:val="left"/>
        </w:tabs>
        <w:numPr>
          <w:ilvl w:val="0"/>
          <w:numId w:val="17"/>
        </w:numPr>
        <w:rPr>
          <w:rFonts w:ascii="Arial" w:cs="Arial" w:eastAsia="Arial" w:hAnsi="Arial"/>
          <w:sz w:val="30"/>
          <w:szCs w:val="30"/>
          <w:b w:val="1"/>
          <w:bCs w:val="1"/>
          <w:color w:val="auto"/>
        </w:rPr>
      </w:pPr>
      <w:r>
        <w:rPr>
          <w:rFonts w:ascii="Arial" w:cs="Arial" w:eastAsia="Arial" w:hAnsi="Arial"/>
          <w:sz w:val="30"/>
          <w:szCs w:val="30"/>
          <w:b w:val="1"/>
          <w:bCs w:val="1"/>
          <w:color w:val="auto"/>
        </w:rPr>
        <w:t>127</w:t>
      </w:r>
    </w:p>
    <w:p>
      <w:pPr>
        <w:sectPr>
          <w:pgSz w:w="11900" w:h="16838" w:orient="portrait"/>
          <w:cols w:equalWidth="0" w:num="2">
            <w:col w:w="5040" w:space="500"/>
            <w:col w:w="3479"/>
          </w:cols>
          <w:pgMar w:left="1440" w:top="372" w:right="1440" w:bottom="1440" w:gutter="0" w:footer="0" w:header="0"/>
        </w:sectPr>
      </w:pPr>
    </w:p>
    <w:bookmarkStart w:id="27" w:name="page28"/>
    <w:bookmarkEnd w:id="27"/>
    <w:p>
      <w:pPr>
        <w:jc w:val="right"/>
        <w:ind w:right="159"/>
        <w:spacing w:after="0"/>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715010</wp:posOffset>
            </wp:positionH>
            <wp:positionV relativeFrom="page">
              <wp:posOffset>159385</wp:posOffset>
            </wp:positionV>
            <wp:extent cx="6131560" cy="45986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131560" cy="4598670"/>
                    </a:xfrm>
                    <a:prstGeom prst="rect">
                      <a:avLst/>
                    </a:prstGeom>
                    <a:noFill/>
                  </pic:spPr>
                </pic:pic>
              </a:graphicData>
            </a:graphic>
          </wp:anchor>
        </w:drawing>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auto"/>
        </w:rPr>
        <w:t>Total Debt</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auto"/>
        </w:rPr>
        <w:t>Total Debt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2293620</wp:posOffset>
            </wp:positionV>
            <wp:extent cx="728789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019"/>
          </w:cols>
          <w:pgMar w:left="1440" w:top="372" w:right="1440" w:bottom="1440" w:gutter="0" w:footer="0" w:header="0"/>
        </w:sectPr>
      </w:pPr>
    </w:p>
    <w:bookmarkStart w:id="28" w:name="page29"/>
    <w:bookmarkEnd w:id="28"/>
    <w:p>
      <w:pPr>
        <w:jc w:val="right"/>
        <w:ind w:right="159"/>
        <w:spacing w:after="0"/>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715010</wp:posOffset>
            </wp:positionH>
            <wp:positionV relativeFrom="page">
              <wp:posOffset>159385</wp:posOffset>
            </wp:positionV>
            <wp:extent cx="6131560" cy="45986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131560" cy="4598670"/>
                    </a:xfrm>
                    <a:prstGeom prst="rect">
                      <a:avLst/>
                    </a:prstGeom>
                    <a:noFill/>
                  </pic:spPr>
                </pic:pic>
              </a:graphicData>
            </a:graphic>
          </wp:anchor>
        </w:drawing>
        <w:t>19</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00"/>
        <w:spacing w:after="0"/>
        <w:rPr>
          <w:sz w:val="20"/>
          <w:szCs w:val="20"/>
          <w:color w:val="auto"/>
        </w:rPr>
      </w:pPr>
      <w:r>
        <w:rPr>
          <w:rFonts w:ascii="Arial" w:cs="Arial" w:eastAsia="Arial" w:hAnsi="Arial"/>
          <w:sz w:val="40"/>
          <w:szCs w:val="40"/>
          <w:color w:val="6698C2"/>
        </w:rPr>
        <w:t>Credit Facilities as of March 31, 2010</w:t>
      </w:r>
    </w:p>
    <w:p>
      <w:pPr>
        <w:spacing w:after="0" w:line="8" w:lineRule="exact"/>
        <w:rPr>
          <w:sz w:val="20"/>
          <w:szCs w:val="20"/>
          <w:color w:val="auto"/>
        </w:rPr>
      </w:pPr>
    </w:p>
    <w:tbl>
      <w:tblPr>
        <w:tblLayout w:type="fixed"/>
        <w:tblInd w:w="400" w:type="dxa"/>
        <w:tblCellMar>
          <w:top w:w="0" w:type="dxa"/>
          <w:left w:w="0" w:type="dxa"/>
          <w:bottom w:w="0" w:type="dxa"/>
          <w:right w:w="0" w:type="dxa"/>
        </w:tblCellMar>
      </w:tblPr>
      <w:tr>
        <w:trPr>
          <w:trHeight w:val="226"/>
        </w:trPr>
        <w:tc>
          <w:tcPr>
            <w:tcW w:w="2400" w:type="dxa"/>
            <w:vAlign w:val="bottom"/>
          </w:tcPr>
          <w:p>
            <w:pPr>
              <w:spacing w:after="0"/>
              <w:rPr>
                <w:sz w:val="20"/>
                <w:szCs w:val="20"/>
                <w:color w:val="auto"/>
              </w:rPr>
            </w:pPr>
            <w:r>
              <w:rPr>
                <w:rFonts w:ascii="Arial" w:cs="Arial" w:eastAsia="Arial" w:hAnsi="Arial"/>
                <w:sz w:val="19"/>
                <w:szCs w:val="19"/>
                <w:color w:val="6698C2"/>
              </w:rPr>
              <w:t>($ in millions)</w:t>
            </w:r>
          </w:p>
        </w:tc>
        <w:tc>
          <w:tcPr>
            <w:tcW w:w="680" w:type="dxa"/>
            <w:vAlign w:val="bottom"/>
          </w:tcPr>
          <w:p>
            <w:pPr>
              <w:spacing w:after="0"/>
              <w:rPr>
                <w:sz w:val="19"/>
                <w:szCs w:val="19"/>
                <w:color w:val="auto"/>
              </w:rPr>
            </w:pPr>
          </w:p>
        </w:tc>
        <w:tc>
          <w:tcPr>
            <w:tcW w:w="1140" w:type="dxa"/>
            <w:vAlign w:val="bottom"/>
            <w:vMerge w:val="restart"/>
          </w:tcPr>
          <w:p>
            <w:pPr>
              <w:jc w:val="center"/>
              <w:ind w:left="86"/>
              <w:spacing w:after="0"/>
              <w:rPr>
                <w:sz w:val="20"/>
                <w:szCs w:val="20"/>
                <w:color w:val="auto"/>
              </w:rPr>
            </w:pPr>
            <w:r>
              <w:rPr>
                <w:rFonts w:ascii="Arial" w:cs="Arial" w:eastAsia="Arial" w:hAnsi="Arial"/>
                <w:sz w:val="19"/>
                <w:szCs w:val="19"/>
                <w:b w:val="1"/>
                <w:bCs w:val="1"/>
                <w:color w:val="D47C18"/>
                <w:w w:val="99"/>
              </w:rPr>
              <w:t>Interest</w:t>
            </w:r>
          </w:p>
        </w:tc>
        <w:tc>
          <w:tcPr>
            <w:tcW w:w="1120" w:type="dxa"/>
            <w:vAlign w:val="bottom"/>
            <w:vMerge w:val="restart"/>
          </w:tcPr>
          <w:p>
            <w:pPr>
              <w:jc w:val="center"/>
              <w:spacing w:after="0"/>
              <w:rPr>
                <w:sz w:val="20"/>
                <w:szCs w:val="20"/>
                <w:color w:val="auto"/>
              </w:rPr>
            </w:pPr>
            <w:r>
              <w:rPr>
                <w:rFonts w:ascii="Arial" w:cs="Arial" w:eastAsia="Arial" w:hAnsi="Arial"/>
                <w:sz w:val="19"/>
                <w:szCs w:val="19"/>
                <w:b w:val="1"/>
                <w:bCs w:val="1"/>
                <w:color w:val="D47C18"/>
                <w:w w:val="97"/>
              </w:rPr>
              <w:t>Maturity</w:t>
            </w:r>
          </w:p>
        </w:tc>
        <w:tc>
          <w:tcPr>
            <w:tcW w:w="1360" w:type="dxa"/>
            <w:vAlign w:val="bottom"/>
            <w:vMerge w:val="restart"/>
          </w:tcPr>
          <w:p>
            <w:pPr>
              <w:jc w:val="right"/>
              <w:ind w:right="366"/>
              <w:spacing w:after="0"/>
              <w:rPr>
                <w:sz w:val="20"/>
                <w:szCs w:val="20"/>
                <w:color w:val="auto"/>
              </w:rPr>
            </w:pPr>
            <w:r>
              <w:rPr>
                <w:rFonts w:ascii="Arial" w:cs="Arial" w:eastAsia="Arial" w:hAnsi="Arial"/>
                <w:sz w:val="19"/>
                <w:szCs w:val="19"/>
                <w:b w:val="1"/>
                <w:bCs w:val="1"/>
                <w:color w:val="D47C18"/>
              </w:rPr>
              <w:t>Total</w:t>
            </w:r>
          </w:p>
        </w:tc>
        <w:tc>
          <w:tcPr>
            <w:tcW w:w="1200" w:type="dxa"/>
            <w:vAlign w:val="bottom"/>
            <w:vMerge w:val="restart"/>
          </w:tcPr>
          <w:p>
            <w:pPr>
              <w:jc w:val="center"/>
              <w:spacing w:after="0"/>
              <w:rPr>
                <w:sz w:val="20"/>
                <w:szCs w:val="20"/>
                <w:color w:val="auto"/>
              </w:rPr>
            </w:pPr>
            <w:r>
              <w:rPr>
                <w:rFonts w:ascii="Arial" w:cs="Arial" w:eastAsia="Arial" w:hAnsi="Arial"/>
                <w:sz w:val="19"/>
                <w:szCs w:val="19"/>
                <w:b w:val="1"/>
                <w:bCs w:val="1"/>
                <w:color w:val="D47C18"/>
                <w:w w:val="98"/>
              </w:rPr>
              <w:t>Remaining</w:t>
            </w:r>
          </w:p>
        </w:tc>
        <w:tc>
          <w:tcPr>
            <w:tcW w:w="0" w:type="dxa"/>
            <w:vAlign w:val="bottom"/>
          </w:tcPr>
          <w:p>
            <w:pPr>
              <w:spacing w:after="0"/>
              <w:rPr>
                <w:sz w:val="1"/>
                <w:szCs w:val="1"/>
                <w:color w:val="auto"/>
              </w:rPr>
            </w:pPr>
          </w:p>
        </w:tc>
      </w:tr>
      <w:tr>
        <w:trPr>
          <w:trHeight w:val="223"/>
        </w:trPr>
        <w:tc>
          <w:tcPr>
            <w:tcW w:w="2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center"/>
              <w:ind w:left="86"/>
              <w:spacing w:after="0"/>
              <w:rPr>
                <w:sz w:val="20"/>
                <w:szCs w:val="20"/>
                <w:color w:val="auto"/>
              </w:rPr>
            </w:pPr>
            <w:r>
              <w:rPr>
                <w:rFonts w:ascii="Arial" w:cs="Arial" w:eastAsia="Arial" w:hAnsi="Arial"/>
                <w:sz w:val="19"/>
                <w:szCs w:val="19"/>
                <w:b w:val="1"/>
                <w:bCs w:val="1"/>
                <w:color w:val="D47C18"/>
                <w:w w:val="97"/>
              </w:rPr>
              <w:t>Rate</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D47C18"/>
                <w:w w:val="97"/>
              </w:rPr>
              <w:t>Date</w:t>
            </w:r>
          </w:p>
        </w:tc>
        <w:tc>
          <w:tcPr>
            <w:tcW w:w="1360" w:type="dxa"/>
            <w:vAlign w:val="bottom"/>
          </w:tcPr>
          <w:p>
            <w:pPr>
              <w:jc w:val="right"/>
              <w:ind w:right="46"/>
              <w:spacing w:after="0"/>
              <w:rPr>
                <w:sz w:val="20"/>
                <w:szCs w:val="20"/>
                <w:color w:val="auto"/>
              </w:rPr>
            </w:pPr>
            <w:r>
              <w:rPr>
                <w:rFonts w:ascii="Arial" w:cs="Arial" w:eastAsia="Arial" w:hAnsi="Arial"/>
                <w:sz w:val="19"/>
                <w:szCs w:val="19"/>
                <w:b w:val="1"/>
                <w:bCs w:val="1"/>
                <w:color w:val="D47C18"/>
              </w:rPr>
              <w:t>Outstanding</w:t>
            </w:r>
          </w:p>
        </w:tc>
        <w:tc>
          <w:tcPr>
            <w:tcW w:w="1200" w:type="dxa"/>
            <w:vAlign w:val="bottom"/>
          </w:tcPr>
          <w:p>
            <w:pPr>
              <w:jc w:val="center"/>
              <w:spacing w:after="0"/>
              <w:rPr>
                <w:sz w:val="20"/>
                <w:szCs w:val="20"/>
                <w:color w:val="auto"/>
              </w:rPr>
            </w:pPr>
            <w:r>
              <w:rPr>
                <w:rFonts w:ascii="Arial" w:cs="Arial" w:eastAsia="Arial" w:hAnsi="Arial"/>
                <w:sz w:val="19"/>
                <w:szCs w:val="19"/>
                <w:b w:val="1"/>
                <w:bCs w:val="1"/>
                <w:color w:val="D47C18"/>
                <w:w w:val="95"/>
              </w:rPr>
              <w:t>Available</w:t>
            </w:r>
          </w:p>
        </w:tc>
        <w:tc>
          <w:tcPr>
            <w:tcW w:w="0" w:type="dxa"/>
            <w:vAlign w:val="bottom"/>
          </w:tcPr>
          <w:p>
            <w:pPr>
              <w:spacing w:after="0"/>
              <w:rPr>
                <w:sz w:val="1"/>
                <w:szCs w:val="1"/>
                <w:color w:val="auto"/>
              </w:rPr>
            </w:pPr>
          </w:p>
        </w:tc>
      </w:tr>
      <w:tr>
        <w:trPr>
          <w:trHeight w:val="384"/>
        </w:trPr>
        <w:tc>
          <w:tcPr>
            <w:tcW w:w="2400" w:type="dxa"/>
            <w:vAlign w:val="bottom"/>
          </w:tcPr>
          <w:p>
            <w:pPr>
              <w:ind w:left="120"/>
              <w:spacing w:after="0"/>
              <w:rPr>
                <w:sz w:val="20"/>
                <w:szCs w:val="20"/>
                <w:color w:val="auto"/>
              </w:rPr>
            </w:pPr>
            <w:r>
              <w:rPr>
                <w:rFonts w:ascii="Arial" w:cs="Arial" w:eastAsia="Arial" w:hAnsi="Arial"/>
                <w:sz w:val="19"/>
                <w:szCs w:val="19"/>
                <w:b w:val="1"/>
                <w:bCs w:val="1"/>
                <w:color w:val="auto"/>
              </w:rPr>
              <w:t>Euro</w:t>
            </w: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400" w:type="dxa"/>
            <w:vAlign w:val="bottom"/>
          </w:tcPr>
          <w:p>
            <w:pPr>
              <w:ind w:left="120"/>
              <w:spacing w:after="0" w:line="193" w:lineRule="exact"/>
              <w:rPr>
                <w:sz w:val="20"/>
                <w:szCs w:val="20"/>
                <w:color w:val="auto"/>
              </w:rPr>
            </w:pPr>
            <w:r>
              <w:rPr>
                <w:rFonts w:ascii="Arial" w:cs="Arial" w:eastAsia="Arial" w:hAnsi="Arial"/>
                <w:sz w:val="19"/>
                <w:szCs w:val="19"/>
                <w:b w:val="1"/>
                <w:bCs w:val="1"/>
                <w:color w:val="auto"/>
              </w:rPr>
              <w:t>Notes:</w:t>
            </w:r>
          </w:p>
        </w:tc>
        <w:tc>
          <w:tcPr>
            <w:tcW w:w="680" w:type="dxa"/>
            <w:vAlign w:val="bottom"/>
          </w:tcPr>
          <w:p>
            <w:pPr>
              <w:spacing w:after="0"/>
              <w:rPr>
                <w:sz w:val="16"/>
                <w:szCs w:val="16"/>
                <w:color w:val="auto"/>
              </w:rPr>
            </w:pPr>
          </w:p>
        </w:tc>
        <w:tc>
          <w:tcPr>
            <w:tcW w:w="1140" w:type="dxa"/>
            <w:vAlign w:val="bottom"/>
            <w:vMerge w:val="restart"/>
          </w:tcPr>
          <w:p>
            <w:pPr>
              <w:jc w:val="center"/>
              <w:ind w:left="106"/>
              <w:spacing w:after="0"/>
              <w:rPr>
                <w:sz w:val="20"/>
                <w:szCs w:val="20"/>
                <w:color w:val="auto"/>
              </w:rPr>
            </w:pPr>
            <w:r>
              <w:rPr>
                <w:rFonts w:ascii="Arial" w:cs="Arial" w:eastAsia="Arial" w:hAnsi="Arial"/>
                <w:sz w:val="19"/>
                <w:szCs w:val="19"/>
                <w:b w:val="1"/>
                <w:bCs w:val="1"/>
                <w:color w:val="auto"/>
              </w:rPr>
              <w:t>4.86%</w:t>
            </w:r>
          </w:p>
        </w:tc>
        <w:tc>
          <w:tcPr>
            <w:tcW w:w="1120" w:type="dxa"/>
            <w:vAlign w:val="bottom"/>
            <w:vMerge w:val="restart"/>
          </w:tcPr>
          <w:p>
            <w:pPr>
              <w:ind w:left="120"/>
              <w:spacing w:after="0"/>
              <w:rPr>
                <w:sz w:val="20"/>
                <w:szCs w:val="20"/>
                <w:color w:val="auto"/>
              </w:rPr>
            </w:pPr>
            <w:r>
              <w:rPr>
                <w:rFonts w:ascii="Arial" w:cs="Arial" w:eastAsia="Arial" w:hAnsi="Arial"/>
                <w:sz w:val="19"/>
                <w:szCs w:val="19"/>
                <w:b w:val="1"/>
                <w:bCs w:val="1"/>
                <w:color w:val="auto"/>
              </w:rPr>
              <w:t>June</w:t>
            </w:r>
          </w:p>
        </w:tc>
        <w:tc>
          <w:tcPr>
            <w:tcW w:w="1360" w:type="dxa"/>
            <w:vAlign w:val="bottom"/>
            <w:vMerge w:val="restart"/>
          </w:tcPr>
          <w:p>
            <w:pPr>
              <w:jc w:val="right"/>
              <w:ind w:right="26"/>
              <w:spacing w:after="0"/>
              <w:rPr>
                <w:sz w:val="20"/>
                <w:szCs w:val="20"/>
                <w:color w:val="auto"/>
              </w:rPr>
            </w:pPr>
            <w:r>
              <w:rPr>
                <w:rFonts w:ascii="Arial" w:cs="Arial" w:eastAsia="Arial" w:hAnsi="Arial"/>
                <w:sz w:val="19"/>
                <w:szCs w:val="19"/>
                <w:b w:val="1"/>
                <w:bCs w:val="1"/>
                <w:color w:val="auto"/>
              </w:rPr>
              <w:t>269</w:t>
            </w:r>
          </w:p>
        </w:tc>
        <w:tc>
          <w:tcPr>
            <w:tcW w:w="1200" w:type="dxa"/>
            <w:vAlign w:val="bottom"/>
            <w:vMerge w:val="restart"/>
          </w:tcPr>
          <w:p>
            <w:pPr>
              <w:jc w:val="center"/>
              <w:ind w:left="566"/>
              <w:spacing w:after="0"/>
              <w:rPr>
                <w:sz w:val="20"/>
                <w:szCs w:val="20"/>
                <w:color w:val="auto"/>
              </w:rPr>
            </w:pPr>
            <w:r>
              <w:rPr>
                <w:rFonts w:ascii="Arial" w:cs="Arial" w:eastAsia="Arial" w:hAnsi="Arial"/>
                <w:sz w:val="19"/>
                <w:szCs w:val="19"/>
                <w:b w:val="1"/>
                <w:bCs w:val="1"/>
                <w:color w:val="auto"/>
                <w:w w:val="94"/>
              </w:rPr>
              <w:t>-</w:t>
            </w:r>
          </w:p>
        </w:tc>
        <w:tc>
          <w:tcPr>
            <w:tcW w:w="0" w:type="dxa"/>
            <w:vAlign w:val="bottom"/>
          </w:tcPr>
          <w:p>
            <w:pPr>
              <w:spacing w:after="0"/>
              <w:rPr>
                <w:sz w:val="1"/>
                <w:szCs w:val="1"/>
                <w:color w:val="auto"/>
              </w:rPr>
            </w:pPr>
          </w:p>
        </w:tc>
      </w:tr>
      <w:tr>
        <w:trPr>
          <w:trHeight w:val="178"/>
        </w:trPr>
        <w:tc>
          <w:tcPr>
            <w:tcW w:w="2400" w:type="dxa"/>
            <w:vAlign w:val="bottom"/>
          </w:tcPr>
          <w:p>
            <w:pPr>
              <w:ind w:left="260"/>
              <w:spacing w:after="0" w:line="178" w:lineRule="exact"/>
              <w:rPr>
                <w:sz w:val="20"/>
                <w:szCs w:val="20"/>
                <w:color w:val="auto"/>
              </w:rPr>
            </w:pPr>
            <w:r>
              <w:rPr>
                <w:rFonts w:ascii="Arial" w:cs="Arial" w:eastAsia="Arial" w:hAnsi="Arial"/>
                <w:sz w:val="19"/>
                <w:szCs w:val="19"/>
                <w:b w:val="1"/>
                <w:bCs w:val="1"/>
                <w:color w:val="auto"/>
              </w:rPr>
              <w:t>- Euro</w:t>
            </w:r>
          </w:p>
        </w:tc>
        <w:tc>
          <w:tcPr>
            <w:tcW w:w="6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400" w:type="dxa"/>
            <w:vAlign w:val="bottom"/>
          </w:tcPr>
          <w:p>
            <w:pPr>
              <w:ind w:left="260"/>
              <w:spacing w:after="0" w:line="193" w:lineRule="exact"/>
              <w:rPr>
                <w:sz w:val="20"/>
                <w:szCs w:val="20"/>
                <w:color w:val="auto"/>
              </w:rPr>
            </w:pPr>
            <w:r>
              <w:rPr>
                <w:rFonts w:ascii="Arial" w:cs="Arial" w:eastAsia="Arial" w:hAnsi="Arial"/>
                <w:sz w:val="19"/>
                <w:szCs w:val="19"/>
                <w:b w:val="1"/>
                <w:bCs w:val="1"/>
                <w:color w:val="auto"/>
              </w:rPr>
              <w:t>200M</w:t>
            </w:r>
          </w:p>
        </w:tc>
        <w:tc>
          <w:tcPr>
            <w:tcW w:w="680" w:type="dxa"/>
            <w:vAlign w:val="bottom"/>
          </w:tcPr>
          <w:p>
            <w:pPr>
              <w:spacing w:after="0"/>
              <w:rPr>
                <w:sz w:val="16"/>
                <w:szCs w:val="16"/>
                <w:color w:val="auto"/>
              </w:rPr>
            </w:pPr>
          </w:p>
        </w:tc>
        <w:tc>
          <w:tcPr>
            <w:tcW w:w="1140" w:type="dxa"/>
            <w:vAlign w:val="bottom"/>
            <w:vMerge w:val="restart"/>
          </w:tcPr>
          <w:p>
            <w:pPr>
              <w:jc w:val="center"/>
              <w:ind w:left="106"/>
              <w:spacing w:after="0"/>
              <w:rPr>
                <w:sz w:val="20"/>
                <w:szCs w:val="20"/>
                <w:color w:val="auto"/>
              </w:rPr>
            </w:pPr>
            <w:r>
              <w:rPr>
                <w:rFonts w:ascii="Arial" w:cs="Arial" w:eastAsia="Arial" w:hAnsi="Arial"/>
                <w:sz w:val="19"/>
                <w:szCs w:val="19"/>
                <w:b w:val="1"/>
                <w:bCs w:val="1"/>
                <w:color w:val="auto"/>
              </w:rPr>
              <w:t>4.58%</w:t>
            </w:r>
          </w:p>
        </w:tc>
        <w:tc>
          <w:tcPr>
            <w:tcW w:w="1120" w:type="dxa"/>
            <w:vAlign w:val="bottom"/>
          </w:tcPr>
          <w:p>
            <w:pPr>
              <w:ind w:left="120"/>
              <w:spacing w:after="0" w:line="193" w:lineRule="exact"/>
              <w:rPr>
                <w:sz w:val="20"/>
                <w:szCs w:val="20"/>
                <w:color w:val="auto"/>
              </w:rPr>
            </w:pPr>
            <w:r>
              <w:rPr>
                <w:rFonts w:ascii="Arial" w:cs="Arial" w:eastAsia="Arial" w:hAnsi="Arial"/>
                <w:sz w:val="19"/>
                <w:szCs w:val="19"/>
                <w:b w:val="1"/>
                <w:bCs w:val="1"/>
                <w:color w:val="auto"/>
              </w:rPr>
              <w:t>2013</w:t>
            </w:r>
          </w:p>
        </w:tc>
        <w:tc>
          <w:tcPr>
            <w:tcW w:w="1360" w:type="dxa"/>
            <w:vAlign w:val="bottom"/>
            <w:vMerge w:val="restart"/>
          </w:tcPr>
          <w:p>
            <w:pPr>
              <w:jc w:val="right"/>
              <w:ind w:right="26"/>
              <w:spacing w:after="0"/>
              <w:rPr>
                <w:sz w:val="20"/>
                <w:szCs w:val="20"/>
                <w:color w:val="auto"/>
              </w:rPr>
            </w:pPr>
            <w:r>
              <w:rPr>
                <w:rFonts w:ascii="Arial" w:cs="Arial" w:eastAsia="Arial" w:hAnsi="Arial"/>
                <w:sz w:val="19"/>
                <w:szCs w:val="19"/>
                <w:b w:val="1"/>
                <w:bCs w:val="1"/>
                <w:color w:val="auto"/>
              </w:rPr>
              <w:t>405</w:t>
            </w:r>
          </w:p>
        </w:tc>
        <w:tc>
          <w:tcPr>
            <w:tcW w:w="1200" w:type="dxa"/>
            <w:vAlign w:val="bottom"/>
            <w:vMerge w:val="restart"/>
          </w:tcPr>
          <w:p>
            <w:pPr>
              <w:jc w:val="center"/>
              <w:ind w:left="566"/>
              <w:spacing w:after="0"/>
              <w:rPr>
                <w:sz w:val="20"/>
                <w:szCs w:val="20"/>
                <w:color w:val="auto"/>
              </w:rPr>
            </w:pPr>
            <w:r>
              <w:rPr>
                <w:rFonts w:ascii="Arial" w:cs="Arial" w:eastAsia="Arial" w:hAnsi="Arial"/>
                <w:sz w:val="19"/>
                <w:szCs w:val="19"/>
                <w:b w:val="1"/>
                <w:bCs w:val="1"/>
                <w:color w:val="auto"/>
                <w:w w:val="94"/>
              </w:rPr>
              <w:t>-</w:t>
            </w:r>
          </w:p>
        </w:tc>
        <w:tc>
          <w:tcPr>
            <w:tcW w:w="0" w:type="dxa"/>
            <w:vAlign w:val="bottom"/>
          </w:tcPr>
          <w:p>
            <w:pPr>
              <w:spacing w:after="0"/>
              <w:rPr>
                <w:sz w:val="1"/>
                <w:szCs w:val="1"/>
                <w:color w:val="auto"/>
              </w:rPr>
            </w:pPr>
          </w:p>
        </w:tc>
      </w:tr>
      <w:tr>
        <w:trPr>
          <w:trHeight w:val="188"/>
        </w:trPr>
        <w:tc>
          <w:tcPr>
            <w:tcW w:w="2400" w:type="dxa"/>
            <w:vAlign w:val="bottom"/>
          </w:tcPr>
          <w:p>
            <w:pPr>
              <w:ind w:left="260"/>
              <w:spacing w:after="0" w:line="188" w:lineRule="exact"/>
              <w:rPr>
                <w:sz w:val="20"/>
                <w:szCs w:val="20"/>
                <w:color w:val="auto"/>
              </w:rPr>
            </w:pPr>
            <w:r>
              <w:rPr>
                <w:rFonts w:ascii="Arial" w:cs="Arial" w:eastAsia="Arial" w:hAnsi="Arial"/>
                <w:sz w:val="19"/>
                <w:szCs w:val="19"/>
                <w:b w:val="1"/>
                <w:bCs w:val="1"/>
                <w:color w:val="auto"/>
              </w:rPr>
              <w:t>- Euro</w:t>
            </w:r>
          </w:p>
        </w:tc>
        <w:tc>
          <w:tcPr>
            <w:tcW w:w="6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120" w:type="dxa"/>
            <w:vAlign w:val="bottom"/>
          </w:tcPr>
          <w:p>
            <w:pPr>
              <w:ind w:left="120"/>
              <w:spacing w:after="0" w:line="188" w:lineRule="exact"/>
              <w:rPr>
                <w:sz w:val="20"/>
                <w:szCs w:val="20"/>
                <w:color w:val="auto"/>
              </w:rPr>
            </w:pPr>
            <w:r>
              <w:rPr>
                <w:rFonts w:ascii="Arial" w:cs="Arial" w:eastAsia="Arial" w:hAnsi="Arial"/>
                <w:sz w:val="19"/>
                <w:szCs w:val="19"/>
                <w:b w:val="1"/>
                <w:bCs w:val="1"/>
                <w:color w:val="auto"/>
              </w:rPr>
              <w:t>June</w:t>
            </w:r>
          </w:p>
        </w:tc>
        <w:tc>
          <w:tcPr>
            <w:tcW w:w="13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400" w:type="dxa"/>
            <w:vAlign w:val="bottom"/>
          </w:tcPr>
          <w:p>
            <w:pPr>
              <w:ind w:left="260"/>
              <w:spacing w:after="0" w:line="193" w:lineRule="exact"/>
              <w:rPr>
                <w:sz w:val="20"/>
                <w:szCs w:val="20"/>
                <w:color w:val="auto"/>
              </w:rPr>
            </w:pPr>
            <w:r>
              <w:rPr>
                <w:rFonts w:ascii="Arial" w:cs="Arial" w:eastAsia="Arial" w:hAnsi="Arial"/>
                <w:sz w:val="19"/>
                <w:szCs w:val="19"/>
                <w:b w:val="1"/>
                <w:bCs w:val="1"/>
                <w:color w:val="auto"/>
              </w:rPr>
              <w:t>300M</w:t>
            </w:r>
          </w:p>
        </w:tc>
        <w:tc>
          <w:tcPr>
            <w:tcW w:w="680" w:type="dxa"/>
            <w:vAlign w:val="bottom"/>
          </w:tcPr>
          <w:p>
            <w:pPr>
              <w:ind w:left="200"/>
              <w:spacing w:after="0"/>
              <w:rPr>
                <w:sz w:val="20"/>
                <w:szCs w:val="20"/>
                <w:color w:val="auto"/>
              </w:rPr>
            </w:pPr>
            <w:r>
              <w:rPr>
                <w:rFonts w:ascii="Arial" w:cs="Arial" w:eastAsia="Arial" w:hAnsi="Arial"/>
                <w:sz w:val="12"/>
                <w:szCs w:val="12"/>
                <w:color w:val="auto"/>
              </w:rPr>
              <w:t>(a)</w:t>
            </w:r>
          </w:p>
        </w:tc>
        <w:tc>
          <w:tcPr>
            <w:tcW w:w="1140" w:type="dxa"/>
            <w:vAlign w:val="bottom"/>
            <w:vMerge w:val="restart"/>
          </w:tcPr>
          <w:p>
            <w:pPr>
              <w:jc w:val="center"/>
              <w:ind w:left="106"/>
              <w:spacing w:after="0"/>
              <w:rPr>
                <w:sz w:val="20"/>
                <w:szCs w:val="20"/>
                <w:color w:val="auto"/>
              </w:rPr>
            </w:pPr>
            <w:r>
              <w:rPr>
                <w:rFonts w:ascii="Arial" w:cs="Arial" w:eastAsia="Arial" w:hAnsi="Arial"/>
                <w:sz w:val="19"/>
                <w:szCs w:val="19"/>
                <w:b w:val="1"/>
                <w:bCs w:val="1"/>
                <w:color w:val="auto"/>
              </w:rPr>
              <w:t>2.80%</w:t>
            </w:r>
          </w:p>
        </w:tc>
        <w:tc>
          <w:tcPr>
            <w:tcW w:w="1120" w:type="dxa"/>
            <w:vAlign w:val="bottom"/>
          </w:tcPr>
          <w:p>
            <w:pPr>
              <w:ind w:left="120"/>
              <w:spacing w:after="0" w:line="193" w:lineRule="exact"/>
              <w:rPr>
                <w:sz w:val="20"/>
                <w:szCs w:val="20"/>
                <w:color w:val="auto"/>
              </w:rPr>
            </w:pPr>
            <w:r>
              <w:rPr>
                <w:rFonts w:ascii="Arial" w:cs="Arial" w:eastAsia="Arial" w:hAnsi="Arial"/>
                <w:sz w:val="19"/>
                <w:szCs w:val="19"/>
                <w:b w:val="1"/>
                <w:bCs w:val="1"/>
                <w:color w:val="auto"/>
              </w:rPr>
              <w:t>2012</w:t>
            </w:r>
          </w:p>
        </w:tc>
        <w:tc>
          <w:tcPr>
            <w:tcW w:w="1360" w:type="dxa"/>
            <w:vAlign w:val="bottom"/>
            <w:vMerge w:val="restart"/>
          </w:tcPr>
          <w:p>
            <w:pPr>
              <w:jc w:val="right"/>
              <w:ind w:right="106"/>
              <w:spacing w:after="0"/>
              <w:rPr>
                <w:sz w:val="20"/>
                <w:szCs w:val="20"/>
                <w:color w:val="auto"/>
              </w:rPr>
            </w:pPr>
            <w:r>
              <w:rPr>
                <w:rFonts w:ascii="Arial" w:cs="Arial" w:eastAsia="Arial" w:hAnsi="Arial"/>
                <w:sz w:val="19"/>
                <w:szCs w:val="19"/>
                <w:b w:val="1"/>
                <w:bCs w:val="1"/>
                <w:color w:val="auto"/>
              </w:rPr>
              <w:t>-</w:t>
            </w:r>
          </w:p>
        </w:tc>
        <w:tc>
          <w:tcPr>
            <w:tcW w:w="1200" w:type="dxa"/>
            <w:vAlign w:val="bottom"/>
            <w:vMerge w:val="restart"/>
          </w:tcPr>
          <w:p>
            <w:pPr>
              <w:ind w:left="760"/>
              <w:spacing w:after="0"/>
              <w:rPr>
                <w:sz w:val="20"/>
                <w:szCs w:val="20"/>
                <w:color w:val="auto"/>
              </w:rPr>
            </w:pPr>
            <w:r>
              <w:rPr>
                <w:rFonts w:ascii="Arial" w:cs="Arial" w:eastAsia="Arial" w:hAnsi="Arial"/>
                <w:sz w:val="19"/>
                <w:szCs w:val="19"/>
                <w:b w:val="1"/>
                <w:bCs w:val="1"/>
                <w:color w:val="auto"/>
                <w:w w:val="81"/>
              </w:rPr>
              <w:t>394</w:t>
            </w:r>
            <w:r>
              <w:rPr>
                <w:rFonts w:ascii="Arial" w:cs="Arial" w:eastAsia="Arial" w:hAnsi="Arial"/>
                <w:sz w:val="24"/>
                <w:szCs w:val="24"/>
                <w:color w:val="auto"/>
                <w:w w:val="81"/>
                <w:vertAlign w:val="superscript"/>
              </w:rPr>
              <w:t>(b)</w:t>
            </w:r>
          </w:p>
        </w:tc>
        <w:tc>
          <w:tcPr>
            <w:tcW w:w="0" w:type="dxa"/>
            <w:vAlign w:val="bottom"/>
          </w:tcPr>
          <w:p>
            <w:pPr>
              <w:spacing w:after="0"/>
              <w:rPr>
                <w:sz w:val="1"/>
                <w:szCs w:val="1"/>
                <w:color w:val="auto"/>
              </w:rPr>
            </w:pPr>
          </w:p>
        </w:tc>
      </w:tr>
      <w:tr>
        <w:trPr>
          <w:trHeight w:val="249"/>
        </w:trPr>
        <w:tc>
          <w:tcPr>
            <w:tcW w:w="3080" w:type="dxa"/>
            <w:vAlign w:val="bottom"/>
            <w:gridSpan w:val="2"/>
          </w:tcPr>
          <w:p>
            <w:pPr>
              <w:ind w:left="120"/>
              <w:spacing w:after="0"/>
              <w:rPr>
                <w:sz w:val="20"/>
                <w:szCs w:val="20"/>
                <w:color w:val="auto"/>
              </w:rPr>
            </w:pPr>
            <w:r>
              <w:rPr>
                <w:rFonts w:ascii="Arial" w:cs="Arial" w:eastAsia="Arial" w:hAnsi="Arial"/>
                <w:sz w:val="19"/>
                <w:szCs w:val="19"/>
                <w:b w:val="1"/>
                <w:bCs w:val="1"/>
                <w:color w:val="auto"/>
              </w:rPr>
              <w:t>Revolving Credit Agreement</w:t>
            </w:r>
          </w:p>
        </w:tc>
        <w:tc>
          <w:tcPr>
            <w:tcW w:w="1140" w:type="dxa"/>
            <w:vAlign w:val="bottom"/>
            <w:vMerge w:val="continue"/>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9"/>
                <w:szCs w:val="19"/>
                <w:b w:val="1"/>
                <w:bCs w:val="1"/>
                <w:color w:val="auto"/>
                <w:w w:val="98"/>
              </w:rPr>
              <w:t>Nov 2012</w:t>
            </w:r>
          </w:p>
        </w:tc>
        <w:tc>
          <w:tcPr>
            <w:tcW w:w="136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400" w:type="dxa"/>
            <w:vAlign w:val="bottom"/>
          </w:tcPr>
          <w:p>
            <w:pPr>
              <w:ind w:left="120"/>
              <w:spacing w:after="0"/>
              <w:rPr>
                <w:sz w:val="20"/>
                <w:szCs w:val="20"/>
                <w:color w:val="auto"/>
              </w:rPr>
            </w:pPr>
            <w:r>
              <w:rPr>
                <w:rFonts w:ascii="Arial" w:cs="Arial" w:eastAsia="Arial" w:hAnsi="Arial"/>
                <w:sz w:val="19"/>
                <w:szCs w:val="19"/>
                <w:b w:val="1"/>
                <w:bCs w:val="1"/>
                <w:color w:val="auto"/>
              </w:rPr>
              <w:t>Uncommitted lines and</w:t>
            </w:r>
          </w:p>
        </w:tc>
        <w:tc>
          <w:tcPr>
            <w:tcW w:w="680" w:type="dxa"/>
            <w:vAlign w:val="bottom"/>
          </w:tcPr>
          <w:p>
            <w:pPr>
              <w:spacing w:after="0"/>
              <w:rPr>
                <w:sz w:val="20"/>
                <w:szCs w:val="20"/>
                <w:color w:val="auto"/>
              </w:rPr>
            </w:pPr>
          </w:p>
        </w:tc>
        <w:tc>
          <w:tcPr>
            <w:tcW w:w="1140" w:type="dxa"/>
            <w:vAlign w:val="bottom"/>
          </w:tcPr>
          <w:p>
            <w:pPr>
              <w:jc w:val="center"/>
              <w:ind w:left="86"/>
              <w:spacing w:after="0"/>
              <w:rPr>
                <w:sz w:val="20"/>
                <w:szCs w:val="20"/>
                <w:color w:val="auto"/>
              </w:rPr>
            </w:pPr>
            <w:r>
              <w:rPr>
                <w:rFonts w:ascii="Arial" w:cs="Arial" w:eastAsia="Arial" w:hAnsi="Arial"/>
                <w:sz w:val="19"/>
                <w:szCs w:val="19"/>
                <w:b w:val="1"/>
                <w:bCs w:val="1"/>
                <w:color w:val="auto"/>
                <w:w w:val="97"/>
              </w:rPr>
              <w:t>Various</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auto"/>
                <w:w w:val="97"/>
              </w:rPr>
              <w:t>Various</w:t>
            </w:r>
          </w:p>
        </w:tc>
        <w:tc>
          <w:tcPr>
            <w:tcW w:w="1360" w:type="dxa"/>
            <w:vAlign w:val="bottom"/>
          </w:tcPr>
          <w:p>
            <w:pPr>
              <w:jc w:val="right"/>
              <w:ind w:right="26"/>
              <w:spacing w:after="0"/>
              <w:rPr>
                <w:sz w:val="20"/>
                <w:szCs w:val="20"/>
                <w:color w:val="auto"/>
              </w:rPr>
            </w:pPr>
            <w:r>
              <w:rPr>
                <w:rFonts w:ascii="Arial" w:cs="Arial" w:eastAsia="Arial" w:hAnsi="Arial"/>
                <w:sz w:val="19"/>
                <w:szCs w:val="19"/>
                <w:b w:val="1"/>
                <w:bCs w:val="1"/>
                <w:color w:val="auto"/>
              </w:rPr>
              <w:t>44</w:t>
            </w:r>
          </w:p>
        </w:tc>
        <w:tc>
          <w:tcPr>
            <w:tcW w:w="1200" w:type="dxa"/>
            <w:vAlign w:val="bottom"/>
          </w:tcPr>
          <w:p>
            <w:pPr>
              <w:jc w:val="center"/>
              <w:ind w:left="546"/>
              <w:spacing w:after="0"/>
              <w:rPr>
                <w:sz w:val="20"/>
                <w:szCs w:val="20"/>
                <w:color w:val="auto"/>
              </w:rPr>
            </w:pPr>
            <w:r>
              <w:rPr>
                <w:rFonts w:ascii="Arial" w:cs="Arial" w:eastAsia="Arial" w:hAnsi="Arial"/>
                <w:sz w:val="19"/>
                <w:szCs w:val="19"/>
                <w:b w:val="1"/>
                <w:bCs w:val="1"/>
                <w:color w:val="auto"/>
              </w:rPr>
              <w:t>351</w:t>
            </w:r>
          </w:p>
        </w:tc>
        <w:tc>
          <w:tcPr>
            <w:tcW w:w="0" w:type="dxa"/>
            <w:vAlign w:val="bottom"/>
          </w:tcPr>
          <w:p>
            <w:pPr>
              <w:spacing w:after="0"/>
              <w:rPr>
                <w:sz w:val="1"/>
                <w:szCs w:val="1"/>
                <w:color w:val="auto"/>
              </w:rPr>
            </w:pPr>
          </w:p>
        </w:tc>
      </w:tr>
      <w:tr>
        <w:trPr>
          <w:trHeight w:val="194"/>
        </w:trPr>
        <w:tc>
          <w:tcPr>
            <w:tcW w:w="2400" w:type="dxa"/>
            <w:vAlign w:val="bottom"/>
          </w:tcPr>
          <w:p>
            <w:pPr>
              <w:ind w:left="120"/>
              <w:spacing w:after="0" w:line="193" w:lineRule="exact"/>
              <w:rPr>
                <w:sz w:val="20"/>
                <w:szCs w:val="20"/>
                <w:color w:val="auto"/>
              </w:rPr>
            </w:pPr>
            <w:r>
              <w:rPr>
                <w:rFonts w:ascii="Arial" w:cs="Arial" w:eastAsia="Arial" w:hAnsi="Arial"/>
                <w:sz w:val="19"/>
                <w:szCs w:val="19"/>
                <w:b w:val="1"/>
                <w:bCs w:val="1"/>
                <w:color w:val="auto"/>
              </w:rPr>
              <w:t>Other</w:t>
            </w:r>
          </w:p>
        </w:tc>
        <w:tc>
          <w:tcPr>
            <w:tcW w:w="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vMerge w:val="restart"/>
          </w:tcPr>
          <w:p>
            <w:pPr>
              <w:jc w:val="right"/>
              <w:ind w:right="26"/>
              <w:spacing w:after="0"/>
              <w:rPr>
                <w:sz w:val="20"/>
                <w:szCs w:val="20"/>
                <w:color w:val="auto"/>
              </w:rPr>
            </w:pPr>
            <w:r>
              <w:rPr>
                <w:rFonts w:ascii="Arial" w:cs="Arial" w:eastAsia="Arial" w:hAnsi="Arial"/>
                <w:sz w:val="19"/>
                <w:szCs w:val="19"/>
                <w:b w:val="1"/>
                <w:bCs w:val="1"/>
                <w:color w:val="auto"/>
              </w:rPr>
              <w:t>718</w:t>
            </w:r>
          </w:p>
        </w:tc>
        <w:tc>
          <w:tcPr>
            <w:tcW w:w="1200" w:type="dxa"/>
            <w:vAlign w:val="bottom"/>
            <w:vMerge w:val="restart"/>
          </w:tcPr>
          <w:p>
            <w:pPr>
              <w:jc w:val="center"/>
              <w:ind w:left="526"/>
              <w:spacing w:after="0"/>
              <w:rPr>
                <w:sz w:val="20"/>
                <w:szCs w:val="20"/>
                <w:color w:val="auto"/>
              </w:rPr>
            </w:pPr>
            <w:r>
              <w:rPr>
                <w:rFonts w:ascii="Arial" w:cs="Arial" w:eastAsia="Arial" w:hAnsi="Arial"/>
                <w:sz w:val="19"/>
                <w:szCs w:val="19"/>
                <w:b w:val="1"/>
                <w:bCs w:val="1"/>
                <w:color w:val="auto"/>
                <w:w w:val="94"/>
              </w:rPr>
              <w:t>745</w:t>
            </w:r>
          </w:p>
        </w:tc>
        <w:tc>
          <w:tcPr>
            <w:tcW w:w="0" w:type="dxa"/>
            <w:vAlign w:val="bottom"/>
          </w:tcPr>
          <w:p>
            <w:pPr>
              <w:spacing w:after="0"/>
              <w:rPr>
                <w:sz w:val="1"/>
                <w:szCs w:val="1"/>
                <w:color w:val="auto"/>
              </w:rPr>
            </w:pPr>
          </w:p>
        </w:tc>
      </w:tr>
      <w:tr>
        <w:trPr>
          <w:trHeight w:val="250"/>
        </w:trPr>
        <w:tc>
          <w:tcPr>
            <w:tcW w:w="2400" w:type="dxa"/>
            <w:vAlign w:val="bottom"/>
          </w:tcPr>
          <w:p>
            <w:pPr>
              <w:ind w:left="120"/>
              <w:spacing w:after="0"/>
              <w:rPr>
                <w:sz w:val="20"/>
                <w:szCs w:val="20"/>
                <w:color w:val="auto"/>
              </w:rPr>
            </w:pPr>
            <w:r>
              <w:rPr>
                <w:rFonts w:ascii="Arial" w:cs="Arial" w:eastAsia="Arial" w:hAnsi="Arial"/>
                <w:sz w:val="19"/>
                <w:szCs w:val="19"/>
                <w:b w:val="1"/>
                <w:bCs w:val="1"/>
                <w:color w:val="auto"/>
              </w:rPr>
              <w:t>Total Debt</w:t>
            </w: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right="1419" w:hanging="212"/>
        <w:spacing w:after="0" w:line="251" w:lineRule="auto"/>
        <w:tabs>
          <w:tab w:leader="none" w:pos="2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This $400M agreement requires, as of March 31, that we comply with a Debt-to-EBITDA ratio of less than 5.75 to 1 and a fixed charge coverage ratio of greater than 1.25 to 1. As defined in the agreement, we had a Debt-to-EBITDA ratio of 3.00 and a fixed charge coverage ratio of 1.63 as of March 31, 2010.</w:t>
      </w:r>
    </w:p>
    <w:p>
      <w:pPr>
        <w:spacing w:after="0" w:line="150" w:lineRule="exact"/>
        <w:rPr>
          <w:rFonts w:ascii="Arial" w:cs="Arial" w:eastAsia="Arial" w:hAnsi="Arial"/>
          <w:sz w:val="12"/>
          <w:szCs w:val="12"/>
          <w:color w:val="auto"/>
        </w:rPr>
      </w:pPr>
    </w:p>
    <w:p>
      <w:pPr>
        <w:ind w:left="220" w:hanging="202"/>
        <w:spacing w:after="0"/>
        <w:tabs>
          <w:tab w:leader="none" w:pos="2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As of March 31, there were $6.0M of standby letters of credit issued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808990</wp:posOffset>
            </wp:positionV>
            <wp:extent cx="728789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019"/>
          </w:cols>
          <w:pgMar w:left="1440" w:top="372" w:right="1440" w:bottom="1440" w:gutter="0" w:footer="0" w:header="0"/>
        </w:sectPr>
      </w:pPr>
    </w:p>
    <w:bookmarkStart w:id="29" w:name="page30"/>
    <w:bookmarkEnd w:id="29"/>
    <w:p>
      <w:pPr>
        <w:jc w:val="right"/>
        <w:ind w:right="159"/>
        <w:spacing w:after="0"/>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715010</wp:posOffset>
            </wp:positionH>
            <wp:positionV relativeFrom="page">
              <wp:posOffset>159385</wp:posOffset>
            </wp:positionV>
            <wp:extent cx="6131560" cy="45986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6131560" cy="4598670"/>
                    </a:xfrm>
                    <a:prstGeom prst="rect">
                      <a:avLst/>
                    </a:prstGeom>
                    <a:noFill/>
                  </pic:spPr>
                </pic:pic>
              </a:graphicData>
            </a:graphic>
          </wp:anchor>
        </w:drawing>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Arial" w:cs="Arial" w:eastAsia="Arial" w:hAnsi="Arial"/>
          <w:sz w:val="40"/>
          <w:szCs w:val="40"/>
          <w:color w:val="6698C2"/>
        </w:rPr>
        <w:t>Comsys Acquisition Summary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420" w:type="dxa"/>
        <w:tblCellMar>
          <w:top w:w="0" w:type="dxa"/>
          <w:left w:w="0" w:type="dxa"/>
          <w:bottom w:w="0" w:type="dxa"/>
          <w:right w:w="0" w:type="dxa"/>
        </w:tblCellMar>
      </w:tblPr>
      <w:tr>
        <w:trPr>
          <w:trHeight w:val="282"/>
        </w:trPr>
        <w:tc>
          <w:tcPr>
            <w:tcW w:w="1800" w:type="dxa"/>
            <w:vAlign w:val="bottom"/>
          </w:tcPr>
          <w:p>
            <w:pPr>
              <w:spacing w:after="0"/>
              <w:rPr>
                <w:sz w:val="20"/>
                <w:szCs w:val="20"/>
                <w:color w:val="auto"/>
              </w:rPr>
            </w:pPr>
            <w:r>
              <w:rPr>
                <w:rFonts w:ascii="Arial" w:cs="Arial" w:eastAsia="Arial" w:hAnsi="Arial"/>
                <w:sz w:val="24"/>
                <w:szCs w:val="24"/>
                <w:b w:val="1"/>
                <w:bCs w:val="1"/>
                <w:color w:val="auto"/>
              </w:rPr>
              <w:t>Closing date:</w:t>
            </w:r>
          </w:p>
        </w:tc>
        <w:tc>
          <w:tcPr>
            <w:tcW w:w="1540" w:type="dxa"/>
            <w:vAlign w:val="bottom"/>
          </w:tcPr>
          <w:p>
            <w:pPr>
              <w:ind w:left="120"/>
              <w:spacing w:after="0"/>
              <w:rPr>
                <w:sz w:val="20"/>
                <w:szCs w:val="20"/>
                <w:color w:val="auto"/>
              </w:rPr>
            </w:pPr>
            <w:r>
              <w:rPr>
                <w:rFonts w:ascii="Arial" w:cs="Arial" w:eastAsia="Arial" w:hAnsi="Arial"/>
                <w:sz w:val="24"/>
                <w:szCs w:val="24"/>
                <w:b w:val="1"/>
                <w:bCs w:val="1"/>
                <w:color w:val="auto"/>
              </w:rPr>
              <w:t>April 5,</w:t>
            </w:r>
          </w:p>
        </w:tc>
        <w:tc>
          <w:tcPr>
            <w:tcW w:w="13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1800" w:type="dxa"/>
            <w:vAlign w:val="bottom"/>
          </w:tcPr>
          <w:p>
            <w:pPr>
              <w:spacing w:after="0"/>
              <w:rPr>
                <w:sz w:val="24"/>
                <w:szCs w:val="24"/>
                <w:color w:val="auto"/>
              </w:rPr>
            </w:pPr>
          </w:p>
        </w:tc>
        <w:tc>
          <w:tcPr>
            <w:tcW w:w="1540" w:type="dxa"/>
            <w:vAlign w:val="bottom"/>
          </w:tcPr>
          <w:p>
            <w:pPr>
              <w:ind w:left="120"/>
              <w:spacing w:after="0"/>
              <w:rPr>
                <w:sz w:val="20"/>
                <w:szCs w:val="20"/>
                <w:color w:val="auto"/>
              </w:rPr>
            </w:pPr>
            <w:r>
              <w:rPr>
                <w:rFonts w:ascii="Arial" w:cs="Arial" w:eastAsia="Arial" w:hAnsi="Arial"/>
                <w:sz w:val="24"/>
                <w:szCs w:val="24"/>
                <w:b w:val="1"/>
                <w:bCs w:val="1"/>
                <w:color w:val="auto"/>
              </w:rPr>
              <w:t>2010</w:t>
            </w:r>
          </w:p>
        </w:tc>
        <w:tc>
          <w:tcPr>
            <w:tcW w:w="13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800" w:type="dxa"/>
            <w:vAlign w:val="bottom"/>
          </w:tcPr>
          <w:p>
            <w:pPr>
              <w:spacing w:after="0"/>
              <w:rPr>
                <w:sz w:val="20"/>
                <w:szCs w:val="20"/>
                <w:color w:val="auto"/>
              </w:rPr>
            </w:pPr>
            <w:r>
              <w:rPr>
                <w:rFonts w:ascii="Arial" w:cs="Arial" w:eastAsia="Arial" w:hAnsi="Arial"/>
                <w:sz w:val="24"/>
                <w:szCs w:val="24"/>
                <w:b w:val="1"/>
                <w:bCs w:val="1"/>
                <w:color w:val="auto"/>
              </w:rPr>
              <w:t>Consideration:</w:t>
            </w:r>
          </w:p>
        </w:tc>
        <w:tc>
          <w:tcPr>
            <w:tcW w:w="1540" w:type="dxa"/>
            <w:vAlign w:val="bottom"/>
          </w:tcPr>
          <w:p>
            <w:pPr>
              <w:ind w:left="120"/>
              <w:spacing w:after="0"/>
              <w:rPr>
                <w:sz w:val="20"/>
                <w:szCs w:val="20"/>
                <w:color w:val="auto"/>
              </w:rPr>
            </w:pPr>
            <w:r>
              <w:rPr>
                <w:rFonts w:ascii="Arial" w:cs="Arial" w:eastAsia="Arial" w:hAnsi="Arial"/>
                <w:sz w:val="24"/>
                <w:szCs w:val="24"/>
                <w:b w:val="1"/>
                <w:bCs w:val="1"/>
                <w:color w:val="auto"/>
              </w:rPr>
              <w:t>Cash</w:t>
            </w:r>
          </w:p>
        </w:tc>
        <w:tc>
          <w:tcPr>
            <w:tcW w:w="1380" w:type="dxa"/>
            <w:vAlign w:val="bottom"/>
          </w:tcPr>
          <w:p>
            <w:pPr>
              <w:jc w:val="right"/>
              <w:spacing w:after="0"/>
              <w:rPr>
                <w:sz w:val="20"/>
                <w:szCs w:val="20"/>
                <w:color w:val="auto"/>
              </w:rPr>
            </w:pPr>
            <w:r>
              <w:rPr>
                <w:rFonts w:ascii="Arial" w:cs="Arial" w:eastAsia="Arial" w:hAnsi="Arial"/>
                <w:sz w:val="24"/>
                <w:szCs w:val="24"/>
                <w:b w:val="1"/>
                <w:bCs w:val="1"/>
                <w:color w:val="auto"/>
              </w:rPr>
              <w:t>$192M</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1800" w:type="dxa"/>
            <w:vAlign w:val="bottom"/>
          </w:tcPr>
          <w:p>
            <w:pPr>
              <w:spacing w:after="0"/>
              <w:rPr>
                <w:sz w:val="24"/>
                <w:szCs w:val="24"/>
                <w:color w:val="auto"/>
              </w:rPr>
            </w:pPr>
          </w:p>
        </w:tc>
        <w:tc>
          <w:tcPr>
            <w:tcW w:w="1540" w:type="dxa"/>
            <w:vAlign w:val="bottom"/>
          </w:tcPr>
          <w:p>
            <w:pPr>
              <w:ind w:left="120"/>
              <w:spacing w:after="0"/>
              <w:rPr>
                <w:sz w:val="20"/>
                <w:szCs w:val="20"/>
                <w:color w:val="auto"/>
              </w:rPr>
            </w:pPr>
            <w:r>
              <w:rPr>
                <w:rFonts w:ascii="Arial" w:cs="Arial" w:eastAsia="Arial" w:hAnsi="Arial"/>
                <w:sz w:val="24"/>
                <w:szCs w:val="24"/>
                <w:b w:val="1"/>
                <w:bCs w:val="1"/>
                <w:color w:val="auto"/>
              </w:rPr>
              <w:t>Stock</w:t>
            </w:r>
          </w:p>
        </w:tc>
        <w:tc>
          <w:tcPr>
            <w:tcW w:w="1380" w:type="dxa"/>
            <w:vAlign w:val="bottom"/>
          </w:tcPr>
          <w:p>
            <w:pPr>
              <w:jc w:val="right"/>
              <w:spacing w:after="0"/>
              <w:rPr>
                <w:sz w:val="20"/>
                <w:szCs w:val="20"/>
                <w:color w:val="auto"/>
              </w:rPr>
            </w:pPr>
            <w:r>
              <w:rPr>
                <w:rFonts w:ascii="Arial" w:cs="Arial" w:eastAsia="Arial" w:hAnsi="Arial"/>
                <w:sz w:val="24"/>
                <w:szCs w:val="24"/>
                <w:b w:val="1"/>
                <w:bCs w:val="1"/>
                <w:color w:val="auto"/>
              </w:rPr>
              <w:t>188M</w:t>
            </w:r>
          </w:p>
        </w:tc>
        <w:tc>
          <w:tcPr>
            <w:tcW w:w="3180" w:type="dxa"/>
            <w:vAlign w:val="bottom"/>
          </w:tcPr>
          <w:p>
            <w:pPr>
              <w:ind w:left="40"/>
              <w:spacing w:after="0"/>
              <w:rPr>
                <w:sz w:val="20"/>
                <w:szCs w:val="20"/>
                <w:color w:val="auto"/>
              </w:rPr>
            </w:pPr>
            <w:r>
              <w:rPr>
                <w:rFonts w:ascii="Arial" w:cs="Arial" w:eastAsia="Arial" w:hAnsi="Arial"/>
                <w:sz w:val="24"/>
                <w:szCs w:val="24"/>
                <w:b w:val="1"/>
                <w:bCs w:val="1"/>
                <w:color w:val="auto"/>
                <w:w w:val="98"/>
              </w:rPr>
              <w:t>(3.2M shares @ $58.94</w:t>
            </w:r>
            <w:r>
              <w:rPr>
                <w:rFonts w:ascii="Arial" w:cs="Arial" w:eastAsia="Arial" w:hAnsi="Arial"/>
                <w:sz w:val="29"/>
                <w:szCs w:val="29"/>
                <w:b w:val="1"/>
                <w:bCs w:val="1"/>
                <w:color w:val="5F81AA"/>
                <w:w w:val="98"/>
                <w:vertAlign w:val="superscript"/>
              </w:rPr>
              <w:t>(1)</w:t>
            </w:r>
            <w:r>
              <w:rPr>
                <w:rFonts w:ascii="Arial" w:cs="Arial" w:eastAsia="Arial" w:hAnsi="Arial"/>
                <w:sz w:val="24"/>
                <w:szCs w:val="24"/>
                <w:b w:val="1"/>
                <w:bCs w:val="1"/>
                <w:color w:val="auto"/>
                <w:w w:val="98"/>
              </w:rPr>
              <w:t>per</w:t>
            </w:r>
          </w:p>
        </w:tc>
        <w:tc>
          <w:tcPr>
            <w:tcW w:w="0" w:type="dxa"/>
            <w:vAlign w:val="bottom"/>
          </w:tcPr>
          <w:p>
            <w:pPr>
              <w:spacing w:after="0"/>
              <w:rPr>
                <w:sz w:val="1"/>
                <w:szCs w:val="1"/>
                <w:color w:val="auto"/>
              </w:rPr>
            </w:pPr>
          </w:p>
        </w:tc>
      </w:tr>
      <w:tr>
        <w:trPr>
          <w:trHeight w:val="402"/>
        </w:trPr>
        <w:tc>
          <w:tcPr>
            <w:tcW w:w="1800" w:type="dxa"/>
            <w:vAlign w:val="bottom"/>
          </w:tcPr>
          <w:p>
            <w:pPr>
              <w:spacing w:after="0"/>
              <w:rPr>
                <w:sz w:val="24"/>
                <w:szCs w:val="24"/>
                <w:color w:val="auto"/>
              </w:rPr>
            </w:pPr>
          </w:p>
        </w:tc>
        <w:tc>
          <w:tcPr>
            <w:tcW w:w="1540" w:type="dxa"/>
            <w:vAlign w:val="bottom"/>
          </w:tcPr>
          <w:p>
            <w:pPr>
              <w:ind w:left="120"/>
              <w:spacing w:after="0"/>
              <w:rPr>
                <w:sz w:val="20"/>
                <w:szCs w:val="20"/>
                <w:color w:val="auto"/>
              </w:rPr>
            </w:pPr>
            <w:r>
              <w:rPr>
                <w:rFonts w:ascii="Arial" w:cs="Arial" w:eastAsia="Arial" w:hAnsi="Arial"/>
                <w:sz w:val="24"/>
                <w:szCs w:val="24"/>
                <w:b w:val="1"/>
                <w:bCs w:val="1"/>
                <w:color w:val="auto"/>
              </w:rPr>
              <w:t>Debt</w:t>
            </w:r>
          </w:p>
        </w:tc>
        <w:tc>
          <w:tcPr>
            <w:tcW w:w="4560" w:type="dxa"/>
            <w:vAlign w:val="bottom"/>
            <w:gridSpan w:val="2"/>
          </w:tcPr>
          <w:p>
            <w:pPr>
              <w:ind w:left="860"/>
              <w:spacing w:after="0" w:line="402" w:lineRule="exact"/>
              <w:rPr>
                <w:sz w:val="20"/>
                <w:szCs w:val="20"/>
                <w:color w:val="auto"/>
              </w:rPr>
            </w:pPr>
            <w:r>
              <w:rPr>
                <w:rFonts w:ascii="Arial" w:cs="Arial" w:eastAsia="Arial" w:hAnsi="Arial"/>
                <w:sz w:val="46"/>
                <w:szCs w:val="46"/>
                <w:b w:val="1"/>
                <w:bCs w:val="1"/>
                <w:color w:val="auto"/>
                <w:vertAlign w:val="subscript"/>
              </w:rPr>
              <w:t>47M</w:t>
            </w:r>
            <w:r>
              <w:rPr>
                <w:rFonts w:ascii="Arial" w:cs="Arial" w:eastAsia="Arial" w:hAnsi="Arial"/>
                <w:sz w:val="23"/>
                <w:szCs w:val="23"/>
                <w:b w:val="1"/>
                <w:bCs w:val="1"/>
                <w:color w:val="auto"/>
              </w:rPr>
              <w:t xml:space="preserve"> share)</w:t>
            </w:r>
          </w:p>
        </w:tc>
        <w:tc>
          <w:tcPr>
            <w:tcW w:w="0" w:type="dxa"/>
            <w:vAlign w:val="bottom"/>
          </w:tcPr>
          <w:p>
            <w:pPr>
              <w:spacing w:after="0"/>
              <w:rPr>
                <w:sz w:val="1"/>
                <w:szCs w:val="1"/>
                <w:color w:val="auto"/>
              </w:rPr>
            </w:pPr>
          </w:p>
        </w:tc>
      </w:tr>
      <w:tr>
        <w:trPr>
          <w:trHeight w:val="320"/>
        </w:trPr>
        <w:tc>
          <w:tcPr>
            <w:tcW w:w="1800" w:type="dxa"/>
            <w:vAlign w:val="bottom"/>
          </w:tcPr>
          <w:p>
            <w:pPr>
              <w:spacing w:after="0"/>
              <w:rPr>
                <w:sz w:val="24"/>
                <w:szCs w:val="24"/>
                <w:color w:val="auto"/>
              </w:rPr>
            </w:pPr>
          </w:p>
        </w:tc>
        <w:tc>
          <w:tcPr>
            <w:tcW w:w="1540" w:type="dxa"/>
            <w:vAlign w:val="bottom"/>
          </w:tcPr>
          <w:p>
            <w:pPr>
              <w:ind w:left="120"/>
              <w:spacing w:after="0"/>
              <w:rPr>
                <w:sz w:val="20"/>
                <w:szCs w:val="20"/>
                <w:color w:val="auto"/>
              </w:rPr>
            </w:pPr>
            <w:r>
              <w:rPr>
                <w:rFonts w:ascii="Arial" w:cs="Arial" w:eastAsia="Arial" w:hAnsi="Arial"/>
                <w:sz w:val="24"/>
                <w:szCs w:val="24"/>
                <w:b w:val="1"/>
                <w:bCs w:val="1"/>
                <w:color w:val="auto"/>
              </w:rPr>
              <w:t>Retired</w:t>
            </w:r>
          </w:p>
        </w:tc>
        <w:tc>
          <w:tcPr>
            <w:tcW w:w="1380" w:type="dxa"/>
            <w:vAlign w:val="bottom"/>
            <w:vMerge w:val="restart"/>
          </w:tcPr>
          <w:p>
            <w:pPr>
              <w:jc w:val="right"/>
              <w:spacing w:after="0"/>
              <w:rPr>
                <w:sz w:val="20"/>
                <w:szCs w:val="20"/>
                <w:color w:val="auto"/>
              </w:rPr>
            </w:pPr>
            <w:r>
              <w:rPr>
                <w:rFonts w:ascii="Arial" w:cs="Arial" w:eastAsia="Arial" w:hAnsi="Arial"/>
                <w:sz w:val="24"/>
                <w:szCs w:val="24"/>
                <w:b w:val="1"/>
                <w:bCs w:val="1"/>
                <w:color w:val="auto"/>
              </w:rPr>
              <w:t>$427M</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right="919" w:hanging="190"/>
        <w:spacing w:after="0" w:line="229" w:lineRule="auto"/>
        <w:tabs>
          <w:tab w:leader="none" w:pos="598" w:val="left"/>
        </w:tabs>
        <w:numPr>
          <w:ilvl w:val="0"/>
          <w:numId w:val="19"/>
        </w:numPr>
        <w:rPr>
          <w:rFonts w:ascii="Arial" w:cs="Arial" w:eastAsia="Arial" w:hAnsi="Arial"/>
          <w:sz w:val="20"/>
          <w:szCs w:val="20"/>
          <w:color w:val="auto"/>
          <w:vertAlign w:val="superscript"/>
        </w:rPr>
      </w:pPr>
      <w:r>
        <w:rPr>
          <w:rFonts w:ascii="Arial" w:cs="Arial" w:eastAsia="Arial" w:hAnsi="Arial"/>
          <w:sz w:val="15"/>
          <w:szCs w:val="15"/>
          <w:color w:val="auto"/>
        </w:rPr>
        <w:t>Represents the closing stock price on April 5, which is higher than the average stock price of $57.98 used to determine the conversion ratio for the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593090</wp:posOffset>
            </wp:positionV>
            <wp:extent cx="728789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019"/>
          </w:cols>
          <w:pgMar w:left="1440" w:top="372" w:right="1440" w:bottom="1440" w:gutter="0" w:footer="0" w:header="0"/>
        </w:sectPr>
      </w:pPr>
    </w:p>
    <w:bookmarkStart w:id="30" w:name="page31"/>
    <w:bookmarkEnd w:id="30"/>
    <w:p>
      <w:pPr>
        <w:jc w:val="right"/>
        <w:ind w:right="159"/>
        <w:spacing w:after="0"/>
        <w:rPr>
          <w:sz w:val="20"/>
          <w:szCs w:val="20"/>
          <w:color w:val="auto"/>
        </w:rPr>
      </w:pPr>
      <w:r>
        <w:rPr>
          <w:rFonts w:ascii="Arial" w:cs="Arial" w:eastAsia="Arial" w:hAnsi="Arial"/>
          <w:sz w:val="19"/>
          <w:szCs w:val="19"/>
          <w:color w:val="FFFFFF"/>
        </w:rPr>
        <w:drawing>
          <wp:anchor simplePos="0" relativeHeight="251657728" behindDoc="1" locked="0" layoutInCell="0" allowOverlap="1">
            <wp:simplePos x="0" y="0"/>
            <wp:positionH relativeFrom="page">
              <wp:posOffset>715010</wp:posOffset>
            </wp:positionH>
            <wp:positionV relativeFrom="page">
              <wp:posOffset>159385</wp:posOffset>
            </wp:positionV>
            <wp:extent cx="6131560" cy="45986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6131560" cy="4598670"/>
                    </a:xfrm>
                    <a:prstGeom prst="rect">
                      <a:avLst/>
                    </a:prstGeom>
                    <a:noFill/>
                  </pic:spPr>
                </pic:pic>
              </a:graphicData>
            </a:graphic>
          </wp:anchor>
        </w:drawing>
        <w:t>21</w:t>
      </w: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Arial" w:cs="Arial" w:eastAsia="Arial" w:hAnsi="Arial"/>
          <w:sz w:val="40"/>
          <w:szCs w:val="40"/>
          <w:color w:val="6698C2"/>
        </w:rPr>
        <w:t>Second Quarter Outlook</w:t>
      </w:r>
    </w:p>
    <w:p>
      <w:pPr>
        <w:sectPr>
          <w:pgSz w:w="11900" w:h="16838" w:orient="portrait"/>
          <w:cols w:equalWidth="0" w:num="1">
            <w:col w:w="9019"/>
          </w:cols>
          <w:pgMar w:left="1440" w:top="372" w:right="1440" w:bottom="1440" w:gutter="0" w:footer="0" w:header="0"/>
        </w:sectPr>
      </w:pPr>
    </w:p>
    <w:p>
      <w:pPr>
        <w:spacing w:after="0" w:line="299" w:lineRule="exact"/>
        <w:rPr>
          <w:sz w:val="20"/>
          <w:szCs w:val="20"/>
          <w:color w:val="auto"/>
        </w:rPr>
      </w:pPr>
    </w:p>
    <w:p>
      <w:pPr>
        <w:ind w:left="100"/>
        <w:spacing w:after="0"/>
        <w:tabs>
          <w:tab w:leader="none" w:pos="2780" w:val="left"/>
        </w:tabs>
        <w:rPr>
          <w:sz w:val="20"/>
          <w:szCs w:val="20"/>
          <w:color w:val="auto"/>
        </w:rPr>
      </w:pPr>
      <w:r>
        <w:rPr>
          <w:rFonts w:ascii="Arial" w:cs="Arial" w:eastAsia="Arial" w:hAnsi="Arial"/>
          <w:sz w:val="24"/>
          <w:szCs w:val="24"/>
          <w:b w:val="1"/>
          <w:bCs w:val="1"/>
          <w:color w:val="6698C2"/>
        </w:rPr>
        <w:t>Revenue</w:t>
      </w:r>
      <w:r>
        <w:rPr>
          <w:sz w:val="20"/>
          <w:szCs w:val="20"/>
          <w:color w:val="auto"/>
        </w:rPr>
        <w:tab/>
      </w:r>
      <w:r>
        <w:rPr>
          <w:rFonts w:ascii="Arial" w:cs="Arial" w:eastAsia="Arial" w:hAnsi="Arial"/>
          <w:sz w:val="41"/>
          <w:szCs w:val="41"/>
          <w:b w:val="1"/>
          <w:bCs w:val="1"/>
          <w:color w:val="auto"/>
          <w:vertAlign w:val="superscript"/>
        </w:rPr>
        <w:t>Total</w:t>
      </w:r>
    </w:p>
    <w:p>
      <w:pPr>
        <w:jc w:val="right"/>
        <w:ind w:right="20"/>
        <w:spacing w:after="0"/>
        <w:rPr>
          <w:sz w:val="20"/>
          <w:szCs w:val="20"/>
          <w:color w:val="auto"/>
        </w:rPr>
      </w:pPr>
      <w:r>
        <w:rPr>
          <w:rFonts w:ascii="Arial" w:cs="Arial" w:eastAsia="Arial" w:hAnsi="Arial"/>
          <w:sz w:val="27"/>
          <w:szCs w:val="27"/>
          <w:b w:val="1"/>
          <w:bCs w:val="1"/>
          <w:color w:val="auto"/>
        </w:rPr>
        <w:t>Americas</w:t>
      </w:r>
    </w:p>
    <w:p>
      <w:pPr>
        <w:spacing w:after="0" w:line="78" w:lineRule="exact"/>
        <w:rPr>
          <w:sz w:val="20"/>
          <w:szCs w:val="20"/>
          <w:color w:val="auto"/>
        </w:rPr>
      </w:pPr>
    </w:p>
    <w:p>
      <w:pPr>
        <w:jc w:val="right"/>
        <w:ind w:right="20"/>
        <w:spacing w:after="0"/>
        <w:rPr>
          <w:sz w:val="20"/>
          <w:szCs w:val="20"/>
          <w:color w:val="auto"/>
        </w:rPr>
      </w:pPr>
      <w:r>
        <w:rPr>
          <w:rFonts w:ascii="Arial" w:cs="Arial" w:eastAsia="Arial" w:hAnsi="Arial"/>
          <w:sz w:val="27"/>
          <w:szCs w:val="27"/>
          <w:b w:val="1"/>
          <w:bCs w:val="1"/>
          <w:color w:val="auto"/>
        </w:rPr>
        <w:t>France</w:t>
      </w:r>
    </w:p>
    <w:p>
      <w:pPr>
        <w:spacing w:after="0" w:line="62" w:lineRule="exact"/>
        <w:rPr>
          <w:sz w:val="20"/>
          <w:szCs w:val="20"/>
          <w:color w:val="auto"/>
        </w:rPr>
      </w:pPr>
    </w:p>
    <w:p>
      <w:pPr>
        <w:jc w:val="right"/>
        <w:ind w:right="20"/>
        <w:spacing w:after="0"/>
        <w:rPr>
          <w:sz w:val="20"/>
          <w:szCs w:val="20"/>
          <w:color w:val="auto"/>
        </w:rPr>
      </w:pPr>
      <w:r>
        <w:rPr>
          <w:rFonts w:ascii="Arial" w:cs="Arial" w:eastAsia="Arial" w:hAnsi="Arial"/>
          <w:sz w:val="27"/>
          <w:szCs w:val="27"/>
          <w:b w:val="1"/>
          <w:bCs w:val="1"/>
          <w:color w:val="auto"/>
        </w:rPr>
        <w:t>EMEA</w:t>
      </w:r>
    </w:p>
    <w:p>
      <w:pPr>
        <w:spacing w:after="0" w:line="82" w:lineRule="exact"/>
        <w:rPr>
          <w:sz w:val="20"/>
          <w:szCs w:val="20"/>
          <w:color w:val="auto"/>
        </w:rPr>
      </w:pPr>
    </w:p>
    <w:p>
      <w:pPr>
        <w:ind w:left="2420"/>
        <w:spacing w:after="0"/>
        <w:rPr>
          <w:sz w:val="20"/>
          <w:szCs w:val="20"/>
          <w:color w:val="auto"/>
        </w:rPr>
      </w:pPr>
      <w:r>
        <w:rPr>
          <w:rFonts w:ascii="Arial" w:cs="Arial" w:eastAsia="Arial" w:hAnsi="Arial"/>
          <w:sz w:val="27"/>
          <w:szCs w:val="27"/>
          <w:b w:val="1"/>
          <w:bCs w:val="1"/>
          <w:color w:val="auto"/>
        </w:rPr>
        <w:t>Asia</w:t>
      </w:r>
    </w:p>
    <w:p>
      <w:pPr>
        <w:spacing w:after="0" w:line="35" w:lineRule="exact"/>
        <w:rPr>
          <w:sz w:val="20"/>
          <w:szCs w:val="20"/>
          <w:color w:val="auto"/>
        </w:rPr>
      </w:pPr>
    </w:p>
    <w:p>
      <w:pPr>
        <w:ind w:left="1880"/>
        <w:spacing w:after="0"/>
        <w:rPr>
          <w:sz w:val="20"/>
          <w:szCs w:val="20"/>
          <w:color w:val="auto"/>
        </w:rPr>
      </w:pPr>
      <w:r>
        <w:rPr>
          <w:rFonts w:ascii="Arial" w:cs="Arial" w:eastAsia="Arial" w:hAnsi="Arial"/>
          <w:sz w:val="27"/>
          <w:szCs w:val="27"/>
          <w:b w:val="1"/>
          <w:bCs w:val="1"/>
          <w:color w:val="auto"/>
        </w:rPr>
        <w:t>RightPacific</w:t>
      </w:r>
    </w:p>
    <w:p>
      <w:pPr>
        <w:ind w:left="1420"/>
        <w:spacing w:after="0" w:line="194" w:lineRule="auto"/>
        <w:rPr>
          <w:sz w:val="20"/>
          <w:szCs w:val="20"/>
          <w:color w:val="auto"/>
        </w:rPr>
      </w:pPr>
      <w:r>
        <w:rPr>
          <w:rFonts w:ascii="Arial" w:cs="Arial" w:eastAsia="Arial" w:hAnsi="Arial"/>
          <w:sz w:val="12"/>
          <w:szCs w:val="12"/>
          <w:b w:val="1"/>
          <w:bCs w:val="1"/>
          <w:color w:val="auto"/>
        </w:rPr>
        <w:t>Management</w:t>
      </w:r>
    </w:p>
    <w:p>
      <w:pPr>
        <w:ind w:left="1480"/>
        <w:spacing w:after="0"/>
        <w:rPr>
          <w:sz w:val="20"/>
          <w:szCs w:val="20"/>
          <w:color w:val="auto"/>
        </w:rPr>
      </w:pPr>
      <w:r>
        <w:rPr>
          <w:rFonts w:ascii="Arial" w:cs="Arial" w:eastAsia="Arial" w:hAnsi="Arial"/>
          <w:sz w:val="26"/>
          <w:szCs w:val="26"/>
          <w:b w:val="1"/>
          <w:bCs w:val="1"/>
          <w:color w:val="auto"/>
        </w:rPr>
        <w:t>Jefferson Wells</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30"/>
          <w:szCs w:val="30"/>
          <w:b w:val="1"/>
          <w:bCs w:val="1"/>
          <w:color w:val="6698C2"/>
        </w:rPr>
        <w:t>Gross Profit</w:t>
      </w:r>
    </w:p>
    <w:p>
      <w:pPr>
        <w:ind w:left="1000"/>
        <w:spacing w:after="0" w:line="181" w:lineRule="auto"/>
        <w:rPr>
          <w:sz w:val="20"/>
          <w:szCs w:val="20"/>
          <w:color w:val="auto"/>
        </w:rPr>
      </w:pPr>
      <w:r>
        <w:rPr>
          <w:rFonts w:ascii="Arial" w:cs="Arial" w:eastAsia="Arial" w:hAnsi="Arial"/>
          <w:sz w:val="20"/>
          <w:szCs w:val="20"/>
          <w:b w:val="1"/>
          <w:bCs w:val="1"/>
          <w:color w:val="6698C2"/>
        </w:rPr>
        <w:t>Margin</w:t>
      </w:r>
    </w:p>
    <w:p>
      <w:pPr>
        <w:ind w:left="660"/>
        <w:spacing w:after="0"/>
        <w:rPr>
          <w:sz w:val="20"/>
          <w:szCs w:val="20"/>
          <w:color w:val="auto"/>
        </w:rPr>
      </w:pPr>
      <w:r>
        <w:rPr>
          <w:rFonts w:ascii="Arial" w:cs="Arial" w:eastAsia="Arial" w:hAnsi="Arial"/>
          <w:sz w:val="30"/>
          <w:szCs w:val="30"/>
          <w:b w:val="1"/>
          <w:bCs w:val="1"/>
          <w:color w:val="6698C2"/>
        </w:rPr>
        <w:t>Operating Profit</w:t>
      </w:r>
    </w:p>
    <w:p>
      <w:pPr>
        <w:ind w:left="100"/>
        <w:spacing w:after="0" w:line="223" w:lineRule="auto"/>
        <w:rPr>
          <w:sz w:val="20"/>
          <w:szCs w:val="20"/>
          <w:color w:val="auto"/>
        </w:rPr>
      </w:pPr>
      <w:r>
        <w:rPr>
          <w:rFonts w:ascii="Arial" w:cs="Arial" w:eastAsia="Arial" w:hAnsi="Arial"/>
          <w:sz w:val="30"/>
          <w:szCs w:val="30"/>
          <w:b w:val="1"/>
          <w:bCs w:val="1"/>
          <w:color w:val="6698C2"/>
        </w:rPr>
        <w:t>Tax Rate</w:t>
      </w:r>
      <w:r>
        <w:rPr>
          <w:rFonts w:ascii="Arial" w:cs="Arial" w:eastAsia="Arial" w:hAnsi="Arial"/>
          <w:sz w:val="59"/>
          <w:szCs w:val="59"/>
          <w:b w:val="1"/>
          <w:bCs w:val="1"/>
          <w:color w:val="6698C2"/>
          <w:vertAlign w:val="superscript"/>
        </w:rPr>
        <w:t>Margin</w:t>
      </w:r>
    </w:p>
    <w:p>
      <w:pPr>
        <w:ind w:left="120"/>
        <w:spacing w:after="0"/>
        <w:rPr>
          <w:sz w:val="20"/>
          <w:szCs w:val="20"/>
          <w:color w:val="auto"/>
        </w:rPr>
      </w:pPr>
      <w:r>
        <w:rPr>
          <w:rFonts w:ascii="Arial" w:cs="Arial" w:eastAsia="Arial" w:hAnsi="Arial"/>
          <w:sz w:val="30"/>
          <w:szCs w:val="30"/>
          <w:b w:val="1"/>
          <w:bCs w:val="1"/>
          <w:color w:val="6698C2"/>
        </w:rPr>
        <w:t>EPS</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2"/>
        </w:trPr>
        <w:tc>
          <w:tcPr>
            <w:tcW w:w="1700" w:type="dxa"/>
            <w:vAlign w:val="bottom"/>
          </w:tcPr>
          <w:p>
            <w:pPr>
              <w:ind w:left="400"/>
              <w:spacing w:after="0"/>
              <w:rPr>
                <w:sz w:val="20"/>
                <w:szCs w:val="20"/>
                <w:color w:val="auto"/>
              </w:rPr>
            </w:pPr>
            <w:r>
              <w:rPr>
                <w:rFonts w:ascii="Arial" w:cs="Arial" w:eastAsia="Arial" w:hAnsi="Arial"/>
                <w:sz w:val="27"/>
                <w:szCs w:val="27"/>
                <w:color w:val="auto"/>
              </w:rPr>
              <w:t>Up 17-</w:t>
            </w:r>
          </w:p>
        </w:tc>
        <w:tc>
          <w:tcPr>
            <w:tcW w:w="2240" w:type="dxa"/>
            <w:vAlign w:val="bottom"/>
          </w:tcPr>
          <w:p>
            <w:pPr>
              <w:jc w:val="center"/>
              <w:ind w:right="381"/>
              <w:spacing w:after="0"/>
              <w:rPr>
                <w:sz w:val="20"/>
                <w:szCs w:val="20"/>
                <w:color w:val="auto"/>
              </w:rPr>
            </w:pPr>
            <w:r>
              <w:rPr>
                <w:rFonts w:ascii="Arial" w:cs="Arial" w:eastAsia="Arial" w:hAnsi="Arial"/>
                <w:sz w:val="27"/>
                <w:szCs w:val="27"/>
                <w:color w:val="auto"/>
                <w:w w:val="98"/>
              </w:rPr>
              <w:t>(Up 16-18%</w:t>
            </w:r>
          </w:p>
        </w:tc>
        <w:tc>
          <w:tcPr>
            <w:tcW w:w="0" w:type="dxa"/>
            <w:vAlign w:val="bottom"/>
          </w:tcPr>
          <w:p>
            <w:pPr>
              <w:spacing w:after="0"/>
              <w:rPr>
                <w:sz w:val="1"/>
                <w:szCs w:val="1"/>
                <w:color w:val="auto"/>
              </w:rPr>
            </w:pPr>
          </w:p>
        </w:tc>
      </w:tr>
      <w:tr>
        <w:trPr>
          <w:trHeight w:val="263"/>
        </w:trPr>
        <w:tc>
          <w:tcPr>
            <w:tcW w:w="1700" w:type="dxa"/>
            <w:vAlign w:val="bottom"/>
          </w:tcPr>
          <w:p>
            <w:pPr>
              <w:ind w:left="460"/>
              <w:spacing w:after="0" w:line="263" w:lineRule="exact"/>
              <w:rPr>
                <w:sz w:val="20"/>
                <w:szCs w:val="20"/>
                <w:color w:val="auto"/>
              </w:rPr>
            </w:pPr>
            <w:r>
              <w:rPr>
                <w:rFonts w:ascii="Arial" w:cs="Arial" w:eastAsia="Arial" w:hAnsi="Arial"/>
                <w:sz w:val="27"/>
                <w:szCs w:val="27"/>
                <w:color w:val="auto"/>
              </w:rPr>
              <w:t>19%</w:t>
            </w:r>
          </w:p>
        </w:tc>
        <w:tc>
          <w:tcPr>
            <w:tcW w:w="2240" w:type="dxa"/>
            <w:vAlign w:val="bottom"/>
          </w:tcPr>
          <w:p>
            <w:pPr>
              <w:jc w:val="center"/>
              <w:ind w:right="381"/>
              <w:spacing w:after="0" w:line="263" w:lineRule="exact"/>
              <w:rPr>
                <w:sz w:val="20"/>
                <w:szCs w:val="20"/>
                <w:color w:val="auto"/>
              </w:rPr>
            </w:pPr>
            <w:r>
              <w:rPr>
                <w:rFonts w:ascii="Arial" w:cs="Arial" w:eastAsia="Arial" w:hAnsi="Arial"/>
                <w:sz w:val="27"/>
                <w:szCs w:val="27"/>
                <w:color w:val="auto"/>
                <w:w w:val="95"/>
              </w:rPr>
              <w:t>CC)</w:t>
            </w:r>
          </w:p>
        </w:tc>
        <w:tc>
          <w:tcPr>
            <w:tcW w:w="0" w:type="dxa"/>
            <w:vAlign w:val="bottom"/>
          </w:tcPr>
          <w:p>
            <w:pPr>
              <w:spacing w:after="0"/>
              <w:rPr>
                <w:sz w:val="1"/>
                <w:szCs w:val="1"/>
                <w:color w:val="auto"/>
              </w:rPr>
            </w:pPr>
          </w:p>
        </w:tc>
      </w:tr>
      <w:tr>
        <w:trPr>
          <w:trHeight w:val="250"/>
        </w:trPr>
        <w:tc>
          <w:tcPr>
            <w:tcW w:w="3940" w:type="dxa"/>
            <w:vAlign w:val="bottom"/>
            <w:gridSpan w:val="2"/>
          </w:tcPr>
          <w:p>
            <w:pPr>
              <w:ind w:left="140"/>
              <w:spacing w:after="0" w:line="250" w:lineRule="exact"/>
              <w:rPr>
                <w:sz w:val="20"/>
                <w:szCs w:val="20"/>
                <w:color w:val="auto"/>
              </w:rPr>
            </w:pPr>
            <w:r>
              <w:rPr>
                <w:rFonts w:ascii="Arial" w:cs="Arial" w:eastAsia="Arial" w:hAnsi="Arial"/>
                <w:sz w:val="27"/>
                <w:szCs w:val="27"/>
                <w:color w:val="auto"/>
              </w:rPr>
              <w:t>Up 54-56% (Up 52-54% CC)</w:t>
            </w:r>
          </w:p>
        </w:tc>
        <w:tc>
          <w:tcPr>
            <w:tcW w:w="0" w:type="dxa"/>
            <w:vAlign w:val="bottom"/>
          </w:tcPr>
          <w:p>
            <w:pPr>
              <w:spacing w:after="0"/>
              <w:rPr>
                <w:sz w:val="1"/>
                <w:szCs w:val="1"/>
                <w:color w:val="auto"/>
              </w:rPr>
            </w:pPr>
          </w:p>
        </w:tc>
      </w:tr>
      <w:tr>
        <w:trPr>
          <w:trHeight w:val="323"/>
        </w:trPr>
        <w:tc>
          <w:tcPr>
            <w:tcW w:w="3940" w:type="dxa"/>
            <w:vAlign w:val="bottom"/>
            <w:gridSpan w:val="2"/>
          </w:tcPr>
          <w:p>
            <w:pPr>
              <w:ind w:left="100"/>
              <w:spacing w:after="0"/>
              <w:rPr>
                <w:sz w:val="20"/>
                <w:szCs w:val="20"/>
                <w:color w:val="auto"/>
              </w:rPr>
            </w:pPr>
            <w:r>
              <w:rPr>
                <w:rFonts w:ascii="Arial" w:cs="Arial" w:eastAsia="Arial" w:hAnsi="Arial"/>
                <w:sz w:val="27"/>
                <w:szCs w:val="27"/>
                <w:color w:val="auto"/>
              </w:rPr>
              <w:t>Up 13-15% (Up 14-16% CC)</w:t>
            </w:r>
          </w:p>
        </w:tc>
        <w:tc>
          <w:tcPr>
            <w:tcW w:w="0" w:type="dxa"/>
            <w:vAlign w:val="bottom"/>
          </w:tcPr>
          <w:p>
            <w:pPr>
              <w:spacing w:after="0"/>
              <w:rPr>
                <w:sz w:val="1"/>
                <w:szCs w:val="1"/>
                <w:color w:val="auto"/>
              </w:rPr>
            </w:pPr>
          </w:p>
        </w:tc>
      </w:tr>
      <w:tr>
        <w:trPr>
          <w:trHeight w:val="361"/>
        </w:trPr>
        <w:tc>
          <w:tcPr>
            <w:tcW w:w="1700" w:type="dxa"/>
            <w:vAlign w:val="bottom"/>
          </w:tcPr>
          <w:p>
            <w:pPr>
              <w:ind w:left="120"/>
              <w:spacing w:after="0"/>
              <w:rPr>
                <w:sz w:val="20"/>
                <w:szCs w:val="20"/>
                <w:color w:val="auto"/>
              </w:rPr>
            </w:pPr>
            <w:r>
              <w:rPr>
                <w:rFonts w:ascii="Arial" w:cs="Arial" w:eastAsia="Arial" w:hAnsi="Arial"/>
                <w:sz w:val="27"/>
                <w:szCs w:val="27"/>
                <w:color w:val="auto"/>
              </w:rPr>
              <w:t>Up 11-13%</w:t>
            </w:r>
          </w:p>
        </w:tc>
        <w:tc>
          <w:tcPr>
            <w:tcW w:w="2240" w:type="dxa"/>
            <w:vAlign w:val="bottom"/>
          </w:tcPr>
          <w:p>
            <w:pPr>
              <w:jc w:val="center"/>
              <w:ind w:right="421"/>
              <w:spacing w:after="0"/>
              <w:rPr>
                <w:sz w:val="20"/>
                <w:szCs w:val="20"/>
                <w:color w:val="auto"/>
              </w:rPr>
            </w:pPr>
            <w:r>
              <w:rPr>
                <w:rFonts w:ascii="Arial" w:cs="Arial" w:eastAsia="Arial" w:hAnsi="Arial"/>
                <w:sz w:val="27"/>
                <w:szCs w:val="27"/>
                <w:color w:val="auto"/>
                <w:w w:val="98"/>
              </w:rPr>
              <w:t>(Up 10-12%</w:t>
            </w:r>
          </w:p>
        </w:tc>
        <w:tc>
          <w:tcPr>
            <w:tcW w:w="0" w:type="dxa"/>
            <w:vAlign w:val="bottom"/>
          </w:tcPr>
          <w:p>
            <w:pPr>
              <w:spacing w:after="0"/>
              <w:rPr>
                <w:sz w:val="1"/>
                <w:szCs w:val="1"/>
                <w:color w:val="auto"/>
              </w:rPr>
            </w:pPr>
          </w:p>
        </w:tc>
      </w:tr>
      <w:tr>
        <w:trPr>
          <w:trHeight w:val="243"/>
        </w:trPr>
        <w:tc>
          <w:tcPr>
            <w:tcW w:w="1700" w:type="dxa"/>
            <w:vAlign w:val="bottom"/>
            <w:vMerge w:val="restart"/>
          </w:tcPr>
          <w:p>
            <w:pPr>
              <w:ind w:left="120"/>
              <w:spacing w:after="0"/>
              <w:rPr>
                <w:sz w:val="20"/>
                <w:szCs w:val="20"/>
                <w:color w:val="auto"/>
              </w:rPr>
            </w:pPr>
            <w:r>
              <w:rPr>
                <w:rFonts w:ascii="Arial" w:cs="Arial" w:eastAsia="Arial" w:hAnsi="Arial"/>
                <w:sz w:val="27"/>
                <w:szCs w:val="27"/>
                <w:color w:val="auto"/>
              </w:rPr>
              <w:t>Up 16-18%</w:t>
            </w:r>
          </w:p>
        </w:tc>
        <w:tc>
          <w:tcPr>
            <w:tcW w:w="2240" w:type="dxa"/>
            <w:vAlign w:val="bottom"/>
          </w:tcPr>
          <w:p>
            <w:pPr>
              <w:jc w:val="center"/>
              <w:ind w:right="421"/>
              <w:spacing w:after="0" w:line="242" w:lineRule="exact"/>
              <w:rPr>
                <w:sz w:val="20"/>
                <w:szCs w:val="20"/>
                <w:color w:val="auto"/>
              </w:rPr>
            </w:pPr>
            <w:r>
              <w:rPr>
                <w:rFonts w:ascii="Arial" w:cs="Arial" w:eastAsia="Arial" w:hAnsi="Arial"/>
                <w:sz w:val="27"/>
                <w:szCs w:val="27"/>
                <w:color w:val="auto"/>
                <w:w w:val="95"/>
              </w:rPr>
              <w:t>CC)</w:t>
            </w:r>
          </w:p>
        </w:tc>
        <w:tc>
          <w:tcPr>
            <w:tcW w:w="0" w:type="dxa"/>
            <w:vAlign w:val="bottom"/>
          </w:tcPr>
          <w:p>
            <w:pPr>
              <w:spacing w:after="0"/>
              <w:rPr>
                <w:sz w:val="1"/>
                <w:szCs w:val="1"/>
                <w:color w:val="auto"/>
              </w:rPr>
            </w:pPr>
          </w:p>
        </w:tc>
      </w:tr>
      <w:tr>
        <w:trPr>
          <w:trHeight w:val="140"/>
        </w:trPr>
        <w:tc>
          <w:tcPr>
            <w:tcW w:w="1700" w:type="dxa"/>
            <w:vAlign w:val="bottom"/>
            <w:vMerge w:val="continue"/>
          </w:tcPr>
          <w:p>
            <w:pPr>
              <w:spacing w:after="0"/>
              <w:rPr>
                <w:sz w:val="12"/>
                <w:szCs w:val="12"/>
                <w:color w:val="auto"/>
              </w:rPr>
            </w:pPr>
          </w:p>
        </w:tc>
        <w:tc>
          <w:tcPr>
            <w:tcW w:w="2240" w:type="dxa"/>
            <w:vAlign w:val="bottom"/>
          </w:tcPr>
          <w:p>
            <w:pPr>
              <w:jc w:val="center"/>
              <w:ind w:right="561"/>
              <w:spacing w:after="0" w:line="140" w:lineRule="exact"/>
              <w:rPr>
                <w:sz w:val="20"/>
                <w:szCs w:val="20"/>
                <w:color w:val="auto"/>
              </w:rPr>
            </w:pPr>
            <w:r>
              <w:rPr>
                <w:rFonts w:ascii="Arial" w:cs="Arial" w:eastAsia="Arial" w:hAnsi="Arial"/>
                <w:sz w:val="15"/>
                <w:szCs w:val="15"/>
                <w:color w:val="auto"/>
              </w:rPr>
              <w:t>(Up 9-11%</w:t>
            </w:r>
          </w:p>
        </w:tc>
        <w:tc>
          <w:tcPr>
            <w:tcW w:w="0" w:type="dxa"/>
            <w:vAlign w:val="bottom"/>
          </w:tcPr>
          <w:p>
            <w:pPr>
              <w:spacing w:after="0"/>
              <w:rPr>
                <w:sz w:val="1"/>
                <w:szCs w:val="1"/>
                <w:color w:val="auto"/>
              </w:rPr>
            </w:pPr>
          </w:p>
        </w:tc>
      </w:tr>
      <w:tr>
        <w:trPr>
          <w:trHeight w:val="243"/>
        </w:trPr>
        <w:tc>
          <w:tcPr>
            <w:tcW w:w="1700" w:type="dxa"/>
            <w:vAlign w:val="bottom"/>
            <w:vMerge w:val="restart"/>
          </w:tcPr>
          <w:p>
            <w:pPr>
              <w:ind w:left="160"/>
              <w:spacing w:after="0"/>
              <w:rPr>
                <w:sz w:val="20"/>
                <w:szCs w:val="20"/>
                <w:color w:val="auto"/>
              </w:rPr>
            </w:pPr>
            <w:r>
              <w:rPr>
                <w:rFonts w:ascii="Arial" w:cs="Arial" w:eastAsia="Arial" w:hAnsi="Arial"/>
                <w:sz w:val="27"/>
                <w:szCs w:val="27"/>
                <w:color w:val="auto"/>
              </w:rPr>
              <w:t>Down 27-</w:t>
            </w:r>
          </w:p>
        </w:tc>
        <w:tc>
          <w:tcPr>
            <w:tcW w:w="2240" w:type="dxa"/>
            <w:vAlign w:val="bottom"/>
          </w:tcPr>
          <w:p>
            <w:pPr>
              <w:jc w:val="center"/>
              <w:ind w:right="561"/>
              <w:spacing w:after="0" w:line="242" w:lineRule="exact"/>
              <w:rPr>
                <w:sz w:val="20"/>
                <w:szCs w:val="20"/>
                <w:color w:val="auto"/>
              </w:rPr>
            </w:pPr>
            <w:r>
              <w:rPr>
                <w:rFonts w:ascii="Arial" w:cs="Arial" w:eastAsia="Arial" w:hAnsi="Arial"/>
                <w:sz w:val="27"/>
                <w:szCs w:val="27"/>
                <w:color w:val="auto"/>
                <w:w w:val="99"/>
              </w:rPr>
              <w:t>CC)</w:t>
            </w:r>
          </w:p>
        </w:tc>
        <w:tc>
          <w:tcPr>
            <w:tcW w:w="0" w:type="dxa"/>
            <w:vAlign w:val="bottom"/>
          </w:tcPr>
          <w:p>
            <w:pPr>
              <w:spacing w:after="0"/>
              <w:rPr>
                <w:sz w:val="1"/>
                <w:szCs w:val="1"/>
                <w:color w:val="auto"/>
              </w:rPr>
            </w:pPr>
          </w:p>
        </w:tc>
      </w:tr>
      <w:tr>
        <w:trPr>
          <w:trHeight w:val="119"/>
        </w:trPr>
        <w:tc>
          <w:tcPr>
            <w:tcW w:w="1700" w:type="dxa"/>
            <w:vAlign w:val="bottom"/>
            <w:vMerge w:val="continue"/>
          </w:tcPr>
          <w:p>
            <w:pPr>
              <w:spacing w:after="0"/>
              <w:rPr>
                <w:sz w:val="10"/>
                <w:szCs w:val="10"/>
                <w:color w:val="auto"/>
              </w:rPr>
            </w:pPr>
          </w:p>
        </w:tc>
        <w:tc>
          <w:tcPr>
            <w:tcW w:w="2240" w:type="dxa"/>
            <w:vAlign w:val="bottom"/>
          </w:tcPr>
          <w:p>
            <w:pPr>
              <w:jc w:val="center"/>
              <w:ind w:left="341"/>
              <w:spacing w:after="0" w:line="119" w:lineRule="exact"/>
              <w:rPr>
                <w:sz w:val="20"/>
                <w:szCs w:val="20"/>
                <w:color w:val="auto"/>
              </w:rPr>
            </w:pPr>
            <w:r>
              <w:rPr>
                <w:rFonts w:ascii="Arial" w:cs="Arial" w:eastAsia="Arial" w:hAnsi="Arial"/>
                <w:sz w:val="13"/>
                <w:szCs w:val="13"/>
                <w:color w:val="auto"/>
              </w:rPr>
              <w:t>(Down 29-31%</w:t>
            </w:r>
          </w:p>
        </w:tc>
        <w:tc>
          <w:tcPr>
            <w:tcW w:w="0" w:type="dxa"/>
            <w:vAlign w:val="bottom"/>
          </w:tcPr>
          <w:p>
            <w:pPr>
              <w:spacing w:after="0"/>
              <w:rPr>
                <w:sz w:val="1"/>
                <w:szCs w:val="1"/>
                <w:color w:val="auto"/>
              </w:rPr>
            </w:pPr>
          </w:p>
        </w:tc>
      </w:tr>
      <w:tr>
        <w:trPr>
          <w:trHeight w:val="243"/>
        </w:trPr>
        <w:tc>
          <w:tcPr>
            <w:tcW w:w="1700" w:type="dxa"/>
            <w:vAlign w:val="bottom"/>
          </w:tcPr>
          <w:p>
            <w:pPr>
              <w:spacing w:after="0" w:line="242" w:lineRule="exact"/>
              <w:rPr>
                <w:sz w:val="20"/>
                <w:szCs w:val="20"/>
                <w:color w:val="auto"/>
              </w:rPr>
            </w:pPr>
            <w:r>
              <w:rPr>
                <w:rFonts w:ascii="Arial" w:cs="Arial" w:eastAsia="Arial" w:hAnsi="Arial"/>
                <w:sz w:val="27"/>
                <w:szCs w:val="27"/>
                <w:color w:val="auto"/>
              </w:rPr>
              <w:t>29%</w:t>
            </w:r>
          </w:p>
        </w:tc>
        <w:tc>
          <w:tcPr>
            <w:tcW w:w="2240" w:type="dxa"/>
            <w:vAlign w:val="bottom"/>
          </w:tcPr>
          <w:p>
            <w:pPr>
              <w:jc w:val="center"/>
              <w:ind w:left="361"/>
              <w:spacing w:after="0" w:line="242" w:lineRule="exact"/>
              <w:rPr>
                <w:sz w:val="20"/>
                <w:szCs w:val="20"/>
                <w:color w:val="auto"/>
              </w:rPr>
            </w:pPr>
            <w:r>
              <w:rPr>
                <w:rFonts w:ascii="Arial" w:cs="Arial" w:eastAsia="Arial" w:hAnsi="Arial"/>
                <w:sz w:val="27"/>
                <w:szCs w:val="27"/>
                <w:color w:val="auto"/>
                <w:w w:val="99"/>
              </w:rPr>
              <w:t>CC)</w:t>
            </w:r>
          </w:p>
        </w:tc>
        <w:tc>
          <w:tcPr>
            <w:tcW w:w="0" w:type="dxa"/>
            <w:vAlign w:val="bottom"/>
          </w:tcPr>
          <w:p>
            <w:pPr>
              <w:spacing w:after="0"/>
              <w:rPr>
                <w:sz w:val="1"/>
                <w:szCs w:val="1"/>
                <w:color w:val="auto"/>
              </w:rPr>
            </w:pPr>
          </w:p>
        </w:tc>
      </w:tr>
      <w:tr>
        <w:trPr>
          <w:trHeight w:val="160"/>
        </w:trPr>
        <w:tc>
          <w:tcPr>
            <w:tcW w:w="1700" w:type="dxa"/>
            <w:vAlign w:val="bottom"/>
          </w:tcPr>
          <w:p>
            <w:pPr>
              <w:ind w:left="440"/>
              <w:spacing w:after="0" w:line="160" w:lineRule="exact"/>
              <w:rPr>
                <w:sz w:val="20"/>
                <w:szCs w:val="20"/>
                <w:color w:val="auto"/>
              </w:rPr>
            </w:pPr>
            <w:r>
              <w:rPr>
                <w:rFonts w:ascii="Arial" w:cs="Arial" w:eastAsia="Arial" w:hAnsi="Arial"/>
                <w:sz w:val="18"/>
                <w:szCs w:val="18"/>
                <w:color w:val="auto"/>
              </w:rPr>
              <w:t>Down 11-</w:t>
            </w: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center"/>
        <w:ind w:right="3339"/>
        <w:spacing w:after="0" w:line="185" w:lineRule="auto"/>
        <w:rPr>
          <w:sz w:val="20"/>
          <w:szCs w:val="20"/>
          <w:color w:val="auto"/>
        </w:rPr>
      </w:pPr>
      <w:r>
        <w:rPr>
          <w:rFonts w:ascii="Arial" w:cs="Arial" w:eastAsia="Arial" w:hAnsi="Arial"/>
          <w:sz w:val="17"/>
          <w:szCs w:val="17"/>
          <w:color w:val="auto"/>
        </w:rPr>
        <w:t>13%</w:t>
      </w:r>
    </w:p>
    <w:p>
      <w:pPr>
        <w:jc w:val="center"/>
        <w:ind w:right="3379"/>
        <w:spacing w:after="0"/>
        <w:rPr>
          <w:sz w:val="20"/>
          <w:szCs w:val="20"/>
          <w:color w:val="auto"/>
        </w:rPr>
      </w:pPr>
      <w:r>
        <w:rPr>
          <w:rFonts w:ascii="Arial" w:cs="Arial" w:eastAsia="Arial" w:hAnsi="Arial"/>
          <w:sz w:val="27"/>
          <w:szCs w:val="27"/>
          <w:color w:val="auto"/>
        </w:rPr>
        <w:t>17.5-17.7%</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27"/>
          <w:szCs w:val="27"/>
          <w:color w:val="auto"/>
        </w:rPr>
        <w:t>1.1-</w:t>
      </w:r>
    </w:p>
    <w:p>
      <w:pPr>
        <w:ind w:left="460"/>
        <w:spacing w:after="0" w:line="189" w:lineRule="auto"/>
        <w:rPr>
          <w:sz w:val="20"/>
          <w:szCs w:val="20"/>
          <w:color w:val="auto"/>
        </w:rPr>
      </w:pPr>
      <w:r>
        <w:rPr>
          <w:rFonts w:ascii="Arial" w:cs="Arial" w:eastAsia="Arial" w:hAnsi="Arial"/>
          <w:sz w:val="19"/>
          <w:szCs w:val="19"/>
          <w:color w:val="auto"/>
        </w:rPr>
        <w:t>1.3%</w:t>
      </w:r>
    </w:p>
    <w:p>
      <w:pPr>
        <w:ind w:left="240"/>
        <w:spacing w:after="0"/>
        <w:rPr>
          <w:sz w:val="20"/>
          <w:szCs w:val="20"/>
          <w:color w:val="auto"/>
        </w:rPr>
      </w:pPr>
      <w:r>
        <w:rPr>
          <w:rFonts w:ascii="Arial" w:cs="Arial" w:eastAsia="Arial" w:hAnsi="Arial"/>
          <w:sz w:val="27"/>
          <w:szCs w:val="27"/>
          <w:color w:val="auto"/>
        </w:rPr>
        <w:t>63%</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26"/>
          <w:szCs w:val="26"/>
          <w:color w:val="auto"/>
        </w:rPr>
        <w:t>$0.14-$0.22 ($0.24-$0.32 before Comsys)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-3190240</wp:posOffset>
            </wp:positionH>
            <wp:positionV relativeFrom="paragraph">
              <wp:posOffset>817245</wp:posOffset>
            </wp:positionV>
            <wp:extent cx="728789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2">
            <w:col w:w="3460" w:space="340"/>
            <w:col w:w="5219"/>
          </w:cols>
          <w:pgMar w:left="1440" w:top="372" w:right="1440" w:bottom="1440" w:gutter="0" w:footer="0" w:header="0"/>
          <w:type w:val="continuous"/>
        </w:sectPr>
      </w:pPr>
    </w:p>
    <w:bookmarkStart w:id="31" w:name="page32"/>
    <w:bookmarkEnd w:id="31"/>
    <w:p>
      <w:pPr>
        <w:ind w:left="420"/>
        <w:spacing w:after="0"/>
        <w:rPr>
          <w:sz w:val="20"/>
          <w:szCs w:val="20"/>
          <w:color w:val="auto"/>
        </w:rPr>
      </w:pPr>
      <w:r>
        <w:rPr>
          <w:rFonts w:ascii="Arial" w:cs="Arial" w:eastAsia="Arial" w:hAnsi="Arial"/>
          <w:sz w:val="24"/>
          <w:szCs w:val="24"/>
          <w:b w:val="1"/>
          <w:bCs w:val="1"/>
          <w:color w:val="6698C2"/>
        </w:rPr>
        <w:drawing>
          <wp:anchor simplePos="0" relativeHeight="251657728" behindDoc="1" locked="0" layoutInCell="0" allowOverlap="1">
            <wp:simplePos x="0" y="0"/>
            <wp:positionH relativeFrom="page">
              <wp:posOffset>715010</wp:posOffset>
            </wp:positionH>
            <wp:positionV relativeFrom="page">
              <wp:posOffset>159385</wp:posOffset>
            </wp:positionV>
            <wp:extent cx="6131560" cy="45986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6131560" cy="4598670"/>
                    </a:xfrm>
                    <a:prstGeom prst="rect">
                      <a:avLst/>
                    </a:prstGeom>
                    <a:noFill/>
                  </pic:spPr>
                </pic:pic>
              </a:graphicData>
            </a:graphic>
          </wp:anchor>
        </w:drawing>
        <w:t>Manpower Inc.</w:t>
      </w:r>
    </w:p>
    <w:p>
      <w:pPr>
        <w:ind w:left="420"/>
        <w:spacing w:after="0" w:line="228" w:lineRule="auto"/>
        <w:rPr>
          <w:sz w:val="20"/>
          <w:szCs w:val="20"/>
          <w:color w:val="auto"/>
        </w:rPr>
      </w:pPr>
      <w:r>
        <w:rPr>
          <w:rFonts w:ascii="Arial" w:cs="Arial" w:eastAsia="Arial" w:hAnsi="Arial"/>
          <w:sz w:val="24"/>
          <w:szCs w:val="24"/>
          <w:b w:val="1"/>
          <w:bCs w:val="1"/>
          <w:color w:val="6698C2"/>
        </w:rPr>
        <w:t>2010 1</w:t>
      </w:r>
      <w:r>
        <w:rPr>
          <w:rFonts w:ascii="Arial" w:cs="Arial" w:eastAsia="Arial" w:hAnsi="Arial"/>
          <w:sz w:val="33"/>
          <w:szCs w:val="33"/>
          <w:b w:val="1"/>
          <w:bCs w:val="1"/>
          <w:color w:val="6698C2"/>
          <w:vertAlign w:val="superscript"/>
        </w:rPr>
        <w:t>st</w:t>
      </w:r>
      <w:r>
        <w:rPr>
          <w:rFonts w:ascii="Arial" w:cs="Arial" w:eastAsia="Arial" w:hAnsi="Arial"/>
          <w:sz w:val="24"/>
          <w:szCs w:val="24"/>
          <w:b w:val="1"/>
          <w:bCs w:val="1"/>
          <w:color w:val="6698C2"/>
        </w:rPr>
        <w:t xml:space="preserve"> Quarter Results</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21"/>
          <w:szCs w:val="21"/>
          <w:color w:val="auto"/>
        </w:rPr>
        <w:t>April 21,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80"/>
        <w:spacing w:after="0"/>
        <w:rPr>
          <w:sz w:val="20"/>
          <w:szCs w:val="20"/>
          <w:color w:val="auto"/>
        </w:rPr>
      </w:pPr>
      <w:r>
        <w:rPr>
          <w:rFonts w:ascii="Arial" w:cs="Arial" w:eastAsia="Arial" w:hAnsi="Arial"/>
          <w:sz w:val="54"/>
          <w:szCs w:val="54"/>
          <w:color w:val="auto"/>
        </w:rPr>
        <w:t>Questions?</w:t>
      </w:r>
    </w:p>
    <w:p>
      <w:pPr>
        <w:jc w:val="right"/>
        <w:ind w:right="1299"/>
        <w:spacing w:after="0"/>
        <w:rPr>
          <w:sz w:val="20"/>
          <w:szCs w:val="20"/>
          <w:color w:val="auto"/>
        </w:rPr>
      </w:pPr>
      <w:r>
        <w:rPr>
          <w:rFonts w:ascii="Arial" w:cs="Arial" w:eastAsia="Arial" w:hAnsi="Arial"/>
          <w:sz w:val="80"/>
          <w:szCs w:val="80"/>
          <w:color w:val="auto"/>
        </w:rPr>
        <w:t>Answers</w:t>
      </w:r>
    </w:p>
    <w:sectPr>
      <w:pgSz w:w="11900" w:h="16838" w:orient="portrait"/>
      <w:cols w:equalWidth="0" w:num="1">
        <w:col w:w="9019"/>
      </w:cols>
      <w:pgMar w:left="1440" w:top="7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lowerLetter"/>
      <w:start w:val="1"/>
    </w:lvl>
  </w:abstractNum>
  <w:abstractNum w:abstractNumId="1">
    <w:nsid w:val="216231B"/>
    <w:multiLevelType w:val="hybridMultilevel"/>
    <w:lvl w:ilvl="0">
      <w:lvlJc w:val="left"/>
      <w:lvlText w:val="(%1)"/>
      <w:numFmt w:val="lowerLetter"/>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43"/>
    </w:lvl>
  </w:abstractNum>
  <w:abstractNum w:abstractNumId="12">
    <w:nsid w:val="6B68079A"/>
    <w:multiLevelType w:val="hybridMultilevel"/>
    <w:lvl w:ilvl="0">
      <w:lvlJc w:val="left"/>
      <w:lvlText w:val="(%1)"/>
      <w:numFmt w:val="decimal"/>
      <w:start w:val="8"/>
    </w:lvl>
  </w:abstractNum>
  <w:abstractNum w:abstractNumId="13">
    <w:nsid w:val="4E6AFB66"/>
    <w:multiLevelType w:val="hybridMultilevel"/>
    <w:lvl w:ilvl="0">
      <w:lvlJc w:val="left"/>
      <w:lvlText w:val="(%1)"/>
      <w:numFmt w:val="decimal"/>
      <w:start w:val="51"/>
    </w:lvl>
  </w:abstractNum>
  <w:abstractNum w:abstractNumId="14">
    <w:nsid w:val="25E45D32"/>
    <w:multiLevelType w:val="hybridMultilevel"/>
    <w:lvl w:ilvl="0">
      <w:lvlJc w:val="left"/>
      <w:lvlText w:val="1"/>
      <w:numFmt w:val="bullet"/>
      <w:start w:val="1"/>
    </w:lvl>
    <w:lvl w:ilvl="1">
      <w:lvlJc w:val="left"/>
      <w:lvlText w:val="-"/>
      <w:numFmt w:val="bullet"/>
      <w:start w:val="1"/>
    </w:lvl>
  </w:abstractNum>
  <w:abstractNum w:abstractNumId="15">
    <w:nsid w:val="519B500D"/>
    <w:multiLevelType w:val="hybridMultilevel"/>
    <w:lvl w:ilvl="0">
      <w:lvlJc w:val="left"/>
      <w:lvlText w:val="(%1)"/>
      <w:numFmt w:val="decimal"/>
      <w:start w:val="26"/>
    </w:lvl>
  </w:abstractNum>
  <w:abstractNum w:abstractNumId="16">
    <w:nsid w:val="431BD7B7"/>
    <w:multiLevelType w:val="hybridMultilevel"/>
    <w:lvl w:ilvl="0">
      <w:lvlJc w:val="left"/>
      <w:lvlText w:val="(%1)"/>
      <w:numFmt w:val="decimal"/>
      <w:start w:val="7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2019-12-10T08:16:52Z</dcterms:created>
  <dcterms:modified xsi:type="dcterms:W3CDTF">2019-12-10T08:16:52Z</dcterms:modified>
</cp:coreProperties>
</file>