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Manpower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$.01 par value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56418H100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July 31, 2006</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960" w:right="7259" w:hanging="4"/>
        <w:spacing w:after="0" w:line="547" w:lineRule="auto"/>
        <w:tabs>
          <w:tab w:leader="none" w:pos="159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420" w:type="dxa"/>
            <w:vAlign w:val="bottom"/>
          </w:tcPr>
          <w:p>
            <w:pPr>
              <w:ind w:left="460"/>
              <w:spacing w:after="0"/>
              <w:rPr>
                <w:sz w:val="20"/>
                <w:szCs w:val="20"/>
                <w:color w:val="auto"/>
              </w:rPr>
            </w:pPr>
            <w:r>
              <w:rPr>
                <w:rFonts w:ascii="Courier New" w:cs="Courier New" w:eastAsia="Courier New" w:hAnsi="Courier New"/>
                <w:sz w:val="18"/>
                <w:szCs w:val="18"/>
                <w:color w:val="auto"/>
                <w:w w:val="96"/>
              </w:rPr>
              <w:t>56418H100</w:t>
            </w:r>
          </w:p>
        </w:tc>
      </w:tr>
    </w:tbl>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1580" w:right="1779" w:hanging="519"/>
        <w:spacing w:after="0" w:line="235" w:lineRule="auto"/>
        <w:tabs>
          <w:tab w:leader="none" w:pos="158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AMVESCAP PLC</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AIM Advisors, Inc.</w:t>
      </w:r>
    </w:p>
    <w:p>
      <w:pPr>
        <w:spacing w:after="0" w:line="4" w:lineRule="exact"/>
        <w:rPr>
          <w:rFonts w:ascii="Courier New" w:cs="Courier New" w:eastAsia="Courier New" w:hAnsi="Courier New"/>
          <w:sz w:val="18"/>
          <w:szCs w:val="18"/>
          <w:color w:val="auto"/>
        </w:rPr>
      </w:pPr>
    </w:p>
    <w:p>
      <w:pPr>
        <w:ind w:left="1580" w:right="55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AIM Capital Management, Inc. AIM Funds Management, Inc. Atlantic Trust Company, N.A. INVESCO Asset Management GmbH</w:t>
      </w:r>
    </w:p>
    <w:p>
      <w:pPr>
        <w:spacing w:after="0" w:line="18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1580" w:right="3039" w:hanging="519"/>
        <w:spacing w:after="0" w:line="235" w:lineRule="auto"/>
        <w:tabs>
          <w:tab w:leader="none" w:pos="158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580" w:hanging="519"/>
        <w:spacing w:after="0"/>
        <w:tabs>
          <w:tab w:leader="none" w:pos="158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  _______________________________________________</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1900" w:right="4519" w:hanging="944"/>
        <w:spacing w:after="0" w:line="235" w:lineRule="auto"/>
        <w:tabs>
          <w:tab w:leader="none" w:pos="19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AMVESCAP PLC: England</w:t>
      </w:r>
    </w:p>
    <w:p>
      <w:pPr>
        <w:spacing w:after="0" w:line="1" w:lineRule="exact"/>
        <w:rPr>
          <w:rFonts w:ascii="Courier New" w:cs="Courier New" w:eastAsia="Courier New" w:hAnsi="Courier New"/>
          <w:sz w:val="18"/>
          <w:szCs w:val="18"/>
          <w:color w:val="auto"/>
        </w:rPr>
      </w:pP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AIM Advisors, Inc.: United States</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AIM Capital Management, Inc.: United States</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AIM Funds Management, Inc.: Canada</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Atlantic Trust Company, N.A.: United States</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INVESCO Asset Management GmbH: Germany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3700" w:right="2199" w:hanging="848"/>
        <w:spacing w:after="0" w:line="268" w:lineRule="auto"/>
        <w:tabs>
          <w:tab w:leader="none" w:pos="3700" w:val="left"/>
        </w:tabs>
        <w:numPr>
          <w:ilvl w:val="3"/>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4,206,521: Such shares are held by the following entities in the respective amounts listed:</w:t>
      </w:r>
    </w:p>
    <w:p>
      <w:pPr>
        <w:ind w:left="3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AIM Advisors, Inc. 353,800</w:t>
      </w:r>
    </w:p>
    <w:p>
      <w:pPr>
        <w:spacing w:after="0" w:line="4" w:lineRule="exact"/>
        <w:rPr>
          <w:rFonts w:ascii="Courier New" w:cs="Courier New" w:eastAsia="Courier New" w:hAnsi="Courier New"/>
          <w:sz w:val="16"/>
          <w:szCs w:val="16"/>
          <w:color w:val="auto"/>
        </w:rPr>
      </w:pPr>
    </w:p>
    <w:p>
      <w:pPr>
        <w:ind w:left="3700" w:right="27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AIM Capital Management, Inc. 94,300 AIM Funds Management, Inc. 3,752,200</w:t>
      </w:r>
    </w:p>
    <w:tbl>
      <w:tblPr>
        <w:tblLayout w:type="fixed"/>
        <w:tblInd w:w="0" w:type="dxa"/>
        <w:tblCellMar>
          <w:top w:w="0" w:type="dxa"/>
          <w:left w:w="0" w:type="dxa"/>
          <w:bottom w:w="0" w:type="dxa"/>
          <w:right w:w="0" w:type="dxa"/>
        </w:tblCellMar>
      </w:tblPr>
      <w:tr>
        <w:trPr>
          <w:trHeight w:val="199"/>
        </w:trPr>
        <w:tc>
          <w:tcPr>
            <w:tcW w:w="2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740" w:type="dxa"/>
            <w:vAlign w:val="bottom"/>
            <w:gridSpan w:val="2"/>
          </w:tcPr>
          <w:p>
            <w:pPr>
              <w:spacing w:after="0" w:line="198" w:lineRule="exact"/>
              <w:rPr>
                <w:sz w:val="20"/>
                <w:szCs w:val="20"/>
                <w:color w:val="auto"/>
              </w:rPr>
            </w:pPr>
            <w:r>
              <w:rPr>
                <w:rFonts w:ascii="Courier New" w:cs="Courier New" w:eastAsia="Courier New" w:hAnsi="Courier New"/>
                <w:sz w:val="18"/>
                <w:szCs w:val="18"/>
                <w:color w:val="auto"/>
              </w:rPr>
              <w:t>Atlantic Trust Company, N.A. 4,227</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w:t>
            </w:r>
          </w:p>
        </w:tc>
        <w:tc>
          <w:tcPr>
            <w:tcW w:w="1320" w:type="dxa"/>
            <w:vAlign w:val="bottom"/>
          </w:tcPr>
          <w:p>
            <w:pPr>
              <w:spacing w:after="0"/>
              <w:rPr>
                <w:sz w:val="17"/>
                <w:szCs w:val="17"/>
                <w:color w:val="auto"/>
              </w:rPr>
            </w:pPr>
          </w:p>
        </w:tc>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INVESCO Asset Management GmbH 1,994</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Beneficially Owned</w:t>
            </w:r>
          </w:p>
        </w:tc>
        <w:tc>
          <w:tcPr>
            <w:tcW w:w="1940" w:type="dxa"/>
            <w:vAlign w:val="bottom"/>
            <w:gridSpan w:val="2"/>
          </w:tcPr>
          <w:p>
            <w:pPr>
              <w:ind w:left="480"/>
              <w:spacing w:after="0"/>
              <w:rPr>
                <w:sz w:val="20"/>
                <w:szCs w:val="20"/>
                <w:color w:val="auto"/>
              </w:rPr>
            </w:pPr>
            <w:r>
              <w:rPr>
                <w:rFonts w:ascii="Courier New" w:cs="Courier New" w:eastAsia="Courier New" w:hAnsi="Courier New"/>
                <w:sz w:val="5"/>
                <w:szCs w:val="5"/>
                <w:color w:val="auto"/>
                <w:w w:val="92"/>
              </w:rPr>
              <w:t>----------------------------------------------------</w:t>
            </w:r>
          </w:p>
        </w:tc>
        <w:tc>
          <w:tcPr>
            <w:tcW w:w="4120" w:type="dxa"/>
            <w:vAlign w:val="bottom"/>
          </w:tcPr>
          <w:p>
            <w:pPr>
              <w:spacing w:after="0"/>
              <w:rPr>
                <w:sz w:val="24"/>
                <w:szCs w:val="24"/>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by Each Reporting</w:t>
            </w:r>
          </w:p>
        </w:tc>
        <w:tc>
          <w:tcPr>
            <w:tcW w:w="1320" w:type="dxa"/>
            <w:vAlign w:val="bottom"/>
          </w:tcPr>
          <w:p>
            <w:pPr>
              <w:ind w:left="480"/>
              <w:spacing w:after="0"/>
              <w:rPr>
                <w:sz w:val="20"/>
                <w:szCs w:val="20"/>
                <w:color w:val="auto"/>
              </w:rPr>
            </w:pPr>
            <w:r>
              <w:rPr>
                <w:rFonts w:ascii="Courier New" w:cs="Courier New" w:eastAsia="Courier New" w:hAnsi="Courier New"/>
                <w:sz w:val="18"/>
                <w:szCs w:val="18"/>
                <w:color w:val="auto"/>
              </w:rPr>
              <w:t>6.</w:t>
            </w:r>
          </w:p>
        </w:tc>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rPr>
              <w:t>Shared Voting Power</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1940" w:type="dxa"/>
            <w:vAlign w:val="bottom"/>
            <w:gridSpan w:val="2"/>
          </w:tcPr>
          <w:p>
            <w:pPr>
              <w:ind w:left="480"/>
              <w:spacing w:after="0"/>
              <w:rPr>
                <w:sz w:val="20"/>
                <w:szCs w:val="20"/>
                <w:color w:val="auto"/>
              </w:rPr>
            </w:pPr>
            <w:r>
              <w:rPr>
                <w:rFonts w:ascii="Courier New" w:cs="Courier New" w:eastAsia="Courier New" w:hAnsi="Courier New"/>
                <w:sz w:val="5"/>
                <w:szCs w:val="5"/>
                <w:color w:val="auto"/>
                <w:w w:val="92"/>
              </w:rPr>
              <w:t>----------------------------------------------------</w:t>
            </w:r>
          </w:p>
        </w:tc>
        <w:tc>
          <w:tcPr>
            <w:tcW w:w="4120" w:type="dxa"/>
            <w:vAlign w:val="bottom"/>
          </w:tcPr>
          <w:p>
            <w:pPr>
              <w:spacing w:after="0"/>
              <w:rPr>
                <w:sz w:val="24"/>
                <w:szCs w:val="24"/>
                <w:color w:val="auto"/>
              </w:rPr>
            </w:pPr>
          </w:p>
        </w:tc>
      </w:tr>
      <w:tr>
        <w:trPr>
          <w:trHeight w:val="405"/>
        </w:trPr>
        <w:tc>
          <w:tcPr>
            <w:tcW w:w="238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Courier New" w:cs="Courier New" w:eastAsia="Courier New" w:hAnsi="Courier New"/>
                <w:sz w:val="18"/>
                <w:szCs w:val="18"/>
                <w:color w:val="auto"/>
              </w:rPr>
              <w:t>7.</w:t>
            </w:r>
          </w:p>
        </w:tc>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w w:val="97"/>
              </w:rPr>
              <w:t>Sole Dispositive Power 4,206,521: Such shares</w:t>
            </w:r>
          </w:p>
        </w:tc>
      </w:tr>
      <w:tr>
        <w:trPr>
          <w:trHeight w:val="203"/>
        </w:trPr>
        <w:tc>
          <w:tcPr>
            <w:tcW w:w="2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are held by the following</w:t>
            </w:r>
          </w:p>
        </w:tc>
      </w:tr>
      <w:tr>
        <w:trPr>
          <w:trHeight w:val="203"/>
        </w:trPr>
        <w:tc>
          <w:tcPr>
            <w:tcW w:w="2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entities in the respective amounts listed:</w:t>
            </w:r>
          </w:p>
        </w:tc>
      </w:tr>
      <w:tr>
        <w:trPr>
          <w:trHeight w:val="203"/>
        </w:trPr>
        <w:tc>
          <w:tcPr>
            <w:tcW w:w="2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AIM Advisors, Inc. 353,800</w:t>
            </w:r>
          </w:p>
        </w:tc>
      </w:tr>
      <w:tr>
        <w:trPr>
          <w:trHeight w:val="203"/>
        </w:trPr>
        <w:tc>
          <w:tcPr>
            <w:tcW w:w="2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AIM Capital Management, Inc. 94,300</w:t>
            </w:r>
          </w:p>
        </w:tc>
      </w:tr>
      <w:tr>
        <w:trPr>
          <w:trHeight w:val="203"/>
        </w:trPr>
        <w:tc>
          <w:tcPr>
            <w:tcW w:w="2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AIM Funds Management, Inc. 3,752,200</w:t>
            </w:r>
          </w:p>
        </w:tc>
      </w:tr>
      <w:tr>
        <w:trPr>
          <w:trHeight w:val="203"/>
        </w:trPr>
        <w:tc>
          <w:tcPr>
            <w:tcW w:w="2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Atlantic Trust Company, N.A. 4,227</w:t>
            </w:r>
          </w:p>
        </w:tc>
      </w:tr>
      <w:tr>
        <w:trPr>
          <w:trHeight w:val="203"/>
        </w:trPr>
        <w:tc>
          <w:tcPr>
            <w:tcW w:w="2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INVESCO Asset Management GmbH 1,994</w:t>
            </w:r>
          </w:p>
        </w:tc>
      </w:tr>
      <w:tr>
        <w:trPr>
          <w:trHeight w:val="405"/>
        </w:trPr>
        <w:tc>
          <w:tcPr>
            <w:tcW w:w="2380" w:type="dxa"/>
            <w:vAlign w:val="bottom"/>
          </w:tcPr>
          <w:p>
            <w:pPr>
              <w:spacing w:after="0"/>
              <w:rPr>
                <w:sz w:val="24"/>
                <w:szCs w:val="24"/>
                <w:color w:val="auto"/>
              </w:rPr>
            </w:pPr>
          </w:p>
        </w:tc>
        <w:tc>
          <w:tcPr>
            <w:tcW w:w="6060" w:type="dxa"/>
            <w:vAlign w:val="bottom"/>
            <w:gridSpan w:val="3"/>
          </w:tcPr>
          <w:p>
            <w:pPr>
              <w:ind w:left="480"/>
              <w:spacing w:after="0"/>
              <w:rPr>
                <w:sz w:val="20"/>
                <w:szCs w:val="20"/>
                <w:color w:val="auto"/>
              </w:rPr>
            </w:pPr>
            <w:r>
              <w:rPr>
                <w:rFonts w:ascii="Courier New" w:cs="Courier New" w:eastAsia="Courier New" w:hAnsi="Courier New"/>
                <w:sz w:val="18"/>
                <w:szCs w:val="18"/>
                <w:color w:val="auto"/>
                <w:w w:val="98"/>
              </w:rPr>
              <w:t>----------------------------------------------------</w:t>
            </w:r>
          </w:p>
        </w:tc>
      </w:tr>
      <w:tr>
        <w:trPr>
          <w:trHeight w:val="405"/>
        </w:trPr>
        <w:tc>
          <w:tcPr>
            <w:tcW w:w="2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8.</w:t>
            </w:r>
          </w:p>
        </w:tc>
        <w:tc>
          <w:tcPr>
            <w:tcW w:w="4120" w:type="dxa"/>
            <w:vAlign w:val="bottom"/>
          </w:tcPr>
          <w:p>
            <w:pPr>
              <w:ind w:left="320"/>
              <w:spacing w:after="0"/>
              <w:rPr>
                <w:sz w:val="20"/>
                <w:szCs w:val="20"/>
                <w:color w:val="auto"/>
              </w:rPr>
            </w:pPr>
            <w:r>
              <w:rPr>
                <w:rFonts w:ascii="Courier New" w:cs="Courier New" w:eastAsia="Courier New" w:hAnsi="Courier New"/>
                <w:sz w:val="18"/>
                <w:szCs w:val="18"/>
                <w:color w:val="auto"/>
              </w:rPr>
              <w:t>Shared Dispositive Power</w:t>
            </w:r>
          </w:p>
        </w:tc>
      </w:tr>
    </w:tbl>
    <w:p>
      <w:pPr>
        <w:sectPr>
          <w:pgSz w:w="11900" w:h="16838" w:orient="portrait"/>
          <w:cols w:equalWidth="0" w:num="1">
            <w:col w:w="10219"/>
          </w:cols>
          <w:pgMar w:left="240" w:top="717" w:right="1440" w:bottom="1440" w:gutter="0" w:footer="0" w:header="0"/>
        </w:sectPr>
      </w:pPr>
    </w:p>
    <w:bookmarkStart w:id="2" w:name="page3"/>
    <w:bookmarkEnd w:id="2"/>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1572" w:right="1779" w:hanging="519"/>
        <w:spacing w:after="0" w:line="470" w:lineRule="auto"/>
        <w:tabs>
          <w:tab w:leader="none" w:pos="157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4,206,521</w:t>
      </w:r>
    </w:p>
    <w:p>
      <w:pPr>
        <w:spacing w:after="0" w:line="1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1572" w:right="1779" w:hanging="519"/>
        <w:spacing w:after="0" w:line="235" w:lineRule="auto"/>
        <w:tabs>
          <w:tab w:leader="none" w:pos="157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 N/A</w:t>
      </w:r>
    </w:p>
    <w:p>
      <w:pPr>
        <w:spacing w:after="0" w:line="208"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572" w:hanging="519"/>
        <w:spacing w:after="0"/>
        <w:tabs>
          <w:tab w:leader="none" w:pos="1572"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157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4.79%</w:t>
      </w:r>
    </w:p>
    <w:p>
      <w:pPr>
        <w:spacing w:after="0" w:line="206"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jc w:val="both"/>
        <w:ind w:left="1572" w:right="3999" w:hanging="519"/>
        <w:spacing w:after="0" w:line="290" w:lineRule="auto"/>
        <w:tabs>
          <w:tab w:leader="none" w:pos="1572"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IA, HC. See Items 2 and 3 of this statement.</w:t>
      </w:r>
    </w:p>
    <w:p>
      <w:pPr>
        <w:sectPr>
          <w:pgSz w:w="11900" w:h="16838" w:orient="portrait"/>
          <w:cols w:equalWidth="0" w:num="1">
            <w:col w:w="10211"/>
          </w:cols>
          <w:pgMar w:left="248" w:top="723"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SCHEDULE 13G</w:t>
      </w:r>
    </w:p>
    <w:p>
      <w:pPr>
        <w:sectPr>
          <w:pgSz w:w="11900" w:h="16838" w:orient="portrait"/>
          <w:cols w:equalWidth="0" w:num="1">
            <w:col w:w="10219"/>
          </w:cols>
          <w:pgMar w:left="240" w:top="723"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Manpower Inc.</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5301 North Ironwood Road</w:t>
      </w:r>
    </w:p>
    <w:p>
      <w:pPr>
        <w:spacing w:after="0" w:line="238" w:lineRule="auto"/>
        <w:rPr>
          <w:sz w:val="20"/>
          <w:szCs w:val="20"/>
          <w:color w:val="auto"/>
        </w:rPr>
      </w:pPr>
      <w:r>
        <w:rPr>
          <w:rFonts w:ascii="Courier New" w:cs="Courier New" w:eastAsia="Courier New" w:hAnsi="Courier New"/>
          <w:sz w:val="18"/>
          <w:szCs w:val="18"/>
          <w:color w:val="auto"/>
        </w:rPr>
        <w:t>Milwaukee, WI 53217</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AMVESCAP PLC</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7" w:lineRule="exact"/>
        <w:rPr>
          <w:sz w:val="20"/>
          <w:szCs w:val="20"/>
          <w:color w:val="auto"/>
        </w:rPr>
      </w:pPr>
    </w:p>
    <w:p>
      <w:pPr>
        <w:ind w:left="1900" w:right="1879"/>
        <w:spacing w:after="0" w:line="237" w:lineRule="auto"/>
        <w:rPr>
          <w:sz w:val="20"/>
          <w:szCs w:val="20"/>
          <w:color w:val="auto"/>
        </w:rPr>
      </w:pPr>
      <w:r>
        <w:rPr>
          <w:rFonts w:ascii="Courier New" w:cs="Courier New" w:eastAsia="Courier New" w:hAnsi="Courier New"/>
          <w:sz w:val="18"/>
          <w:szCs w:val="18"/>
          <w:color w:val="auto"/>
        </w:rPr>
        <w:t>In accordance with Securities and Exchange Commission Release No. 34-39538 (January 12, 1998), this statement on Schedule 13G or amendment thereto is being filed by AMVESCAP PLC ("AMVESCAP"), a U.K. entity, on behalf of itself and its subsidiaries listed in Item 4 of the cover of this statement. AMVESCAP through such subsidiaries provides investment management services to institutional and individual investors worldwide.</w:t>
      </w:r>
    </w:p>
    <w:p>
      <w:pPr>
        <w:spacing w:after="0" w:line="212" w:lineRule="exact"/>
        <w:rPr>
          <w:sz w:val="20"/>
          <w:szCs w:val="20"/>
          <w:color w:val="auto"/>
        </w:rPr>
      </w:pPr>
    </w:p>
    <w:p>
      <w:pPr>
        <w:ind w:left="1900" w:right="1779"/>
        <w:spacing w:after="0" w:line="271" w:lineRule="auto"/>
        <w:rPr>
          <w:sz w:val="20"/>
          <w:szCs w:val="20"/>
          <w:color w:val="auto"/>
        </w:rPr>
      </w:pPr>
      <w:r>
        <w:rPr>
          <w:rFonts w:ascii="Courier New" w:cs="Courier New" w:eastAsia="Courier New" w:hAnsi="Courier New"/>
          <w:sz w:val="16"/>
          <w:szCs w:val="16"/>
          <w:color w:val="auto"/>
        </w:rPr>
        <w:t>Executive officers and directors of AMVESCAP or its subsidiaries may beneficially own shares of the securities of the issuer to which this statement relates (the "Shares"), and such Shares are not reported in this statement. AMVESCAP and its subsidiaries disclaim beneficial ownership of Shares beneficially owned by any of their executive officers and directors. Each of AMVESCAP's direct and indirect subsidiaries also disclaim beneficial ownership of Shares beneficially owned by AMVESCAP and any other subsidiary.</w:t>
      </w:r>
    </w:p>
    <w:p>
      <w:pPr>
        <w:sectPr>
          <w:pgSz w:w="11900" w:h="16838" w:orient="portrait"/>
          <w:cols w:equalWidth="0" w:num="1">
            <w:col w:w="10219"/>
          </w:cols>
          <w:pgMar w:left="240" w:top="723" w:right="1440" w:bottom="1440" w:gutter="0" w:footer="0" w:header="0"/>
          <w:type w:val="continuous"/>
        </w:sect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Devonshire Square</w:t>
      </w:r>
    </w:p>
    <w:p>
      <w:pPr>
        <w:spacing w:after="0" w:line="238" w:lineRule="auto"/>
        <w:rPr>
          <w:sz w:val="20"/>
          <w:szCs w:val="20"/>
          <w:color w:val="auto"/>
        </w:rPr>
      </w:pPr>
      <w:r>
        <w:rPr>
          <w:rFonts w:ascii="Courier New" w:cs="Courier New" w:eastAsia="Courier New" w:hAnsi="Courier New"/>
          <w:sz w:val="18"/>
          <w:szCs w:val="18"/>
          <w:color w:val="auto"/>
        </w:rPr>
        <w:t>London EC2M 4YR</w:t>
      </w:r>
    </w:p>
    <w:p>
      <w:pPr>
        <w:spacing w:after="0"/>
        <w:rPr>
          <w:sz w:val="20"/>
          <w:szCs w:val="20"/>
          <w:color w:val="auto"/>
        </w:rPr>
      </w:pPr>
      <w:r>
        <w:rPr>
          <w:rFonts w:ascii="Courier New" w:cs="Courier New" w:eastAsia="Courier New" w:hAnsi="Courier New"/>
          <w:sz w:val="18"/>
          <w:szCs w:val="18"/>
          <w:color w:val="auto"/>
        </w:rPr>
        <w:t>England</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the response to Item 2(a) of this statement.</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$.01 par value per share</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56418H100</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 investment adviser in accordance with section 240.13d-1(b)</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(1)(ii)(E)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parent holding company or control person in accordance with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240.13d-1(b)(1)(ii)(G)</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7"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As noted in Item 2 above, AMVESCAP is making this filing on behalf of its subsidiaries listed herein. Each of these entities is either an investment adviser registered with the United States Securities Exchange Commission under Section 203 of the Investment Advisers Act of 1940, as amended, or under similar laws of other jurisdictions. AMVESCAP is a holding company.</w:t>
      </w:r>
    </w:p>
    <w:p>
      <w:pPr>
        <w:sectPr>
          <w:pgSz w:w="11900" w:h="16838" w:orient="portrait"/>
          <w:cols w:equalWidth="0" w:num="1">
            <w:col w:w="10219"/>
          </w:cols>
          <w:pgMar w:left="240" w:top="723" w:right="1440" w:bottom="1440" w:gutter="0" w:footer="0" w:header="0"/>
          <w:type w:val="continuous"/>
        </w:sectPr>
      </w:pPr>
    </w:p>
    <w:bookmarkStart w:id="4" w:name="page5"/>
    <w:bookmarkEnd w:id="4"/>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Ownership: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see responses to Items 5-8 on the cover of this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which are incorporated herein by reference.</w:t>
      </w:r>
    </w:p>
    <w:p>
      <w:pPr>
        <w:spacing w:after="0" w:line="200" w:lineRule="exact"/>
        <w:rPr>
          <w:sz w:val="20"/>
          <w:szCs w:val="20"/>
          <w:color w:val="auto"/>
        </w:rPr>
      </w:pPr>
    </w:p>
    <w:p>
      <w:pPr>
        <w:sectPr>
          <w:pgSz w:w="11900" w:h="16838" w:orient="portrait"/>
          <w:cols w:equalWidth="0" w:num="2">
            <w:col w:w="1180" w:space="720"/>
            <w:col w:w="8319"/>
          </w:cols>
          <w:pgMar w:left="240" w:top="717"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Five Percent or Less of a Class:</w:t>
      </w:r>
    </w:p>
    <w:p>
      <w:pPr>
        <w:spacing w:after="0" w:line="200" w:lineRule="exact"/>
        <w:rPr>
          <w:sz w:val="20"/>
          <w:szCs w:val="20"/>
          <w:color w:val="auto"/>
        </w:rPr>
      </w:pPr>
    </w:p>
    <w:p>
      <w:pPr>
        <w:sectPr>
          <w:pgSz w:w="11900" w:h="16838" w:orient="portrait"/>
          <w:cols w:equalWidth="0" w:num="2">
            <w:col w:w="1180" w:space="720"/>
            <w:col w:w="8319"/>
          </w:cols>
          <w:pgMar w:left="240" w:top="717" w:right="1440" w:bottom="1440" w:gutter="0" w:footer="0" w:header="0"/>
          <w:type w:val="continuous"/>
        </w:sectPr>
      </w:pPr>
    </w:p>
    <w:p>
      <w:pPr>
        <w:spacing w:after="0" w:line="24" w:lineRule="exact"/>
        <w:rPr>
          <w:sz w:val="20"/>
          <w:szCs w:val="20"/>
          <w:color w:val="auto"/>
        </w:rPr>
      </w:pPr>
    </w:p>
    <w:p>
      <w:pPr>
        <w:ind w:left="2000" w:right="18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X ]</w:t>
      </w:r>
    </w:p>
    <w:p>
      <w:pPr>
        <w:sectPr>
          <w:pgSz w:w="11900" w:h="16838" w:orient="portrait"/>
          <w:cols w:equalWidth="0" w:num="1">
            <w:col w:w="10219"/>
          </w:cols>
          <w:pgMar w:left="240" w:top="717"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More than Five Percent on Behalf of Another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ectPr>
          <w:pgSz w:w="11900" w:h="16838" w:orient="portrait"/>
          <w:cols w:equalWidth="0" w:num="2">
            <w:col w:w="1180" w:space="720"/>
            <w:col w:w="831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Reporting on By the Parent Holding Company: Please see Item 3 of this statement, which is incorporated herein by reference.</w:t>
      </w:r>
    </w:p>
    <w:p>
      <w:pPr>
        <w:spacing w:after="0" w:line="200" w:lineRule="exact"/>
        <w:rPr>
          <w:sz w:val="20"/>
          <w:szCs w:val="20"/>
          <w:color w:val="auto"/>
        </w:rPr>
      </w:pPr>
    </w:p>
    <w:p>
      <w:pPr>
        <w:sectPr>
          <w:pgSz w:w="11900" w:h="16838" w:orient="portrait"/>
          <w:cols w:equalWidth="0" w:num="2">
            <w:col w:w="1180" w:space="720"/>
            <w:col w:w="831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ectPr>
          <w:pgSz w:w="11900" w:h="16838" w:orient="portrait"/>
          <w:cols w:equalWidth="0" w:num="2">
            <w:col w:w="1180" w:space="720"/>
            <w:col w:w="831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Notice of Dissolution of a Group: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ectPr>
          <w:pgSz w:w="11900" w:h="16838" w:orient="portrait"/>
          <w:cols w:equalWidth="0" w:num="2">
            <w:col w:w="1180" w:space="720"/>
            <w:col w:w="831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Certification:</w:t>
      </w:r>
    </w:p>
    <w:p>
      <w:pPr>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belief, the securities referred to above were acquired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are held in the ordinary course of business and were not</w:t>
      </w:r>
    </w:p>
    <w:p>
      <w:pPr>
        <w:spacing w:after="0" w:line="238" w:lineRule="auto"/>
        <w:rPr>
          <w:sz w:val="20"/>
          <w:szCs w:val="20"/>
          <w:color w:val="auto"/>
        </w:rPr>
      </w:pPr>
      <w:r>
        <w:rPr>
          <w:rFonts w:ascii="Courier New" w:cs="Courier New" w:eastAsia="Courier New" w:hAnsi="Courier New"/>
          <w:sz w:val="18"/>
          <w:szCs w:val="18"/>
          <w:color w:val="auto"/>
        </w:rPr>
        <w:t>acquired and are not held for the purpose of or with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 of changing or influencing the control of the issuer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securities and were not acquired and are not held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connection with or as a participant in any transaction having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purpose or effect.</w:t>
      </w:r>
    </w:p>
    <w:p>
      <w:pPr>
        <w:spacing w:after="0" w:line="200" w:lineRule="exact"/>
        <w:rPr>
          <w:sz w:val="20"/>
          <w:szCs w:val="20"/>
          <w:color w:val="auto"/>
        </w:rPr>
      </w:pPr>
    </w:p>
    <w:p>
      <w:pPr>
        <w:sectPr>
          <w:pgSz w:w="11900" w:h="16838" w:orient="portrait"/>
          <w:cols w:equalWidth="0" w:num="2">
            <w:col w:w="1180" w:space="720"/>
            <w:col w:w="8319"/>
          </w:cols>
          <w:pgMar w:left="240" w:top="717" w:right="1440" w:bottom="1440" w:gutter="0" w:footer="0" w:header="0"/>
          <w:type w:val="continuous"/>
        </w:sectPr>
      </w:pP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After reasonable inquiry and to the best of my knowledge and</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belief, I certify that the information set forth in this</w:t>
      </w:r>
    </w:p>
    <w:p>
      <w:pPr>
        <w:ind w:left="1900"/>
        <w:spacing w:after="0" w:line="238" w:lineRule="auto"/>
        <w:rPr>
          <w:sz w:val="20"/>
          <w:szCs w:val="20"/>
          <w:color w:val="auto"/>
        </w:rPr>
      </w:pPr>
      <w:r>
        <w:rPr>
          <w:rFonts w:ascii="Courier New" w:cs="Courier New" w:eastAsia="Courier New" w:hAnsi="Courier New"/>
          <w:sz w:val="18"/>
          <w:szCs w:val="18"/>
          <w:color w:val="auto"/>
        </w:rPr>
        <w:t>statement is true, complete and correct.</w:t>
      </w:r>
    </w:p>
    <w:p>
      <w:pPr>
        <w:spacing w:after="0" w:line="200" w:lineRule="exact"/>
        <w:rPr>
          <w:sz w:val="20"/>
          <w:szCs w:val="20"/>
          <w:color w:val="auto"/>
        </w:rPr>
      </w:pPr>
    </w:p>
    <w:p>
      <w:pPr>
        <w:spacing w:after="0" w:line="204"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August 10, 2006</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Lisa Brinkley</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Signature</w:t>
      </w:r>
    </w:p>
    <w:p>
      <w:pPr>
        <w:ind w:left="4320"/>
        <w:spacing w:after="0" w:line="238" w:lineRule="auto"/>
        <w:rPr>
          <w:sz w:val="20"/>
          <w:szCs w:val="20"/>
          <w:color w:val="auto"/>
        </w:rPr>
      </w:pPr>
      <w:r>
        <w:rPr>
          <w:rFonts w:ascii="Courier New" w:cs="Courier New" w:eastAsia="Courier New" w:hAnsi="Courier New"/>
          <w:sz w:val="18"/>
          <w:szCs w:val="18"/>
          <w:color w:val="auto"/>
        </w:rPr>
        <w:t>Lisa Brinkley</w:t>
      </w:r>
    </w:p>
    <w:p>
      <w:pPr>
        <w:ind w:left="4320"/>
        <w:spacing w:after="0"/>
        <w:rPr>
          <w:sz w:val="20"/>
          <w:szCs w:val="20"/>
          <w:color w:val="auto"/>
        </w:rPr>
      </w:pPr>
      <w:r>
        <w:rPr>
          <w:rFonts w:ascii="Courier New" w:cs="Courier New" w:eastAsia="Courier New" w:hAnsi="Courier New"/>
          <w:sz w:val="18"/>
          <w:szCs w:val="18"/>
          <w:color w:val="auto"/>
        </w:rPr>
        <w:t>Chief Compliance Officer</w:t>
      </w:r>
    </w:p>
    <w:p>
      <w:pPr>
        <w:ind w:left="4320"/>
        <w:spacing w:after="0" w:line="237" w:lineRule="auto"/>
        <w:rPr>
          <w:sz w:val="20"/>
          <w:szCs w:val="20"/>
          <w:color w:val="auto"/>
        </w:rPr>
      </w:pPr>
      <w:r>
        <w:rPr>
          <w:rFonts w:ascii="Courier New" w:cs="Courier New" w:eastAsia="Courier New" w:hAnsi="Courier New"/>
          <w:sz w:val="18"/>
          <w:szCs w:val="18"/>
          <w:color w:val="auto"/>
        </w:rPr>
        <w:t>AMVESCAP PLC</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upperLetter"/>
      <w:start w:val="24"/>
    </w:lvl>
  </w:abstractNum>
  <w:abstractNum w:abstractNumId="5">
    <w:nsid w:val="12200854"/>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6">
    <w:nsid w:val="4DB127F8"/>
    <w:multiLevelType w:val="hybridMultilevel"/>
    <w:lvl w:ilvl="0">
      <w:lvlJc w:val="left"/>
      <w:lvlText w:val="-"/>
      <w:numFmt w:val="bullet"/>
      <w:start w:val="1"/>
    </w:lvl>
    <w:lvl w:ilvl="1">
      <w:lvlJc w:val="left"/>
      <w:lvlText w:val="%2"/>
      <w:numFmt w:val="decimal"/>
      <w:start w:val="1"/>
    </w:lvl>
    <w:lvl w:ilvl="2">
      <w:lvlJc w:val="left"/>
      <w:lvlText w:val="%3."/>
      <w:numFmt w:val="decimal"/>
      <w:start w:val="2"/>
    </w:lvl>
    <w:lvl w:ilvl="3">
      <w:lvlJc w:val="left"/>
      <w:lvlText w:val="%4"/>
      <w:numFmt w:val="decimal"/>
      <w:start w:val="1"/>
    </w:lvl>
  </w:abstractNum>
  <w:abstractNum w:abstractNumId="7">
    <w:nsid w:val="216231B"/>
    <w:multiLevelType w:val="hybridMultilevel"/>
    <w:lvl w:ilvl="0">
      <w:lvlJc w:val="left"/>
      <w:lvlText w:val="-"/>
      <w:numFmt w:val="bullet"/>
      <w:start w:val="1"/>
    </w:lvl>
    <w:lvl w:ilvl="1">
      <w:lvlJc w:val="left"/>
      <w:lvlText w:val="%2"/>
      <w:numFmt w:val="decimal"/>
      <w:start w:val="1"/>
    </w:lvl>
    <w:lvl w:ilvl="2">
      <w:lvlJc w:val="left"/>
      <w:lvlText w:val="%3."/>
      <w:numFmt w:val="decimal"/>
      <w:start w:val="3"/>
    </w:lvl>
    <w:lvl w:ilvl="3">
      <w:lvlJc w:val="left"/>
      <w:lvlText w:val="%4"/>
      <w:numFmt w:val="decimal"/>
      <w:start w:val="1"/>
    </w:lvl>
  </w:abstractNum>
  <w:abstractNum w:abstractNumId="8">
    <w:nsid w:val="1F16E9E8"/>
    <w:multiLevelType w:val="hybridMultilevel"/>
    <w:lvl w:ilvl="0">
      <w:lvlJc w:val="left"/>
      <w:lvlText w:val="-"/>
      <w:numFmt w:val="bullet"/>
      <w:start w:val="1"/>
    </w:lvl>
    <w:lvl w:ilvl="1">
      <w:lvlJc w:val="left"/>
      <w:lvlText w:val="%2."/>
      <w:numFmt w:val="decimal"/>
      <w:start w:val="4"/>
    </w:lvl>
    <w:lvl w:ilvl="2">
      <w:lvlJc w:val="left"/>
      <w:lvlText w:val="%3"/>
      <w:numFmt w:val="decimal"/>
      <w:start w:val="1"/>
    </w:lvl>
    <w:lvl w:ilvl="3">
      <w:lvlJc w:val="left"/>
      <w:lvlText w:val="%4."/>
      <w:numFmt w:val="decimal"/>
      <w:start w:val="5"/>
    </w:lvl>
  </w:abstractNum>
  <w:abstractNum w:abstractNumId="9">
    <w:nsid w:val="1190CDE7"/>
    <w:multiLevelType w:val="hybridMultilevel"/>
    <w:lvl w:ilvl="0">
      <w:lvlJc w:val="left"/>
      <w:lvlText w:val="-"/>
      <w:numFmt w:val="bullet"/>
      <w:start w:val="1"/>
    </w:lvl>
    <w:lvl w:ilvl="1">
      <w:lvlJc w:val="left"/>
      <w:lvlText w:val="%2."/>
      <w:numFmt w:val="decimal"/>
      <w:start w:val="9"/>
    </w:lvl>
  </w:abstractNum>
  <w:abstractNum w:abstractNumId="10">
    <w:nsid w:val="66EF438D"/>
    <w:multiLevelType w:val="hybridMultilevel"/>
    <w:lvl w:ilvl="0">
      <w:lvlJc w:val="left"/>
      <w:lvlText w:val="-"/>
      <w:numFmt w:val="bullet"/>
      <w:start w:val="1"/>
    </w:lvl>
    <w:lvl w:ilvl="1">
      <w:lvlJc w:val="left"/>
      <w:lvlText w:val="%2."/>
      <w:numFmt w:val="decimal"/>
      <w:start w:val="10"/>
    </w:lvl>
  </w:abstractNum>
  <w:abstractNum w:abstractNumId="11">
    <w:nsid w:val="140E0F76"/>
    <w:multiLevelType w:val="hybridMultilevel"/>
    <w:lvl w:ilvl="0">
      <w:lvlJc w:val="left"/>
      <w:lvlText w:val="-"/>
      <w:numFmt w:val="bullet"/>
      <w:start w:val="1"/>
    </w:lvl>
    <w:lvl w:ilvl="1">
      <w:lvlJc w:val="left"/>
      <w:lvlText w:val="%2."/>
      <w:numFmt w:val="decimal"/>
      <w:start w:val="11"/>
    </w:lvl>
  </w:abstractNum>
  <w:abstractNum w:abstractNumId="12">
    <w:nsid w:val="3352255A"/>
    <w:multiLevelType w:val="hybridMultilevel"/>
    <w:lvl w:ilvl="0">
      <w:lvlJc w:val="left"/>
      <w:lvlText w:val="-"/>
      <w:numFmt w:val="bullet"/>
      <w:start w:val="1"/>
    </w:lvl>
    <w:lvl w:ilvl="1">
      <w:lvlJc w:val="left"/>
      <w:lvlText w:val="%2."/>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2019-12-20T03:52:48Z</dcterms:created>
  <dcterms:modified xsi:type="dcterms:W3CDTF">2019-12-20T03:52:48Z</dcterms:modified>
</cp:coreProperties>
</file>