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4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4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7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735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73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44,892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44,892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92.21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23,680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23,680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243,096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21,575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02/14/2030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105,541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105,541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(5)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2017 (which were not derivative securities received under the Company's 2011 Equity Incentive Plan, exempt under Rule 16b-3).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the Issuer to satisfy the tax withholding obligations on shares acquired on February 14, 2020 in settlement of performance share units.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18, 2020.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14, 2023 and will be settled in shares of ManpowerGroup common stock on a 1 for 1 basis.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14, 2020,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on each of 2/14/2021, 2/14/2022, 2/14/2023, and 2/14/2024.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3862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36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2020-02-18T15:43:21Z</dcterms:created>
  <dcterms:modified xsi:type="dcterms:W3CDTF">2020-02-18T15:43:21Z</dcterms:modified>
</cp:coreProperties>
</file>