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552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524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JOERRES JEFFREY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MANPOWER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5301 N. IRONWOOD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 INC /WI/</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02/16/2005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11"/>
        <w:spacing w:after="0"/>
        <w:rPr>
          <w:sz w:val="20"/>
          <w:szCs w:val="20"/>
          <w:color w:val="auto"/>
        </w:rPr>
      </w:pPr>
      <w:r>
        <w:rPr>
          <w:rFonts w:ascii="Arial" w:cs="Arial" w:eastAsia="Arial" w:hAnsi="Arial"/>
          <w:sz w:val="17"/>
          <w:szCs w:val="17"/>
          <w:color w:val="0000FF"/>
        </w:rPr>
        <w:t>Chairman, CEO and President</w:t>
      </w:r>
    </w:p>
    <w:p>
      <w:pPr>
        <w:spacing w:after="0" w:line="416"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4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53217</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8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jc w:val="center"/>
              <w:ind w:left="71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711"/>
              <w:spacing w:after="0"/>
              <w:rPr>
                <w:sz w:val="20"/>
                <w:szCs w:val="20"/>
                <w:color w:val="auto"/>
              </w:rPr>
            </w:pPr>
            <w:r>
              <w:rPr>
                <w:rFonts w:ascii="Arial" w:cs="Arial" w:eastAsia="Arial" w:hAnsi="Arial"/>
                <w:sz w:val="17"/>
                <w:szCs w:val="17"/>
                <w:color w:val="0000FF"/>
                <w:w w:val="91"/>
              </w:rPr>
              <w:t>02/16/2005</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22,500</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117,247.5844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(2)</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711"/>
              <w:spacing w:after="0"/>
              <w:rPr>
                <w:sz w:val="20"/>
                <w:szCs w:val="20"/>
                <w:color w:val="auto"/>
              </w:rPr>
            </w:pPr>
            <w:r>
              <w:rPr>
                <w:rFonts w:ascii="Arial" w:cs="Arial" w:eastAsia="Arial" w:hAnsi="Arial"/>
                <w:sz w:val="17"/>
                <w:szCs w:val="17"/>
                <w:color w:val="0000FF"/>
                <w:w w:val="91"/>
              </w:rPr>
              <w:t>02/16/2005</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8"/>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45,000</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162,247.5844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1"/>
              </w:rPr>
              <w:t>300</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in Wife's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name</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0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0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44.37</w:t>
            </w:r>
            <w:r>
              <w:rPr>
                <w:rFonts w:ascii="Arial" w:cs="Arial" w:eastAsia="Arial" w:hAnsi="Arial"/>
                <w:sz w:val="22"/>
                <w:szCs w:val="22"/>
                <w:color w:val="008000"/>
                <w:vertAlign w:val="superscript"/>
              </w:rPr>
              <w:t>(4)</w:t>
            </w:r>
          </w:p>
        </w:tc>
        <w:tc>
          <w:tcPr>
            <w:tcW w:w="1100" w:type="dxa"/>
            <w:vAlign w:val="bottom"/>
            <w:vMerge w:val="restart"/>
          </w:tcPr>
          <w:p>
            <w:pPr>
              <w:jc w:val="right"/>
              <w:ind w:right="179"/>
              <w:spacing w:after="0"/>
              <w:rPr>
                <w:sz w:val="20"/>
                <w:szCs w:val="20"/>
                <w:color w:val="auto"/>
              </w:rPr>
            </w:pPr>
            <w:r>
              <w:rPr>
                <w:rFonts w:ascii="Arial" w:cs="Arial" w:eastAsia="Arial" w:hAnsi="Arial"/>
                <w:sz w:val="13"/>
                <w:szCs w:val="13"/>
                <w:color w:val="0000FF"/>
              </w:rPr>
              <w:t>02/16/2005</w:t>
            </w:r>
          </w:p>
        </w:tc>
        <w:tc>
          <w:tcPr>
            <w:tcW w:w="1120" w:type="dxa"/>
            <w:vAlign w:val="bottom"/>
          </w:tcPr>
          <w:p>
            <w:pPr>
              <w:spacing w:after="0"/>
              <w:rPr>
                <w:sz w:val="12"/>
                <w:szCs w:val="12"/>
                <w:color w:val="auto"/>
              </w:rPr>
            </w:pPr>
          </w:p>
        </w:tc>
        <w:tc>
          <w:tcPr>
            <w:tcW w:w="800" w:type="dxa"/>
            <w:vAlign w:val="bottom"/>
            <w:vMerge w:val="restart"/>
          </w:tcPr>
          <w:p>
            <w:pPr>
              <w:jc w:val="center"/>
              <w:ind w:right="279"/>
              <w:spacing w:after="0"/>
              <w:rPr>
                <w:sz w:val="20"/>
                <w:szCs w:val="20"/>
                <w:color w:val="auto"/>
              </w:rPr>
            </w:pPr>
            <w:r>
              <w:rPr>
                <w:rFonts w:ascii="Arial" w:cs="Arial" w:eastAsia="Arial" w:hAnsi="Arial"/>
                <w:sz w:val="13"/>
                <w:szCs w:val="13"/>
                <w:color w:val="0000FF"/>
              </w:rPr>
              <w:t>A</w:t>
            </w:r>
          </w:p>
        </w:tc>
        <w:tc>
          <w:tcPr>
            <w:tcW w:w="680" w:type="dxa"/>
            <w:vAlign w:val="bottom"/>
            <w:vMerge w:val="restart"/>
          </w:tcPr>
          <w:p>
            <w:pPr>
              <w:ind w:left="120"/>
              <w:spacing w:after="0"/>
              <w:rPr>
                <w:sz w:val="20"/>
                <w:szCs w:val="20"/>
                <w:color w:val="auto"/>
              </w:rPr>
            </w:pPr>
            <w:r>
              <w:rPr>
                <w:rFonts w:ascii="Arial" w:cs="Arial" w:eastAsia="Arial" w:hAnsi="Arial"/>
                <w:sz w:val="13"/>
                <w:szCs w:val="13"/>
                <w:color w:val="0000FF"/>
              </w:rPr>
              <w:t>150,000</w:t>
            </w:r>
          </w:p>
        </w:tc>
        <w:tc>
          <w:tcPr>
            <w:tcW w:w="28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(5)</w:t>
            </w: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02/16/2015</w:t>
            </w:r>
          </w:p>
        </w:tc>
        <w:tc>
          <w:tcPr>
            <w:tcW w:w="68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150,000</w:t>
            </w: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900" w:type="dxa"/>
            <w:vAlign w:val="bottom"/>
            <w:gridSpan w:val="2"/>
            <w:vMerge w:val="restart"/>
          </w:tcPr>
          <w:p>
            <w:pPr>
              <w:ind w:left="220"/>
              <w:spacing w:after="0"/>
              <w:rPr>
                <w:sz w:val="20"/>
                <w:szCs w:val="20"/>
                <w:color w:val="auto"/>
              </w:rPr>
            </w:pPr>
            <w:r>
              <w:rPr>
                <w:rFonts w:ascii="Arial" w:cs="Arial" w:eastAsia="Arial" w:hAnsi="Arial"/>
                <w:sz w:val="13"/>
                <w:szCs w:val="13"/>
                <w:color w:val="0000FF"/>
              </w:rPr>
              <w:t>150,000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(3)</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jc w:val="both"/>
        <w:ind w:left="40" w:right="280" w:firstLine="6"/>
        <w:spacing w:after="0" w:line="282"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Grant of restricted stock under the 2003 Equity Incentive Plan of Manpower Inc. (the "2003 Plan"). The shares vest in full on 2/16/11. However, the restricted stock may vest in full on 2/16/08 if the Company's total shareholder return during the three-year period ending 2/16/08 (the "Measurement Period") exceeds the total shareholder return during the Measurement Period of the 60th percentile of a peer group selected by the Executive Compensation Committee. Total shareholder return is defined as the appreciation of the price of the Company's or peer group company's common stock, assuming the reinvetment of dividends.</w:t>
      </w:r>
    </w:p>
    <w:p>
      <w:pPr>
        <w:ind w:left="40" w:right="540"/>
        <w:spacing w:after="0" w:line="243" w:lineRule="auto"/>
        <w:rPr>
          <w:rFonts w:ascii="Arial" w:cs="Arial" w:eastAsia="Arial" w:hAnsi="Arial"/>
          <w:sz w:val="11"/>
          <w:szCs w:val="11"/>
          <w:color w:val="008000"/>
        </w:rPr>
      </w:pPr>
      <w:r>
        <w:rPr>
          <w:rFonts w:ascii="Arial" w:cs="Arial" w:eastAsia="Arial" w:hAnsi="Arial"/>
          <w:sz w:val="13"/>
          <w:szCs w:val="13"/>
          <w:color w:val="008000"/>
        </w:rPr>
        <w:t>None of the restricted shares will vest on the third aniversary of the date of the award if the Company's total shareholder return during the Measurement Period is below the total shareholder return during the Measurement Period of the 60th percentile of the peer group.</w:t>
      </w:r>
    </w:p>
    <w:p>
      <w:pPr>
        <w:spacing w:after="0" w:line="31" w:lineRule="exact"/>
        <w:rPr>
          <w:rFonts w:ascii="Arial" w:cs="Arial" w:eastAsia="Arial" w:hAnsi="Arial"/>
          <w:sz w:val="11"/>
          <w:szCs w:val="11"/>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of restricted stock under the 2003 Plan. The restricted stock vests in full on 2/16/2011.</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 under the 2003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exercise price of $44.37 is the closing price on the New York Stock Exchange on February 15, 2005, the last trading day immediately preceding the date of grant.</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as to 50% of the shares covered by the option on 2/16/2007 and 50% of the shares covered by the option on 2/16/2009.</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Michael J. Van Handel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1252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(pursuant to Power of Attorney</w:t>
      </w:r>
      <w:r>
        <w:rPr>
          <w:sz w:val="20"/>
          <w:szCs w:val="20"/>
          <w:color w:val="auto"/>
        </w:rPr>
        <w:tab/>
      </w:r>
      <w:r>
        <w:rPr>
          <w:rFonts w:ascii="Arial" w:cs="Arial" w:eastAsia="Arial" w:hAnsi="Arial"/>
          <w:sz w:val="15"/>
          <w:szCs w:val="15"/>
          <w:color w:val="0000FF"/>
        </w:rPr>
        <w:t>02/18/2005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filed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645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45795"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02" w:lineRule="exact"/>
        <w:rPr>
          <w:sz w:val="20"/>
          <w:szCs w:val="20"/>
          <w:color w:val="auto"/>
        </w:rPr>
      </w:pPr>
    </w:p>
    <w:p>
      <w:pPr>
        <w:ind w:right="20" w:firstLine="635"/>
        <w:spacing w:after="0" w:line="263" w:lineRule="auto"/>
        <w:rPr>
          <w:sz w:val="20"/>
          <w:szCs w:val="20"/>
          <w:color w:val="auto"/>
        </w:rPr>
      </w:pPr>
      <w:r>
        <w:rPr>
          <w:rFonts w:ascii="Arial" w:cs="Arial" w:eastAsia="Arial" w:hAnsi="Arial"/>
          <w:sz w:val="21"/>
          <w:szCs w:val="21"/>
          <w:color w:val="auto"/>
        </w:rPr>
        <w:t>Know all by these present, that the undersigned constitutes and appoints each of Jeffrey A. Joerres and Michael J. Van Handel, signing singly, her true and lawful attorney-in-fact to:</w:t>
      </w:r>
    </w:p>
    <w:p>
      <w:pPr>
        <w:spacing w:after="0" w:line="172" w:lineRule="exact"/>
        <w:rPr>
          <w:sz w:val="20"/>
          <w:szCs w:val="20"/>
          <w:color w:val="auto"/>
        </w:rPr>
      </w:pPr>
    </w:p>
    <w:p>
      <w:pPr>
        <w:ind w:left="1120" w:right="720" w:hanging="479"/>
        <w:spacing w:after="0" w:line="263" w:lineRule="auto"/>
        <w:tabs>
          <w:tab w:leader="none" w:pos="1120" w:val="left"/>
        </w:tabs>
        <w:numPr>
          <w:ilvl w:val="0"/>
          <w:numId w:val="4"/>
        </w:numPr>
        <w:rPr>
          <w:rFonts w:ascii="Arial" w:cs="Arial" w:eastAsia="Arial" w:hAnsi="Arial"/>
          <w:sz w:val="21"/>
          <w:szCs w:val="21"/>
          <w:color w:val="auto"/>
        </w:rPr>
      </w:pPr>
      <w:r>
        <w:rPr>
          <w:rFonts w:ascii="Arial" w:cs="Arial" w:eastAsia="Arial" w:hAnsi="Arial"/>
          <w:sz w:val="21"/>
          <w:szCs w:val="21"/>
          <w:color w:val="auto"/>
        </w:rPr>
        <w:t>execute for and on behalf of the undersigned Forms 3, 4 and 5 in accordance with Section 16(a) of the Securities Exchange Act of 1934 and the rules thereunder;</w:t>
      </w:r>
    </w:p>
    <w:p>
      <w:pPr>
        <w:spacing w:after="0" w:line="185" w:lineRule="exact"/>
        <w:rPr>
          <w:rFonts w:ascii="Arial" w:cs="Arial" w:eastAsia="Arial" w:hAnsi="Arial"/>
          <w:sz w:val="21"/>
          <w:szCs w:val="21"/>
          <w:color w:val="auto"/>
        </w:rPr>
      </w:pPr>
    </w:p>
    <w:p>
      <w:pPr>
        <w:ind w:left="960" w:right="20" w:hanging="319"/>
        <w:spacing w:after="0" w:line="263" w:lineRule="auto"/>
        <w:tabs>
          <w:tab w:leader="none" w:pos="960" w:val="left"/>
        </w:tabs>
        <w:numPr>
          <w:ilvl w:val="0"/>
          <w:numId w:val="4"/>
        </w:numPr>
        <w:rPr>
          <w:rFonts w:ascii="Arial" w:cs="Arial" w:eastAsia="Arial" w:hAnsi="Arial"/>
          <w:sz w:val="21"/>
          <w:szCs w:val="21"/>
          <w:color w:val="auto"/>
        </w:rPr>
      </w:pPr>
      <w:r>
        <w:rPr>
          <w:rFonts w:ascii="Arial" w:cs="Arial" w:eastAsia="Arial" w:hAnsi="Arial"/>
          <w:sz w:val="21"/>
          <w:szCs w:val="21"/>
          <w:color w:val="auto"/>
        </w:rPr>
        <w:t>execute for and on behalf of the undersigned notices on Form 144 in accordance with Rule 144 under the Securities Act of 1933;</w:t>
      </w:r>
    </w:p>
    <w:p>
      <w:pPr>
        <w:spacing w:after="0" w:line="145" w:lineRule="exact"/>
        <w:rPr>
          <w:rFonts w:ascii="Arial" w:cs="Arial" w:eastAsia="Arial" w:hAnsi="Arial"/>
          <w:sz w:val="21"/>
          <w:szCs w:val="21"/>
          <w:color w:val="auto"/>
        </w:rPr>
      </w:pPr>
    </w:p>
    <w:p>
      <w:pPr>
        <w:ind w:left="960" w:right="80" w:hanging="319"/>
        <w:spacing w:after="0" w:line="250" w:lineRule="auto"/>
        <w:tabs>
          <w:tab w:leader="none" w:pos="960" w:val="left"/>
        </w:tabs>
        <w:numPr>
          <w:ilvl w:val="0"/>
          <w:numId w:val="4"/>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and any other authority; and</w:t>
      </w:r>
    </w:p>
    <w:p>
      <w:pPr>
        <w:spacing w:after="0" w:line="158" w:lineRule="exact"/>
        <w:rPr>
          <w:rFonts w:ascii="Arial" w:cs="Arial" w:eastAsia="Arial" w:hAnsi="Arial"/>
          <w:sz w:val="21"/>
          <w:szCs w:val="21"/>
          <w:color w:val="auto"/>
        </w:rPr>
      </w:pPr>
    </w:p>
    <w:p>
      <w:pPr>
        <w:ind w:left="960" w:right="220" w:hanging="319"/>
        <w:spacing w:after="0" w:line="279" w:lineRule="auto"/>
        <w:tabs>
          <w:tab w:leader="none" w:pos="9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75" w:lineRule="exact"/>
        <w:rPr>
          <w:sz w:val="20"/>
          <w:szCs w:val="20"/>
          <w:color w:val="auto"/>
        </w:rPr>
      </w:pPr>
    </w:p>
    <w:p>
      <w:pPr>
        <w:ind w:firstLine="635"/>
        <w:spacing w:after="0"/>
        <w:rPr>
          <w:sz w:val="20"/>
          <w:szCs w:val="20"/>
          <w:color w:val="auto"/>
        </w:rPr>
      </w:pPr>
      <w:r>
        <w:rPr>
          <w:rFonts w:ascii="Arial" w:cs="Arial" w:eastAsia="Arial" w:hAnsi="Arial"/>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 d by subsequent disability or incapacity of the undersigned.</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18 day of 12, 2002.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-13335</wp:posOffset>
            </wp:positionV>
            <wp:extent cx="23526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52675" cy="8255"/>
                    </a:xfrm>
                    <a:prstGeom prst="rect">
                      <a:avLst/>
                    </a:prstGeom>
                    <a:noFill/>
                  </pic:spPr>
                </pic:pic>
              </a:graphicData>
            </a:graphic>
          </wp:anchor>
        </w:drawing>
      </w:r>
    </w:p>
    <w:p>
      <w:pPr>
        <w:ind w:left="4460"/>
        <w:spacing w:after="0"/>
        <w:rPr>
          <w:sz w:val="20"/>
          <w:szCs w:val="20"/>
          <w:color w:val="auto"/>
        </w:rPr>
      </w:pPr>
      <w:r>
        <w:rPr>
          <w:rFonts w:ascii="Arial" w:cs="Arial" w:eastAsia="Arial" w:hAnsi="Arial"/>
          <w:sz w:val="21"/>
          <w:szCs w:val="21"/>
          <w:color w:val="auto"/>
        </w:rPr>
        <w:t>Jeffrey A. Joerres</w:t>
      </w:r>
    </w:p>
    <w:sectPr>
      <w:pgSz w:w="11900" w:h="16838" w:orient="portrait"/>
      <w:cols w:equalWidth="0" w:num="1">
        <w:col w:w="11360"/>
      </w:cols>
      <w:pgMar w:left="240" w:top="59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2537"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2019-12-16T06:36:21Z</dcterms:created>
  <dcterms:modified xsi:type="dcterms:W3CDTF">2019-12-16T06:36:21Z</dcterms:modified>
</cp:coreProperties>
</file>