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6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3"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Manpower Inc.</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56418H100</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Companies,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202"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2"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CITIZENSHIP OR PLACE OF ORGANIZATION</w:t>
      </w:r>
    </w:p>
    <w:p>
      <w:pPr>
        <w:sectPr>
          <w:pgSz w:w="11900" w:h="16838" w:orient="portrait"/>
          <w:cols w:equalWidth="0" w:num="1">
            <w:col w:w="10219"/>
          </w:cols>
          <w:pgMar w:left="240" w:top="244" w:right="1440" w:bottom="0" w:gutter="0" w:footer="0" w:header="0"/>
        </w:sectPr>
      </w:pP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1,281,190</w:t>
            </w:r>
          </w:p>
        </w:tc>
      </w:tr>
      <w:tr>
        <w:trPr>
          <w:trHeight w:val="405"/>
        </w:trPr>
        <w:tc>
          <w:tcPr>
            <w:tcW w:w="13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6"/>
              </w:rPr>
              <w:t>NUMBER OF</w:t>
            </w:r>
          </w:p>
        </w:tc>
        <w:tc>
          <w:tcPr>
            <w:tcW w:w="42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20" w:type="dxa"/>
            <w:vAlign w:val="bottom"/>
          </w:tcPr>
          <w:p>
            <w:pPr>
              <w:spacing w:after="0"/>
              <w:rPr>
                <w:sz w:val="17"/>
                <w:szCs w:val="17"/>
                <w:color w:val="auto"/>
              </w:rPr>
            </w:pP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48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w:t>
            </w:r>
          </w:p>
        </w:tc>
        <w:tc>
          <w:tcPr>
            <w:tcW w:w="42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Y OWNED BY</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42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5,698,590</w:t>
            </w:r>
          </w:p>
        </w:tc>
      </w:tr>
    </w:tbl>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SHARED DISPOSITIVE POWER</w:t>
      </w:r>
    </w:p>
    <w:p>
      <w:pPr>
        <w:ind w:left="1480"/>
        <w:spacing w:after="0" w:line="238" w:lineRule="auto"/>
        <w:rPr>
          <w:sz w:val="20"/>
          <w:szCs w:val="20"/>
          <w:color w:val="auto"/>
        </w:rPr>
      </w:pPr>
      <w:r>
        <w:rPr>
          <w:rFonts w:ascii="Courier New" w:cs="Courier New" w:eastAsia="Courier New" w:hAnsi="Courier New"/>
          <w:sz w:val="18"/>
          <w:szCs w:val="18"/>
          <w:color w:val="auto"/>
        </w:rPr>
        <w:t>8</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spacing w:after="0" w:line="202"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5,698,590</w:t>
      </w:r>
      <w:r>
        <w:rPr>
          <w:sz w:val="20"/>
          <w:szCs w:val="20"/>
          <w:color w:val="auto"/>
        </w:rPr>
        <w:tab/>
      </w:r>
      <w:r>
        <w:rPr>
          <w:rFonts w:ascii="Courier New" w:cs="Courier New" w:eastAsia="Courier New" w:hAnsi="Courier New"/>
          <w:sz w:val="18"/>
          <w:szCs w:val="18"/>
          <w:color w:val="auto"/>
        </w:rPr>
        <w:t>Beneficial ownership disclaimed pursuant to Rule 13d-4</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4739" w:hanging="427"/>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6.9%</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HC</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339" w:right="1440" w:bottom="1440" w:gutter="0" w:footer="0" w:header="0"/>
        </w:sectPr>
      </w:pPr>
    </w:p>
    <w:bookmarkStart w:id="2" w:name="page3"/>
    <w:bookmarkEnd w:id="2"/>
    <w:p>
      <w:pPr>
        <w:ind w:left="540" w:hanging="427"/>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203" w:lineRule="exact"/>
        <w:rPr>
          <w:sz w:val="20"/>
          <w:szCs w:val="20"/>
          <w:color w:val="auto"/>
        </w:rPr>
      </w:pPr>
    </w:p>
    <w:p>
      <w:pPr>
        <w:ind w:left="540" w:hanging="427"/>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 USE ONLY</w:t>
      </w:r>
    </w:p>
    <w:p>
      <w:pPr>
        <w:ind w:left="120"/>
        <w:spacing w:after="0" w:line="238" w:lineRule="auto"/>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CITIZENSHIP OR PLACE OF ORGANIZATION</w:t>
      </w:r>
    </w:p>
    <w:p>
      <w:pPr>
        <w:ind w:left="120"/>
        <w:spacing w:after="0" w:line="238" w:lineRule="auto"/>
        <w:rPr>
          <w:sz w:val="20"/>
          <w:szCs w:val="20"/>
          <w:color w:val="auto"/>
        </w:rPr>
      </w:pPr>
      <w:r>
        <w:rPr>
          <w:rFonts w:ascii="Courier New" w:cs="Courier New" w:eastAsia="Courier New" w:hAnsi="Courier New"/>
          <w:sz w:val="18"/>
          <w:szCs w:val="18"/>
          <w:color w:val="auto"/>
        </w:rPr>
        <w:t>4</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13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6"/>
              </w:rPr>
              <w:t>NUMBER OF</w:t>
            </w:r>
          </w:p>
        </w:tc>
        <w:tc>
          <w:tcPr>
            <w:tcW w:w="420" w:type="dxa"/>
            <w:vAlign w:val="bottom"/>
          </w:tcPr>
          <w:p>
            <w:pPr>
              <w:spacing w:after="0"/>
              <w:rPr>
                <w:sz w:val="24"/>
                <w:szCs w:val="24"/>
                <w:color w:val="auto"/>
              </w:rPr>
            </w:pPr>
          </w:p>
        </w:tc>
        <w:tc>
          <w:tcPr>
            <w:tcW w:w="2480" w:type="dxa"/>
            <w:vAlign w:val="bottom"/>
          </w:tcPr>
          <w:p>
            <w:pPr>
              <w:ind w:left="16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320" w:type="dxa"/>
            <w:vAlign w:val="bottom"/>
          </w:tcPr>
          <w:p>
            <w:pPr>
              <w:spacing w:after="0"/>
              <w:rPr>
                <w:sz w:val="17"/>
                <w:szCs w:val="17"/>
                <w:color w:val="auto"/>
              </w:rPr>
            </w:pP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48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BENEFICIALL</w:t>
            </w:r>
          </w:p>
        </w:tc>
        <w:tc>
          <w:tcPr>
            <w:tcW w:w="42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Y OWNED BY</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EACH</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r>
      <w:tr>
        <w:trPr>
          <w:trHeight w:val="203"/>
        </w:trPr>
        <w:tc>
          <w:tcPr>
            <w:tcW w:w="1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420" w:type="dxa"/>
            <w:vAlign w:val="bottom"/>
          </w:tcPr>
          <w:p>
            <w:pPr>
              <w:spacing w:after="0"/>
              <w:rPr>
                <w:sz w:val="17"/>
                <w:szCs w:val="17"/>
                <w:color w:val="auto"/>
              </w:rPr>
            </w:pPr>
          </w:p>
        </w:tc>
        <w:tc>
          <w:tcPr>
            <w:tcW w:w="24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4,272,500</w:t>
            </w:r>
          </w:p>
        </w:tc>
      </w:tr>
    </w:tbl>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SHARED DISPOSITIVE POWER</w:t>
      </w:r>
    </w:p>
    <w:p>
      <w:pPr>
        <w:ind w:left="1480"/>
        <w:spacing w:after="0" w:line="238" w:lineRule="auto"/>
        <w:rPr>
          <w:sz w:val="20"/>
          <w:szCs w:val="20"/>
          <w:color w:val="auto"/>
        </w:rPr>
      </w:pPr>
      <w:r>
        <w:rPr>
          <w:rFonts w:ascii="Courier New" w:cs="Courier New" w:eastAsia="Courier New" w:hAnsi="Courier New"/>
          <w:sz w:val="18"/>
          <w:szCs w:val="18"/>
          <w:color w:val="auto"/>
        </w:rPr>
        <w:t>8</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ind w:left="120"/>
        <w:spacing w:after="0" w:line="238" w:lineRule="auto"/>
        <w:rPr>
          <w:sz w:val="20"/>
          <w:szCs w:val="20"/>
          <w:color w:val="auto"/>
        </w:rPr>
      </w:pPr>
      <w:r>
        <w:rPr>
          <w:rFonts w:ascii="Courier New" w:cs="Courier New" w:eastAsia="Courier New" w:hAnsi="Courier New"/>
          <w:sz w:val="18"/>
          <w:szCs w:val="18"/>
          <w:color w:val="auto"/>
        </w:rPr>
        <w:t>9</w:t>
      </w:r>
    </w:p>
    <w:p>
      <w:pPr>
        <w:spacing w:after="0" w:line="202" w:lineRule="exact"/>
        <w:rPr>
          <w:sz w:val="20"/>
          <w:szCs w:val="20"/>
          <w:color w:val="auto"/>
        </w:rPr>
      </w:pPr>
    </w:p>
    <w:p>
      <w:pPr>
        <w:ind w:left="540"/>
        <w:spacing w:after="0"/>
        <w:tabs>
          <w:tab w:leader="none" w:pos="1780" w:val="left"/>
        </w:tabs>
        <w:rPr>
          <w:sz w:val="20"/>
          <w:szCs w:val="20"/>
          <w:color w:val="auto"/>
        </w:rPr>
      </w:pPr>
      <w:r>
        <w:rPr>
          <w:rFonts w:ascii="Courier New" w:cs="Courier New" w:eastAsia="Courier New" w:hAnsi="Courier New"/>
          <w:sz w:val="18"/>
          <w:szCs w:val="18"/>
          <w:color w:val="auto"/>
        </w:rPr>
        <w:t>4,272,500</w:t>
      </w:r>
      <w:r>
        <w:rPr>
          <w:sz w:val="20"/>
          <w:szCs w:val="20"/>
          <w:color w:val="auto"/>
        </w:rPr>
        <w:tab/>
      </w:r>
      <w:r>
        <w:rPr>
          <w:rFonts w:ascii="Courier New" w:cs="Courier New" w:eastAsia="Courier New" w:hAnsi="Courier New"/>
          <w:sz w:val="18"/>
          <w:szCs w:val="18"/>
          <w:color w:val="auto"/>
        </w:rPr>
        <w:t>Beneficial ownership disclaimed pursuant to Rule 13d-4</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4739" w:hanging="427"/>
        <w:spacing w:after="0" w:line="470"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TYPE OF REPORTING PERSON*</w:t>
      </w:r>
    </w:p>
    <w:p>
      <w:pPr>
        <w:ind w:left="120"/>
        <w:spacing w:after="0" w:line="238" w:lineRule="auto"/>
        <w:rPr>
          <w:sz w:val="20"/>
          <w:szCs w:val="20"/>
          <w:color w:val="auto"/>
        </w:rPr>
      </w:pPr>
      <w:r>
        <w:rPr>
          <w:rFonts w:ascii="Courier New" w:cs="Courier New" w:eastAsia="Courier New" w:hAnsi="Courier New"/>
          <w:sz w:val="18"/>
          <w:szCs w:val="18"/>
          <w:color w:val="auto"/>
        </w:rPr>
        <w:t>12</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1122" w:right="1440" w:bottom="1440" w:gutter="0" w:footer="0" w:header="0"/>
        </w:sectPr>
      </w:pPr>
    </w:p>
    <w:bookmarkStart w:id="3" w:name="page4"/>
    <w:bookmarkEnd w:id="3"/>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jc w:val="center"/>
        <w:ind w:right="7359"/>
        <w:spacing w:after="0"/>
        <w:tabs>
          <w:tab w:leader="none" w:pos="30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Manpower Inc.</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5301 North Ironwood Road</w:t>
      </w:r>
    </w:p>
    <w:p>
      <w:pPr>
        <w:ind w:left="740"/>
        <w:spacing w:after="0"/>
        <w:tabs>
          <w:tab w:leader="none" w:pos="3040" w:val="left"/>
        </w:tabs>
        <w:rPr>
          <w:sz w:val="20"/>
          <w:szCs w:val="20"/>
          <w:color w:val="auto"/>
        </w:rPr>
      </w:pPr>
      <w:r>
        <w:rPr>
          <w:rFonts w:ascii="Courier New" w:cs="Courier New" w:eastAsia="Courier New" w:hAnsi="Courier New"/>
          <w:sz w:val="18"/>
          <w:szCs w:val="18"/>
          <w:color w:val="auto"/>
        </w:rPr>
        <w:t>Milwaukee, Wisconsin</w:t>
      </w:r>
      <w:r>
        <w:rPr>
          <w:sz w:val="20"/>
          <w:szCs w:val="20"/>
          <w:color w:val="auto"/>
        </w:rPr>
        <w:tab/>
      </w:r>
      <w:r>
        <w:rPr>
          <w:rFonts w:ascii="Courier New" w:cs="Courier New" w:eastAsia="Courier New" w:hAnsi="Courier New"/>
          <w:sz w:val="16"/>
          <w:szCs w:val="16"/>
          <w:color w:val="auto"/>
        </w:rPr>
        <w:t>53217</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3679"/>
        <w:spacing w:after="0" w:line="235" w:lineRule="auto"/>
        <w:rPr>
          <w:sz w:val="20"/>
          <w:szCs w:val="20"/>
          <w:color w:val="auto"/>
        </w:rPr>
      </w:pPr>
      <w:r>
        <w:rPr>
          <w:rFonts w:ascii="Courier New" w:cs="Courier New" w:eastAsia="Courier New" w:hAnsi="Courier New"/>
          <w:sz w:val="18"/>
          <w:szCs w:val="18"/>
          <w:color w:val="auto"/>
        </w:rPr>
        <w:t>The Capital Group Companies, Inc., Capital Research and Management Company</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56418H100</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2839" w:hanging="535"/>
        <w:spacing w:after="0" w:line="235" w:lineRule="auto"/>
        <w:tabs>
          <w:tab w:leader="none" w:pos="149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6" w:lineRule="exact"/>
        <w:rPr>
          <w:sz w:val="20"/>
          <w:szCs w:val="20"/>
          <w:color w:val="auto"/>
        </w:rPr>
      </w:pPr>
    </w:p>
    <w:p>
      <w:pPr>
        <w:ind w:left="1280" w:right="2939" w:hanging="535"/>
        <w:spacing w:after="0" w:line="235" w:lineRule="auto"/>
        <w:tabs>
          <w:tab w:leader="none" w:pos="149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619"/>
        <w:spacing w:after="0" w:line="238" w:lineRule="auto"/>
        <w:rPr>
          <w:sz w:val="20"/>
          <w:szCs w:val="20"/>
          <w:color w:val="auto"/>
        </w:rPr>
      </w:pPr>
      <w:r>
        <w:rPr>
          <w:rFonts w:ascii="Courier New" w:cs="Courier New" w:eastAsia="Courier New" w:hAnsi="Courier New"/>
          <w:sz w:val="18"/>
          <w:szCs w:val="18"/>
          <w:color w:val="auto"/>
        </w:rPr>
        <w:t>The Capital Group Companies,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The Capital Group Companies, Inc., does not have investment power or voting power over any of the securities reported herein; however, The Capital Group Companies, Inc., may be deemed to "beneficially own" such securities by virtue of Rule 13d-3 under the Act.</w:t>
      </w:r>
    </w:p>
    <w:p>
      <w:pPr>
        <w:sectPr>
          <w:pgSz w:w="11900" w:h="16838" w:orient="portrait"/>
          <w:cols w:equalWidth="0" w:num="1">
            <w:col w:w="10219"/>
          </w:cols>
          <w:pgMar w:left="240" w:top="717" w:right="1440" w:bottom="1440" w:gutter="0" w:footer="0" w:header="0"/>
        </w:sectPr>
      </w:pPr>
    </w:p>
    <w:bookmarkStart w:id="4" w:name="page5"/>
    <w:bookmarkEnd w:id="4"/>
    <w:p>
      <w:pPr>
        <w:ind w:left="740" w:right="2619"/>
        <w:spacing w:after="0" w:line="237"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and wholly owned subsidiary of The Capital Group Companies, Inc., is the beneficial owner of 4,272,500 shares or 5.2% of the 82,085,000 shares of Common Stock believed to be outstanding as a result of acting as investment adviser to various investment companies registered under Section 8 of the Investment Company Act of 1940.</w:t>
      </w:r>
    </w:p>
    <w:p>
      <w:pPr>
        <w:spacing w:after="0" w:line="212" w:lineRule="exact"/>
        <w:rPr>
          <w:sz w:val="20"/>
          <w:szCs w:val="20"/>
          <w:color w:val="auto"/>
        </w:rPr>
      </w:pPr>
    </w:p>
    <w:p>
      <w:pPr>
        <w:ind w:left="740" w:right="2739"/>
        <w:spacing w:after="0" w:line="237" w:lineRule="auto"/>
        <w:rPr>
          <w:sz w:val="20"/>
          <w:szCs w:val="20"/>
          <w:color w:val="auto"/>
        </w:rPr>
      </w:pPr>
      <w:r>
        <w:rPr>
          <w:rFonts w:ascii="Courier New" w:cs="Courier New" w:eastAsia="Courier New" w:hAnsi="Courier New"/>
          <w:sz w:val="18"/>
          <w:szCs w:val="18"/>
          <w:color w:val="auto"/>
        </w:rPr>
        <w:t>The remaining shares reported as being beneficially owned by The Capital Group Companies, Inc. are beneficially owned by other subsidiaries of The Capital Group Companies, Inc. listed under item 7, none of which by itself owns 5% or more of the outstanding securities.</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7"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9" w:lineRule="exact"/>
        <w:rPr>
          <w:sz w:val="20"/>
          <w:szCs w:val="20"/>
          <w:color w:val="auto"/>
        </w:rPr>
      </w:pPr>
    </w:p>
    <w:p>
      <w:pPr>
        <w:ind w:left="1060" w:right="2839" w:hanging="315"/>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207" w:lineRule="exact"/>
        <w:rPr>
          <w:rFonts w:ascii="Courier New" w:cs="Courier New" w:eastAsia="Courier New" w:hAnsi="Courier New"/>
          <w:sz w:val="18"/>
          <w:szCs w:val="18"/>
          <w:color w:val="auto"/>
        </w:rPr>
      </w:pPr>
    </w:p>
    <w:p>
      <w:pPr>
        <w:ind w:left="1060" w:right="2619" w:hanging="315"/>
        <w:spacing w:after="0" w:line="236"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208" w:lineRule="exact"/>
        <w:rPr>
          <w:rFonts w:ascii="Courier New" w:cs="Courier New" w:eastAsia="Courier New" w:hAnsi="Courier New"/>
          <w:sz w:val="18"/>
          <w:szCs w:val="18"/>
          <w:color w:val="auto"/>
        </w:rPr>
      </w:pPr>
    </w:p>
    <w:p>
      <w:pPr>
        <w:ind w:left="1060" w:right="2619" w:hanging="315"/>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International Limited (CIL)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CIL is a wholly owned subsidiary of Capital Group International, Inc. which is a wholly owned subsidiary of The Capital Group Companies, Inc.</w:t>
      </w:r>
    </w:p>
    <w:p>
      <w:pPr>
        <w:spacing w:after="0" w:line="213" w:lineRule="exact"/>
        <w:rPr>
          <w:rFonts w:ascii="Courier New" w:cs="Courier New" w:eastAsia="Courier New" w:hAnsi="Courier New"/>
          <w:sz w:val="18"/>
          <w:szCs w:val="18"/>
          <w:color w:val="auto"/>
        </w:rPr>
      </w:pPr>
    </w:p>
    <w:p>
      <w:pPr>
        <w:ind w:left="1060" w:right="2739" w:hanging="315"/>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 International S.A. (CISA)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CISA is a wholly owned subsidiary of Capital Group International, Inc. which is a wholly owned subsidiary of The Capital Group Companies, Inc.</w:t>
      </w:r>
    </w:p>
    <w:p>
      <w:pPr>
        <w:spacing w:after="0" w:line="200" w:lineRule="exact"/>
        <w:rPr>
          <w:sz w:val="20"/>
          <w:szCs w:val="20"/>
          <w:color w:val="auto"/>
        </w:rPr>
      </w:pPr>
    </w:p>
    <w:p>
      <w:pPr>
        <w:spacing w:after="0" w:line="210"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right="5059"/>
        <w:spacing w:after="0" w:line="470" w:lineRule="auto"/>
        <w:rPr>
          <w:sz w:val="20"/>
          <w:szCs w:val="20"/>
          <w:color w:val="auto"/>
        </w:rPr>
      </w:pPr>
      <w:r>
        <w:rPr>
          <w:rFonts w:ascii="Courier New" w:cs="Courier New" w:eastAsia="Courier New" w:hAnsi="Courier New"/>
          <w:sz w:val="18"/>
          <w:szCs w:val="18"/>
          <w:color w:val="auto"/>
        </w:rPr>
        <w:t>Item 9 Notice of Dissolution of the Group: N/A Item 10 Certification</w:t>
      </w:r>
    </w:p>
    <w:p>
      <w:pPr>
        <w:sectPr>
          <w:pgSz w:w="11900" w:h="16838" w:orient="portrait"/>
          <w:cols w:equalWidth="0" w:num="1">
            <w:col w:w="10219"/>
          </w:cols>
          <w:pgMar w:left="240" w:top="925" w:right="1440" w:bottom="1440" w:gutter="0" w:footer="0" w:header="0"/>
        </w:sectPr>
      </w:pPr>
    </w:p>
    <w:bookmarkStart w:id="5" w:name="page6"/>
    <w:bookmarkEnd w:id="5"/>
    <w:p>
      <w:pPr>
        <w:ind w:left="42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42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12, 1997</w:t>
      </w:r>
    </w:p>
    <w:p>
      <w:pPr>
        <w:spacing w:after="0" w:line="201"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Signatu</w:t>
      </w:r>
      <w:r>
        <w:rPr>
          <w:sz w:val="20"/>
          <w:szCs w:val="20"/>
          <w:color w:val="auto"/>
        </w:rPr>
        <w:tab/>
      </w:r>
      <w:r>
        <w:rPr>
          <w:rFonts w:ascii="Courier New" w:cs="Courier New" w:eastAsia="Courier New" w:hAnsi="Courier New"/>
          <w:sz w:val="16"/>
          <w:szCs w:val="16"/>
          <w:color w:val="auto"/>
        </w:rPr>
        <w:t>*Larry P. Clemmensen</w:t>
      </w:r>
    </w:p>
    <w:p>
      <w:pPr>
        <w:ind w:left="540"/>
        <w:spacing w:after="0" w:line="238" w:lineRule="auto"/>
        <w:rPr>
          <w:sz w:val="20"/>
          <w:szCs w:val="20"/>
          <w:color w:val="auto"/>
        </w:rPr>
      </w:pPr>
      <w:r>
        <w:rPr>
          <w:rFonts w:ascii="Courier New" w:cs="Courier New" w:eastAsia="Courier New" w:hAnsi="Courier New"/>
          <w:sz w:val="18"/>
          <w:szCs w:val="18"/>
          <w:color w:val="auto"/>
        </w:rPr>
        <w:t>re:</w:t>
      </w:r>
    </w:p>
    <w:p>
      <w:pPr>
        <w:spacing w:after="0" w:line="202"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Name/Ti</w:t>
      </w:r>
      <w:r>
        <w:rPr>
          <w:sz w:val="20"/>
          <w:szCs w:val="20"/>
          <w:color w:val="auto"/>
        </w:rPr>
        <w:tab/>
      </w:r>
      <w:r>
        <w:rPr>
          <w:rFonts w:ascii="Courier New" w:cs="Courier New" w:eastAsia="Courier New" w:hAnsi="Courier New"/>
          <w:sz w:val="16"/>
          <w:szCs w:val="16"/>
          <w:color w:val="auto"/>
        </w:rPr>
        <w:t>Larry P. Clemmensen, President</w:t>
      </w:r>
    </w:p>
    <w:p>
      <w:pPr>
        <w:ind w:left="540"/>
        <w:spacing w:after="0" w:line="238" w:lineRule="auto"/>
        <w:rPr>
          <w:sz w:val="20"/>
          <w:szCs w:val="20"/>
          <w:color w:val="auto"/>
        </w:rPr>
      </w:pPr>
      <w:r>
        <w:rPr>
          <w:rFonts w:ascii="Courier New" w:cs="Courier New" w:eastAsia="Courier New" w:hAnsi="Courier New"/>
          <w:sz w:val="18"/>
          <w:szCs w:val="18"/>
          <w:color w:val="auto"/>
        </w:rPr>
        <w:t>tle:</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12, 1997</w:t>
      </w:r>
    </w:p>
    <w:p>
      <w:pPr>
        <w:spacing w:after="0" w:line="201"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Signatu</w:t>
      </w:r>
      <w:r>
        <w:rPr>
          <w:sz w:val="20"/>
          <w:szCs w:val="20"/>
          <w:color w:val="auto"/>
        </w:rPr>
        <w:tab/>
      </w:r>
      <w:r>
        <w:rPr>
          <w:rFonts w:ascii="Courier New" w:cs="Courier New" w:eastAsia="Courier New" w:hAnsi="Courier New"/>
          <w:sz w:val="16"/>
          <w:szCs w:val="16"/>
          <w:color w:val="auto"/>
        </w:rPr>
        <w:t>*Paul G. Haaga, Jr.</w:t>
      </w:r>
    </w:p>
    <w:p>
      <w:pPr>
        <w:ind w:left="540"/>
        <w:spacing w:after="0" w:line="238" w:lineRule="auto"/>
        <w:rPr>
          <w:sz w:val="20"/>
          <w:szCs w:val="20"/>
          <w:color w:val="auto"/>
        </w:rPr>
      </w:pPr>
      <w:r>
        <w:rPr>
          <w:rFonts w:ascii="Courier New" w:cs="Courier New" w:eastAsia="Courier New" w:hAnsi="Courier New"/>
          <w:sz w:val="18"/>
          <w:szCs w:val="18"/>
          <w:color w:val="auto"/>
        </w:rPr>
        <w:t>re:</w:t>
      </w:r>
    </w:p>
    <w:p>
      <w:pPr>
        <w:spacing w:after="0" w:line="202"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Name/Ti</w:t>
      </w:r>
      <w:r>
        <w:rPr>
          <w:sz w:val="20"/>
          <w:szCs w:val="20"/>
          <w:color w:val="auto"/>
        </w:rPr>
        <w:tab/>
      </w:r>
      <w:r>
        <w:rPr>
          <w:rFonts w:ascii="Courier New" w:cs="Courier New" w:eastAsia="Courier New" w:hAnsi="Courier New"/>
          <w:sz w:val="16"/>
          <w:szCs w:val="16"/>
          <w:color w:val="auto"/>
        </w:rPr>
        <w:t>Paul G. Haaga, Jr., Executive Vice</w:t>
      </w:r>
    </w:p>
    <w:p>
      <w:pPr>
        <w:ind w:left="540"/>
        <w:spacing w:after="0" w:line="238" w:lineRule="auto"/>
        <w:tabs>
          <w:tab w:leader="none" w:pos="1460" w:val="left"/>
        </w:tabs>
        <w:rPr>
          <w:sz w:val="20"/>
          <w:szCs w:val="20"/>
          <w:color w:val="auto"/>
        </w:rPr>
      </w:pPr>
      <w:r>
        <w:rPr>
          <w:rFonts w:ascii="Courier New" w:cs="Courier New" w:eastAsia="Courier New" w:hAnsi="Courier New"/>
          <w:sz w:val="18"/>
          <w:szCs w:val="18"/>
          <w:color w:val="auto"/>
        </w:rPr>
        <w:t>tle:</w:t>
      </w:r>
      <w:r>
        <w:rPr>
          <w:sz w:val="20"/>
          <w:szCs w:val="20"/>
          <w:color w:val="auto"/>
        </w:rPr>
        <w:tab/>
      </w: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Capital Research and Management</w:t>
      </w:r>
    </w:p>
    <w:p>
      <w:pPr>
        <w:ind w:left="1480"/>
        <w:spacing w:after="0" w:line="238" w:lineRule="auto"/>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James P. Ryan</w:t>
      </w:r>
    </w:p>
    <w:p>
      <w:pPr>
        <w:ind w:left="126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260" w:right="2619"/>
        <w:spacing w:after="0" w:line="237" w:lineRule="auto"/>
        <w:rPr>
          <w:sz w:val="20"/>
          <w:szCs w:val="20"/>
          <w:color w:val="auto"/>
        </w:rPr>
      </w:pPr>
      <w:r>
        <w:rPr>
          <w:rFonts w:ascii="Courier New" w:cs="Courier New" w:eastAsia="Courier New" w:hAnsi="Courier New"/>
          <w:sz w:val="18"/>
          <w:szCs w:val="18"/>
          <w:color w:val="auto"/>
        </w:rPr>
        <w:t>Signed pursuant to a Power of Attorney dated February 11, 1997 included as an Exhibit to Schedule 13G filed with the Securities and Exchange Commission by The Capital Group Companies, Inc. on February 12, 1997 with respect to AAR Corporation.</w:t>
      </w:r>
    </w:p>
    <w:p>
      <w:pPr>
        <w:sectPr>
          <w:pgSz w:w="11900" w:h="16838" w:orient="portrait"/>
          <w:cols w:equalWidth="0" w:num="1">
            <w:col w:w="9899"/>
          </w:cols>
          <w:pgMar w:left="560" w:top="925" w:right="1440" w:bottom="1440" w:gutter="0" w:footer="0" w:header="0"/>
        </w:sectPr>
      </w:pPr>
    </w:p>
    <w:bookmarkStart w:id="6" w:name="page7"/>
    <w:bookmarkEnd w:id="6"/>
    <w:p>
      <w:pPr>
        <w:jc w:val="center"/>
        <w:ind w:right="271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Los Angeles, CA</w:t>
      </w:r>
    </w:p>
    <w:p>
      <w:pPr>
        <w:jc w:val="center"/>
        <w:ind w:right="2719"/>
        <w:spacing w:after="0" w:line="238" w:lineRule="auto"/>
        <w:rPr>
          <w:sz w:val="20"/>
          <w:szCs w:val="20"/>
          <w:color w:val="auto"/>
        </w:rPr>
      </w:pPr>
      <w:r>
        <w:rPr>
          <w:rFonts w:ascii="Courier New" w:cs="Courier New" w:eastAsia="Courier New" w:hAnsi="Courier New"/>
          <w:sz w:val="18"/>
          <w:szCs w:val="18"/>
          <w:color w:val="auto"/>
        </w:rPr>
        <w:t>February 12, 1997</w:t>
      </w:r>
    </w:p>
    <w:p>
      <w:pPr>
        <w:spacing w:after="0" w:line="207"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The Capital Group Companies, Inc. ("CGC") and Capital Research and Management Company ("CRMC") hereby agree to file a joint statement on Schedule 13G under the Securities Exchange Act of 1934 (the "Act") in connection with their beneficial ownership of Common Stock issued by Manpower Inc.</w:t>
      </w:r>
    </w:p>
    <w:p>
      <w:pPr>
        <w:spacing w:after="0" w:line="209" w:lineRule="exact"/>
        <w:rPr>
          <w:sz w:val="20"/>
          <w:szCs w:val="20"/>
          <w:color w:val="auto"/>
        </w:rPr>
      </w:pPr>
    </w:p>
    <w:p>
      <w:pPr>
        <w:ind w:right="3039" w:firstLine="211"/>
        <w:spacing w:after="0" w:line="235" w:lineRule="auto"/>
        <w:rPr>
          <w:sz w:val="20"/>
          <w:szCs w:val="20"/>
          <w:color w:val="auto"/>
        </w:rPr>
      </w:pPr>
      <w:r>
        <w:rPr>
          <w:rFonts w:ascii="Courier New" w:cs="Courier New" w:eastAsia="Courier New" w:hAnsi="Courier New"/>
          <w:sz w:val="18"/>
          <w:szCs w:val="18"/>
          <w:color w:val="auto"/>
        </w:rPr>
        <w:t>CGC and CRMC state that they are each entitled to individually use Schedule 13G pursuant to Rule 13d-1(c) of the Act.</w:t>
      </w:r>
    </w:p>
    <w:p>
      <w:pPr>
        <w:spacing w:after="0" w:line="208" w:lineRule="exact"/>
        <w:rPr>
          <w:sz w:val="20"/>
          <w:szCs w:val="20"/>
          <w:color w:val="auto"/>
        </w:rPr>
      </w:pPr>
    </w:p>
    <w:p>
      <w:pPr>
        <w:ind w:right="2939" w:firstLine="211"/>
        <w:spacing w:after="0" w:line="237" w:lineRule="auto"/>
        <w:rPr>
          <w:sz w:val="20"/>
          <w:szCs w:val="20"/>
          <w:color w:val="auto"/>
        </w:rPr>
      </w:pPr>
      <w:r>
        <w:rPr>
          <w:rFonts w:ascii="Courier New" w:cs="Courier New" w:eastAsia="Courier New" w:hAnsi="Courier New"/>
          <w:sz w:val="18"/>
          <w:szCs w:val="18"/>
          <w:color w:val="auto"/>
        </w:rPr>
        <w:t>CGC and CRMC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1" w:lineRule="exact"/>
        <w:rPr>
          <w:sz w:val="20"/>
          <w:szCs w:val="20"/>
          <w:color w:val="auto"/>
        </w:rPr>
      </w:pPr>
    </w:p>
    <w:p>
      <w:pPr>
        <w:ind w:left="2740"/>
        <w:spacing w:after="0"/>
        <w:tabs>
          <w:tab w:leader="none" w:pos="3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*Larry P. Clemmensen</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Larry P. Clemmensen, President</w:t>
      </w:r>
    </w:p>
    <w:p>
      <w:pPr>
        <w:ind w:left="3280"/>
        <w:spacing w:after="0" w:line="238" w:lineRule="auto"/>
        <w:rPr>
          <w:sz w:val="20"/>
          <w:szCs w:val="20"/>
          <w:color w:val="auto"/>
        </w:rPr>
      </w:pPr>
      <w:r>
        <w:rPr>
          <w:rFonts w:ascii="Courier New" w:cs="Courier New" w:eastAsia="Courier New" w:hAnsi="Courier New"/>
          <w:sz w:val="18"/>
          <w:szCs w:val="18"/>
          <w:color w:val="auto"/>
        </w:rPr>
        <w:t>The Capital Group Companies,</w:t>
      </w:r>
    </w:p>
    <w:p>
      <w:pPr>
        <w:ind w:left="328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CAPITAL RESEARCH AND MANAGEMENT</w:t>
      </w:r>
    </w:p>
    <w:p>
      <w:pPr>
        <w:ind w:left="2740"/>
        <w:spacing w:after="0" w:line="238" w:lineRule="auto"/>
        <w:rPr>
          <w:sz w:val="20"/>
          <w:szCs w:val="20"/>
          <w:color w:val="auto"/>
        </w:rPr>
      </w:pPr>
      <w:r>
        <w:rPr>
          <w:rFonts w:ascii="Courier New" w:cs="Courier New" w:eastAsia="Courier New" w:hAnsi="Courier New"/>
          <w:sz w:val="18"/>
          <w:szCs w:val="18"/>
          <w:color w:val="auto"/>
        </w:rPr>
        <w:t>COMPANY</w:t>
      </w:r>
    </w:p>
    <w:p>
      <w:pPr>
        <w:spacing w:after="0" w:line="202" w:lineRule="exact"/>
        <w:rPr>
          <w:sz w:val="20"/>
          <w:szCs w:val="20"/>
          <w:color w:val="auto"/>
        </w:rPr>
      </w:pPr>
    </w:p>
    <w:p>
      <w:pPr>
        <w:ind w:left="2740"/>
        <w:spacing w:after="0"/>
        <w:tabs>
          <w:tab w:leader="none" w:pos="32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*Paul G. Haaga, Jr.</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Paul G. Haaga, Jr., Executive</w:t>
      </w:r>
    </w:p>
    <w:p>
      <w:pPr>
        <w:ind w:left="3280"/>
        <w:spacing w:after="0" w:line="238" w:lineRule="auto"/>
        <w:rPr>
          <w:sz w:val="20"/>
          <w:szCs w:val="20"/>
          <w:color w:val="auto"/>
        </w:rPr>
      </w:pPr>
      <w:r>
        <w:rPr>
          <w:rFonts w:ascii="Courier New" w:cs="Courier New" w:eastAsia="Courier New" w:hAnsi="Courier New"/>
          <w:sz w:val="18"/>
          <w:szCs w:val="18"/>
          <w:color w:val="auto"/>
        </w:rPr>
        <w:t>Vice President</w:t>
      </w:r>
    </w:p>
    <w:p>
      <w:pPr>
        <w:ind w:left="3280"/>
        <w:spacing w:after="0"/>
        <w:rPr>
          <w:sz w:val="20"/>
          <w:szCs w:val="20"/>
          <w:color w:val="auto"/>
        </w:rPr>
      </w:pPr>
      <w:r>
        <w:rPr>
          <w:rFonts w:ascii="Courier New" w:cs="Courier New" w:eastAsia="Courier New" w:hAnsi="Courier New"/>
          <w:sz w:val="18"/>
          <w:szCs w:val="18"/>
          <w:color w:val="auto"/>
        </w:rPr>
        <w:t>Capital Research and Management</w:t>
      </w:r>
    </w:p>
    <w:p>
      <w:pPr>
        <w:ind w:left="3280"/>
        <w:spacing w:after="0" w:line="237" w:lineRule="auto"/>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James P. Ryan</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40" w:right="2939"/>
        <w:spacing w:after="0" w:line="275" w:lineRule="auto"/>
        <w:rPr>
          <w:sz w:val="20"/>
          <w:szCs w:val="20"/>
          <w:color w:val="auto"/>
        </w:rPr>
      </w:pPr>
      <w:r>
        <w:rPr>
          <w:rFonts w:ascii="Courier New" w:cs="Courier New" w:eastAsia="Courier New" w:hAnsi="Courier New"/>
          <w:sz w:val="16"/>
          <w:szCs w:val="16"/>
          <w:color w:val="auto"/>
        </w:rPr>
        <w:t>Signed pursuant to a Power of Attorney dated February 11, 1997 included as an Exhibit to Schedule 13G filed with the Securities and Exchange Commission by The Capital Group Companies, Inc. on February 12, 1997 with respect to AAR Corporation.</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1"/>
      <w:numFmt w:val="decimal"/>
      <w:start w:val="1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1"/>
      <w:numFmt w:val="decimal"/>
      <w:start w:val="11"/>
    </w:lvl>
  </w:abstractNum>
  <w:abstractNum w:abstractNumId="6">
    <w:nsid w:val="7545E146"/>
    <w:multiLevelType w:val="hybridMultilevel"/>
    <w:lvl w:ilvl="0">
      <w:lvlJc w:val="left"/>
      <w:lvlText w:val="(%1)"/>
      <w:numFmt w:val="lowerLetter"/>
      <w:start w:val="5"/>
    </w:lvl>
  </w:abstractNum>
  <w:abstractNum w:abstractNumId="7">
    <w:nsid w:val="515F007C"/>
    <w:multiLevelType w:val="hybridMultilevel"/>
    <w:lvl w:ilvl="0">
      <w:lvlJc w:val="left"/>
      <w:lvlText w:val="(%1)"/>
      <w:numFmt w:val="lowerLetter"/>
      <w:start w:val="7"/>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2019-12-19T21:28:54Z</dcterms:created>
  <dcterms:modified xsi:type="dcterms:W3CDTF">2019-12-19T21:28:54Z</dcterms:modified>
</cp:coreProperties>
</file>