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October 21, 2016</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MANPOWERGROUP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820" w:type="dxa"/>
            <w:vAlign w:val="bottom"/>
          </w:tcPr>
          <w:p>
            <w:pPr>
              <w:jc w:val="center"/>
              <w:ind w:right="40"/>
              <w:spacing w:after="0"/>
              <w:rPr>
                <w:sz w:val="20"/>
                <w:szCs w:val="20"/>
                <w:color w:val="auto"/>
              </w:rPr>
            </w:pPr>
            <w:r>
              <w:rPr>
                <w:rFonts w:ascii="Arial" w:cs="Arial" w:eastAsia="Arial" w:hAnsi="Arial"/>
                <w:sz w:val="16"/>
                <w:szCs w:val="16"/>
                <w:b w:val="1"/>
                <w:bCs w:val="1"/>
                <w:color w:val="auto"/>
                <w:w w:val="87"/>
              </w:rPr>
              <w:t>Wisconsin</w:t>
            </w:r>
          </w:p>
        </w:tc>
        <w:tc>
          <w:tcPr>
            <w:tcW w:w="2960" w:type="dxa"/>
            <w:vAlign w:val="bottom"/>
          </w:tcPr>
          <w:p>
            <w:pPr>
              <w:jc w:val="right"/>
              <w:ind w:right="1200"/>
              <w:spacing w:after="0"/>
              <w:rPr>
                <w:sz w:val="20"/>
                <w:szCs w:val="20"/>
                <w:color w:val="auto"/>
              </w:rPr>
            </w:pPr>
            <w:r>
              <w:rPr>
                <w:rFonts w:ascii="Arial" w:cs="Arial" w:eastAsia="Arial" w:hAnsi="Arial"/>
                <w:sz w:val="16"/>
                <w:szCs w:val="16"/>
                <w:b w:val="1"/>
                <w:bCs w:val="1"/>
                <w:color w:val="auto"/>
              </w:rPr>
              <w:t>1-10686</w:t>
            </w:r>
          </w:p>
        </w:tc>
        <w:tc>
          <w:tcPr>
            <w:tcW w:w="3660" w:type="dxa"/>
            <w:vAlign w:val="bottom"/>
          </w:tcPr>
          <w:p>
            <w:pPr>
              <w:jc w:val="right"/>
              <w:ind w:right="1360"/>
              <w:spacing w:after="0"/>
              <w:rPr>
                <w:sz w:val="20"/>
                <w:szCs w:val="20"/>
                <w:color w:val="auto"/>
              </w:rPr>
            </w:pPr>
            <w:r>
              <w:rPr>
                <w:rFonts w:ascii="Arial" w:cs="Arial" w:eastAsia="Arial" w:hAnsi="Arial"/>
                <w:sz w:val="16"/>
                <w:szCs w:val="16"/>
                <w:b w:val="1"/>
                <w:bCs w:val="1"/>
                <w:color w:val="auto"/>
              </w:rPr>
              <w:t>39-1672779</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(State or other jurisdiction of incorporation)</w:t>
            </w:r>
          </w:p>
        </w:tc>
        <w:tc>
          <w:tcPr>
            <w:tcW w:w="296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(Commission File Number)</w:t>
            </w:r>
          </w:p>
        </w:tc>
        <w:tc>
          <w:tcPr>
            <w:tcW w:w="366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748"/>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90"/>
              </w:rPr>
              <w:t>100 Manpower Place</w:t>
            </w:r>
          </w:p>
        </w:tc>
        <w:tc>
          <w:tcPr>
            <w:tcW w:w="29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41"/>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91"/>
              </w:rPr>
              <w:t>Milwaukee, Wisconsin</w:t>
            </w:r>
          </w:p>
        </w:tc>
        <w:tc>
          <w:tcPr>
            <w:tcW w:w="2960" w:type="dxa"/>
            <w:vAlign w:val="bottom"/>
          </w:tcPr>
          <w:p>
            <w:pPr>
              <w:spacing w:after="0"/>
              <w:rPr>
                <w:sz w:val="20"/>
                <w:szCs w:val="20"/>
                <w:color w:val="auto"/>
              </w:rPr>
            </w:pPr>
          </w:p>
        </w:tc>
        <w:tc>
          <w:tcPr>
            <w:tcW w:w="3660" w:type="dxa"/>
            <w:vAlign w:val="bottom"/>
          </w:tcPr>
          <w:p>
            <w:pPr>
              <w:jc w:val="right"/>
              <w:ind w:right="2420"/>
              <w:spacing w:after="0"/>
              <w:rPr>
                <w:sz w:val="20"/>
                <w:szCs w:val="20"/>
                <w:color w:val="auto"/>
              </w:rPr>
            </w:pPr>
            <w:r>
              <w:rPr>
                <w:rFonts w:ascii="Arial" w:cs="Arial" w:eastAsia="Arial" w:hAnsi="Arial"/>
                <w:sz w:val="16"/>
                <w:szCs w:val="16"/>
                <w:b w:val="1"/>
                <w:bCs w:val="1"/>
                <w:color w:val="auto"/>
              </w:rPr>
              <w:t>53212</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960" w:type="dxa"/>
            <w:vAlign w:val="bottom"/>
          </w:tcPr>
          <w:p>
            <w:pPr>
              <w:spacing w:after="0"/>
              <w:rPr>
                <w:sz w:val="18"/>
                <w:szCs w:val="18"/>
                <w:color w:val="auto"/>
              </w:rPr>
            </w:pPr>
          </w:p>
        </w:tc>
        <w:tc>
          <w:tcPr>
            <w:tcW w:w="3660" w:type="dxa"/>
            <w:vAlign w:val="bottom"/>
          </w:tcPr>
          <w:p>
            <w:pPr>
              <w:jc w:val="center"/>
              <w:ind w:right="1640"/>
              <w:spacing w:after="0"/>
              <w:rPr>
                <w:sz w:val="20"/>
                <w:szCs w:val="20"/>
                <w:color w:val="auto"/>
              </w:rPr>
            </w:pPr>
            <w:r>
              <w:rPr>
                <w:rFonts w:ascii="Arial" w:cs="Arial" w:eastAsia="Arial" w:hAnsi="Arial"/>
                <w:sz w:val="16"/>
                <w:szCs w:val="16"/>
                <w:b w:val="1"/>
                <w:bCs w:val="1"/>
                <w:color w:val="auto"/>
                <w:w w:val="93"/>
              </w:rPr>
              <w:t>(Zip Code)</w:t>
            </w:r>
          </w:p>
        </w:tc>
      </w:tr>
    </w:tbl>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0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5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Securities Act (17 CFR 240.14a-12)</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40"/>
          </w:cols>
          <w:pgMar w:left="240" w:top="1008"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6" w:lineRule="exact"/>
        <w:rPr>
          <w:sz w:val="20"/>
          <w:szCs w:val="20"/>
          <w:color w:val="auto"/>
        </w:rPr>
      </w:pPr>
    </w:p>
    <w:p>
      <w:pPr>
        <w:ind w:right="220"/>
        <w:spacing w:after="0" w:line="291"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45" w:lineRule="exact"/>
        <w:rPr>
          <w:sz w:val="20"/>
          <w:szCs w:val="20"/>
          <w:color w:val="auto"/>
        </w:rPr>
      </w:pPr>
    </w:p>
    <w:p>
      <w:pPr>
        <w:ind w:right="480"/>
        <w:spacing w:after="0" w:line="279" w:lineRule="auto"/>
        <w:rPr>
          <w:sz w:val="20"/>
          <w:szCs w:val="20"/>
          <w:color w:val="auto"/>
        </w:rPr>
      </w:pPr>
      <w:r>
        <w:rPr>
          <w:rFonts w:ascii="Arial" w:cs="Arial" w:eastAsia="Arial" w:hAnsi="Arial"/>
          <w:sz w:val="16"/>
          <w:szCs w:val="16"/>
          <w:color w:val="auto"/>
        </w:rPr>
        <w:t>On October 21, 2016, we issued a press release announcing our results of operations for the three- and nine-month periods ended September 30, 2016. A copy of the press release is attached hereto as Exhibit 99.1 and is incorporated herein by reference.</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80" w:type="dxa"/>
            <w:vAlign w:val="bottom"/>
          </w:tcPr>
          <w:p>
            <w:pPr>
              <w:spacing w:after="0"/>
              <w:rPr>
                <w:sz w:val="20"/>
                <w:szCs w:val="20"/>
                <w:color w:val="auto"/>
              </w:rPr>
            </w:pPr>
            <w:r>
              <w:rPr>
                <w:rFonts w:ascii="Arial" w:cs="Arial" w:eastAsia="Arial" w:hAnsi="Arial"/>
                <w:sz w:val="16"/>
                <w:szCs w:val="16"/>
                <w:b w:val="1"/>
                <w:bCs w:val="1"/>
                <w:color w:val="auto"/>
              </w:rPr>
              <w:t>Item 9.01.</w:t>
            </w:r>
          </w:p>
        </w:tc>
        <w:tc>
          <w:tcPr>
            <w:tcW w:w="10260" w:type="dxa"/>
            <w:vAlign w:val="bottom"/>
          </w:tcPr>
          <w:p>
            <w:pPr>
              <w:ind w:left="380"/>
              <w:spacing w:after="0"/>
              <w:rPr>
                <w:sz w:val="20"/>
                <w:szCs w:val="20"/>
                <w:color w:val="auto"/>
              </w:rPr>
            </w:pPr>
            <w:r>
              <w:rPr>
                <w:rFonts w:ascii="Arial" w:cs="Arial" w:eastAsia="Arial" w:hAnsi="Arial"/>
                <w:sz w:val="16"/>
                <w:szCs w:val="16"/>
                <w:b w:val="1"/>
                <w:bCs w:val="1"/>
                <w:color w:val="auto"/>
              </w:rPr>
              <w:t>Exhibits</w:t>
            </w:r>
            <w:r>
              <w:rPr>
                <w:rFonts w:ascii="Arial" w:cs="Arial" w:eastAsia="Arial" w:hAnsi="Arial"/>
                <w:sz w:val="16"/>
                <w:szCs w:val="16"/>
                <w:color w:val="auto"/>
              </w:rPr>
              <w:t>.</w:t>
            </w:r>
          </w:p>
        </w:tc>
      </w:tr>
      <w:tr>
        <w:trPr>
          <w:trHeight w:val="531"/>
        </w:trPr>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10260" w:type="dxa"/>
            <w:vAlign w:val="bottom"/>
          </w:tcPr>
          <w:p>
            <w:pPr>
              <w:ind w:left="1140"/>
              <w:spacing w:after="0"/>
              <w:rPr>
                <w:sz w:val="20"/>
                <w:szCs w:val="20"/>
                <w:color w:val="auto"/>
              </w:rPr>
            </w:pPr>
            <w:r>
              <w:rPr>
                <w:rFonts w:ascii="Arial" w:cs="Arial" w:eastAsia="Arial" w:hAnsi="Arial"/>
                <w:sz w:val="16"/>
                <w:szCs w:val="16"/>
                <w:b w:val="1"/>
                <w:bCs w:val="1"/>
                <w:color w:val="auto"/>
              </w:rPr>
              <w:t>Description</w:t>
            </w:r>
          </w:p>
        </w:tc>
      </w:tr>
      <w:tr>
        <w:trPr>
          <w:trHeight w:val="24"/>
        </w:trPr>
        <w:tc>
          <w:tcPr>
            <w:tcW w:w="1180" w:type="dxa"/>
            <w:vAlign w:val="bottom"/>
            <w:tcBorders>
              <w:bottom w:val="single" w:sz="8" w:color="auto"/>
            </w:tcBorders>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6"/>
                <w:szCs w:val="16"/>
                <w:color w:val="auto"/>
              </w:rPr>
              <w:t>99.1</w:t>
            </w:r>
          </w:p>
        </w:tc>
        <w:tc>
          <w:tcPr>
            <w:tcW w:w="10260" w:type="dxa"/>
            <w:vAlign w:val="bottom"/>
          </w:tcPr>
          <w:p>
            <w:pPr>
              <w:ind w:left="1140"/>
              <w:spacing w:after="0"/>
              <w:rPr>
                <w:sz w:val="20"/>
                <w:szCs w:val="20"/>
                <w:color w:val="auto"/>
              </w:rPr>
            </w:pPr>
            <w:r>
              <w:rPr>
                <w:rFonts w:ascii="Arial" w:cs="Arial" w:eastAsia="Arial" w:hAnsi="Arial"/>
                <w:sz w:val="16"/>
                <w:szCs w:val="16"/>
                <w:color w:val="auto"/>
              </w:rPr>
              <w:t>Press Release dated October 21, 2016</w:t>
            </w:r>
          </w:p>
        </w:tc>
      </w:tr>
      <w:tr>
        <w:trPr>
          <w:trHeight w:val="241"/>
        </w:trPr>
        <w:tc>
          <w:tcPr>
            <w:tcW w:w="1180" w:type="dxa"/>
            <w:vAlign w:val="bottom"/>
          </w:tcPr>
          <w:p>
            <w:pPr>
              <w:ind w:left="20"/>
              <w:spacing w:after="0"/>
              <w:rPr>
                <w:sz w:val="20"/>
                <w:szCs w:val="20"/>
                <w:color w:val="auto"/>
              </w:rPr>
            </w:pPr>
            <w:r>
              <w:rPr>
                <w:rFonts w:ascii="Arial" w:cs="Arial" w:eastAsia="Arial" w:hAnsi="Arial"/>
                <w:sz w:val="16"/>
                <w:szCs w:val="16"/>
                <w:color w:val="auto"/>
              </w:rPr>
              <w:t>99.2</w:t>
            </w:r>
          </w:p>
        </w:tc>
        <w:tc>
          <w:tcPr>
            <w:tcW w:w="10260" w:type="dxa"/>
            <w:vAlign w:val="bottom"/>
          </w:tcPr>
          <w:p>
            <w:pPr>
              <w:ind w:left="1140"/>
              <w:spacing w:after="0"/>
              <w:rPr>
                <w:sz w:val="20"/>
                <w:szCs w:val="20"/>
                <w:color w:val="auto"/>
              </w:rPr>
            </w:pPr>
            <w:r>
              <w:rPr>
                <w:rFonts w:ascii="Arial" w:cs="Arial" w:eastAsia="Arial" w:hAnsi="Arial"/>
                <w:sz w:val="16"/>
                <w:szCs w:val="16"/>
                <w:color w:val="auto"/>
              </w:rPr>
              <w:t>Presentation materials for October 21, 2016 conference call</w:t>
            </w:r>
          </w:p>
        </w:tc>
      </w:tr>
    </w:tbl>
    <w:p>
      <w:pPr>
        <w:sectPr>
          <w:pgSz w:w="11900" w:h="16838" w:orient="portrait"/>
          <w:cols w:equalWidth="0" w:num="1">
            <w:col w:w="11440"/>
          </w:cols>
          <w:pgMar w:left="240" w:top="726" w:right="2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firstLine="579"/>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MANPOWERGROUP INC.</w:t>
      </w:r>
    </w:p>
    <w:p>
      <w:pPr>
        <w:spacing w:after="0" w:line="299" w:lineRule="exact"/>
        <w:rPr>
          <w:sz w:val="20"/>
          <w:szCs w:val="20"/>
          <w:color w:val="auto"/>
        </w:rPr>
      </w:pPr>
    </w:p>
    <w:p>
      <w:pPr>
        <w:ind w:left="20"/>
        <w:spacing w:after="0"/>
        <w:tabs>
          <w:tab w:leader="none" w:pos="3700" w:val="left"/>
          <w:tab w:leader="none" w:pos="4360" w:val="left"/>
        </w:tabs>
        <w:rPr>
          <w:sz w:val="20"/>
          <w:szCs w:val="20"/>
          <w:color w:val="auto"/>
        </w:rPr>
      </w:pPr>
      <w:r>
        <w:rPr>
          <w:rFonts w:ascii="Arial" w:cs="Arial" w:eastAsia="Arial" w:hAnsi="Arial"/>
          <w:sz w:val="16"/>
          <w:szCs w:val="16"/>
          <w:color w:val="auto"/>
        </w:rPr>
        <w:t>Dated: October 21,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29210</wp:posOffset>
            </wp:positionV>
            <wp:extent cx="19532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3260" cy="7620"/>
                    </a:xfrm>
                    <a:prstGeom prst="rect">
                      <a:avLst/>
                    </a:prstGeom>
                    <a:noFill/>
                  </pic:spPr>
                </pic:pic>
              </a:graphicData>
            </a:graphic>
          </wp:anchor>
        </w:drawing>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John T. McGinnis</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Executive Vice President and</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300"/>
          </w:cols>
          <w:pgMar w:left="240" w:top="919"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1560" w:type="dxa"/>
            <w:vAlign w:val="bottom"/>
          </w:tcPr>
          <w:p>
            <w:pPr>
              <w:spacing w:after="0"/>
              <w:rPr>
                <w:sz w:val="18"/>
                <w:szCs w:val="18"/>
                <w:color w:val="auto"/>
              </w:rPr>
            </w:pPr>
          </w:p>
        </w:tc>
        <w:tc>
          <w:tcPr>
            <w:tcW w:w="9880" w:type="dxa"/>
            <w:vAlign w:val="bottom"/>
          </w:tcPr>
          <w:p>
            <w:pPr>
              <w:ind w:left="3540"/>
              <w:spacing w:after="0"/>
              <w:rPr>
                <w:sz w:val="20"/>
                <w:szCs w:val="20"/>
                <w:color w:val="auto"/>
              </w:rPr>
            </w:pPr>
            <w:r>
              <w:rPr>
                <w:rFonts w:ascii="Arial" w:cs="Arial" w:eastAsia="Arial" w:hAnsi="Arial"/>
                <w:sz w:val="16"/>
                <w:szCs w:val="16"/>
                <w:b w:val="1"/>
                <w:bCs w:val="1"/>
                <w:color w:val="auto"/>
              </w:rPr>
              <w:t>EXHIBIT INDEX</w:t>
            </w:r>
          </w:p>
        </w:tc>
      </w:tr>
      <w:tr>
        <w:trPr>
          <w:trHeight w:val="531"/>
        </w:trPr>
        <w:tc>
          <w:tcPr>
            <w:tcW w:w="156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9880" w:type="dxa"/>
            <w:vAlign w:val="bottom"/>
          </w:tcPr>
          <w:p>
            <w:pPr>
              <w:ind w:left="760"/>
              <w:spacing w:after="0"/>
              <w:rPr>
                <w:sz w:val="20"/>
                <w:szCs w:val="20"/>
                <w:color w:val="auto"/>
              </w:rPr>
            </w:pPr>
            <w:r>
              <w:rPr>
                <w:rFonts w:ascii="Arial" w:cs="Arial" w:eastAsia="Arial" w:hAnsi="Arial"/>
                <w:sz w:val="16"/>
                <w:szCs w:val="16"/>
                <w:b w:val="1"/>
                <w:bCs w:val="1"/>
                <w:color w:val="auto"/>
              </w:rPr>
              <w:t>Description</w:t>
            </w:r>
          </w:p>
        </w:tc>
      </w:tr>
      <w:tr>
        <w:trPr>
          <w:trHeight w:val="24"/>
        </w:trPr>
        <w:tc>
          <w:tcPr>
            <w:tcW w:w="1560" w:type="dxa"/>
            <w:vAlign w:val="bottom"/>
            <w:tcBorders>
              <w:bottom w:val="single" w:sz="8" w:color="auto"/>
            </w:tcBorders>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6"/>
                <w:szCs w:val="16"/>
                <w:color w:val="auto"/>
              </w:rPr>
              <w:t>99.1</w:t>
            </w:r>
          </w:p>
        </w:tc>
        <w:tc>
          <w:tcPr>
            <w:tcW w:w="9880" w:type="dxa"/>
            <w:vAlign w:val="bottom"/>
          </w:tcPr>
          <w:p>
            <w:pPr>
              <w:ind w:left="760"/>
              <w:spacing w:after="0"/>
              <w:rPr>
                <w:sz w:val="20"/>
                <w:szCs w:val="20"/>
                <w:color w:val="auto"/>
              </w:rPr>
            </w:pPr>
            <w:r>
              <w:rPr>
                <w:rFonts w:ascii="Arial" w:cs="Arial" w:eastAsia="Arial" w:hAnsi="Arial"/>
                <w:sz w:val="16"/>
                <w:szCs w:val="16"/>
                <w:color w:val="auto"/>
              </w:rPr>
              <w:t>Press Release dated October 21, 2016</w:t>
            </w:r>
          </w:p>
        </w:tc>
      </w:tr>
      <w:tr>
        <w:trPr>
          <w:trHeight w:val="241"/>
        </w:trPr>
        <w:tc>
          <w:tcPr>
            <w:tcW w:w="1560" w:type="dxa"/>
            <w:vAlign w:val="bottom"/>
          </w:tcPr>
          <w:p>
            <w:pPr>
              <w:ind w:left="20"/>
              <w:spacing w:after="0"/>
              <w:rPr>
                <w:sz w:val="20"/>
                <w:szCs w:val="20"/>
                <w:color w:val="auto"/>
              </w:rPr>
            </w:pPr>
            <w:r>
              <w:rPr>
                <w:rFonts w:ascii="Arial" w:cs="Arial" w:eastAsia="Arial" w:hAnsi="Arial"/>
                <w:sz w:val="16"/>
                <w:szCs w:val="16"/>
                <w:color w:val="auto"/>
              </w:rPr>
              <w:t>99.2</w:t>
            </w:r>
          </w:p>
        </w:tc>
        <w:tc>
          <w:tcPr>
            <w:tcW w:w="9880" w:type="dxa"/>
            <w:vAlign w:val="bottom"/>
          </w:tcPr>
          <w:p>
            <w:pPr>
              <w:ind w:left="760"/>
              <w:spacing w:after="0"/>
              <w:rPr>
                <w:sz w:val="20"/>
                <w:szCs w:val="20"/>
                <w:color w:val="auto"/>
              </w:rPr>
            </w:pPr>
            <w:r>
              <w:rPr>
                <w:rFonts w:ascii="Arial" w:cs="Arial" w:eastAsia="Arial" w:hAnsi="Arial"/>
                <w:sz w:val="16"/>
                <w:szCs w:val="16"/>
                <w:color w:val="auto"/>
              </w:rPr>
              <w:t>Presentation materials for October 21, 2016 conference call</w:t>
            </w:r>
          </w:p>
        </w:tc>
      </w:tr>
    </w:tbl>
    <w:p>
      <w:pPr>
        <w:sectPr>
          <w:pgSz w:w="11900" w:h="16838" w:orient="portrait"/>
          <w:cols w:equalWidth="0" w:num="1">
            <w:col w:w="11440"/>
          </w:cols>
          <w:pgMar w:left="240" w:top="919"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1080135" cy="589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135" cy="58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0"/>
        <w:spacing w:after="0"/>
        <w:tabs>
          <w:tab w:leader="none" w:pos="328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5"/>
          <w:szCs w:val="15"/>
          <w:b w:val="1"/>
          <w:bCs w:val="1"/>
          <w:color w:val="auto"/>
        </w:rPr>
        <w:t>Contact:</w:t>
      </w:r>
    </w:p>
    <w:p>
      <w:pPr>
        <w:spacing w:after="0" w:line="101"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Mike Van Handel</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+1.414.906.6305</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michael.vanhandel@manpowergroup.com</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ManpowerGroup Reports 3</w:t>
      </w:r>
      <w:r>
        <w:rPr>
          <w:rFonts w:ascii="Arial" w:cs="Arial" w:eastAsia="Arial" w:hAnsi="Arial"/>
          <w:sz w:val="25"/>
          <w:szCs w:val="25"/>
          <w:b w:val="1"/>
          <w:bCs w:val="1"/>
          <w:color w:val="auto"/>
          <w:vertAlign w:val="superscript"/>
        </w:rPr>
        <w:t>rd</w:t>
      </w:r>
      <w:r>
        <w:rPr>
          <w:rFonts w:ascii="Arial" w:cs="Arial" w:eastAsia="Arial" w:hAnsi="Arial"/>
          <w:sz w:val="19"/>
          <w:szCs w:val="19"/>
          <w:b w:val="1"/>
          <w:bCs w:val="1"/>
          <w:color w:val="auto"/>
        </w:rPr>
        <w:t xml:space="preserve"> Quarter 2016 Results</w:t>
      </w:r>
    </w:p>
    <w:p>
      <w:pPr>
        <w:spacing w:after="0" w:line="175" w:lineRule="exact"/>
        <w:rPr>
          <w:sz w:val="20"/>
          <w:szCs w:val="20"/>
          <w:color w:val="auto"/>
        </w:rPr>
      </w:pPr>
    </w:p>
    <w:p>
      <w:pPr>
        <w:ind w:right="100"/>
        <w:spacing w:after="0" w:line="358" w:lineRule="auto"/>
        <w:rPr>
          <w:sz w:val="20"/>
          <w:szCs w:val="20"/>
          <w:color w:val="auto"/>
        </w:rPr>
      </w:pPr>
      <w:r>
        <w:rPr>
          <w:rFonts w:ascii="Arial" w:cs="Arial" w:eastAsia="Arial" w:hAnsi="Arial"/>
          <w:sz w:val="18"/>
          <w:szCs w:val="18"/>
          <w:b w:val="1"/>
          <w:bCs w:val="1"/>
          <w:color w:val="auto"/>
        </w:rPr>
        <w:t xml:space="preserve">MILWAUKEE, October 21, 2016 -- </w:t>
      </w:r>
      <w:r>
        <w:rPr>
          <w:rFonts w:ascii="Arial" w:cs="Arial" w:eastAsia="Arial" w:hAnsi="Arial"/>
          <w:sz w:val="18"/>
          <w:szCs w:val="18"/>
          <w:color w:val="auto"/>
        </w:rPr>
        <w:t>ManpowerGroup (NYSE: MAN) today reported that net earnings per diluted share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2016 were $1.87 compared to $1.61 in the prior year period. Net earnings in the quarter were $129.2 million compared to $123.9 million a year earlier. Revenues for the third quarter were $5.1 billion, an increase of 2% from the year earlier period.</w:t>
      </w:r>
    </w:p>
    <w:p>
      <w:pPr>
        <w:ind w:right="180" w:firstLine="579"/>
        <w:spacing w:after="0" w:line="349" w:lineRule="auto"/>
        <w:rPr>
          <w:sz w:val="20"/>
          <w:szCs w:val="20"/>
          <w:color w:val="auto"/>
        </w:rPr>
      </w:pPr>
      <w:r>
        <w:rPr>
          <w:rFonts w:ascii="Arial" w:cs="Arial" w:eastAsia="Arial" w:hAnsi="Arial"/>
          <w:sz w:val="18"/>
          <w:szCs w:val="18"/>
          <w:color w:val="auto"/>
        </w:rPr>
        <w:t>Financial results in the quarter were impacted by the stronger U.S. dollar relative to several foreign currencies compared to the prior year period. On a constant currency basis, revenues increased 4% and net earnings per diluted share increased 18%. Earnings per share in the quarter were negatively impacted 3 cents by changes in foreign currencies compared to the prior year.</w:t>
      </w:r>
    </w:p>
    <w:p>
      <w:pPr>
        <w:spacing w:after="0" w:line="2" w:lineRule="exact"/>
        <w:rPr>
          <w:sz w:val="20"/>
          <w:szCs w:val="20"/>
          <w:color w:val="auto"/>
        </w:rPr>
      </w:pPr>
    </w:p>
    <w:p>
      <w:pPr>
        <w:ind w:right="200" w:firstLine="579"/>
        <w:spacing w:after="0" w:line="370" w:lineRule="auto"/>
        <w:rPr>
          <w:sz w:val="20"/>
          <w:szCs w:val="20"/>
          <w:color w:val="auto"/>
        </w:rPr>
      </w:pPr>
      <w:r>
        <w:rPr>
          <w:rFonts w:ascii="Arial" w:cs="Arial" w:eastAsia="Arial" w:hAnsi="Arial"/>
          <w:sz w:val="17"/>
          <w:szCs w:val="17"/>
          <w:color w:val="auto"/>
        </w:rPr>
        <w:t>Jonas Prising, ManpowerGroup Chairman &amp; CEO, said, “We executed well in the third quarter despite continued soft and uneven market conditions globally. This slow growth environment results in our services and solutions becoming increasingly more attractive to companies that need operational and strategic flexibility. We have seen this translate into continued strong growth in our permanent recruitment and market leading workforce solutions offerings. As we look to the fourth quarter we are well placed to seize further opportunities across all our brands.</w:t>
      </w:r>
    </w:p>
    <w:p>
      <w:pPr>
        <w:spacing w:after="0" w:line="1" w:lineRule="exact"/>
        <w:rPr>
          <w:sz w:val="20"/>
          <w:szCs w:val="20"/>
          <w:color w:val="auto"/>
        </w:rPr>
      </w:pPr>
    </w:p>
    <w:p>
      <w:pPr>
        <w:ind w:right="600" w:firstLine="555"/>
        <w:spacing w:after="0" w:line="349" w:lineRule="auto"/>
        <w:rPr>
          <w:sz w:val="20"/>
          <w:szCs w:val="20"/>
          <w:color w:val="auto"/>
        </w:rPr>
      </w:pPr>
      <w:r>
        <w:rPr>
          <w:rFonts w:ascii="Arial" w:cs="Arial" w:eastAsia="Arial" w:hAnsi="Arial"/>
          <w:sz w:val="18"/>
          <w:szCs w:val="18"/>
          <w:color w:val="auto"/>
        </w:rPr>
        <w:t>“We are anticipating the fourth quarter of 2016 diluted net earnings per share to be in the range of $1.65 to $1.73, which includes an estimated unfavorable currency impact of 2 cents,” Prising stated.</w:t>
      </w:r>
    </w:p>
    <w:p>
      <w:pPr>
        <w:spacing w:after="0" w:line="1" w:lineRule="exact"/>
        <w:rPr>
          <w:sz w:val="20"/>
          <w:szCs w:val="20"/>
          <w:color w:val="auto"/>
        </w:rPr>
      </w:pPr>
    </w:p>
    <w:p>
      <w:pPr>
        <w:ind w:right="200" w:firstLine="579"/>
        <w:spacing w:after="0" w:line="351" w:lineRule="auto"/>
        <w:rPr>
          <w:sz w:val="20"/>
          <w:szCs w:val="20"/>
          <w:color w:val="auto"/>
        </w:rPr>
      </w:pPr>
      <w:r>
        <w:rPr>
          <w:rFonts w:ascii="Arial" w:cs="Arial" w:eastAsia="Arial" w:hAnsi="Arial"/>
          <w:sz w:val="18"/>
          <w:szCs w:val="18"/>
          <w:color w:val="auto"/>
        </w:rPr>
        <w:t>Earnings per diluted share for the nine months ended September 30, 2016 were $4.42 compared to $3.75 per diluted share in 2015. Net earnings were $316.3 million compared to $295.3 million in the prior year. Revenues for the nine-month period were $14.7 billion, an increase of 2% from the prior year in reported U.S. dollars or an increase of 4% in constant currency. Foreign currency exchange rates had an unfavorable impact of 8 cents per share for the nine-month period in 2016. On a constant currency basis, net earnings per diluted share were up 20% for the nine</w:t>
      </w:r>
    </w:p>
    <w:p>
      <w:pPr>
        <w:sectPr>
          <w:pgSz w:w="11900" w:h="16838" w:orient="portrait"/>
          <w:cols w:equalWidth="0" w:num="1">
            <w:col w:w="11440"/>
          </w:cols>
          <w:pgMar w:left="240" w:top="533"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month period.</w:t>
      </w:r>
    </w:p>
    <w:p>
      <w:pPr>
        <w:spacing w:after="0" w:line="95" w:lineRule="exact"/>
        <w:rPr>
          <w:sz w:val="20"/>
          <w:szCs w:val="20"/>
          <w:color w:val="auto"/>
        </w:rPr>
      </w:pPr>
    </w:p>
    <w:p>
      <w:pPr>
        <w:ind w:right="200" w:firstLine="579"/>
        <w:spacing w:after="0" w:line="349" w:lineRule="auto"/>
        <w:rPr>
          <w:sz w:val="20"/>
          <w:szCs w:val="20"/>
          <w:color w:val="auto"/>
        </w:rPr>
      </w:pPr>
      <w:r>
        <w:rPr>
          <w:rFonts w:ascii="Arial" w:cs="Arial" w:eastAsia="Arial" w:hAnsi="Arial"/>
          <w:sz w:val="18"/>
          <w:szCs w:val="18"/>
          <w:color w:val="auto"/>
        </w:rPr>
        <w:t xml:space="preserve">In conjunction with its third quarter earnings release, ManpowerGroup will broadcast its conference call live over the Internet on October 21, 2016 at 7:30 a.m. CDT (8:30 a.m. EDT). Interested parties are invited to listen to the webcast and view the presentation by logging on to </w:t>
      </w:r>
      <w:r>
        <w:rPr>
          <w:rFonts w:ascii="Arial" w:cs="Arial" w:eastAsia="Arial" w:hAnsi="Arial"/>
          <w:sz w:val="18"/>
          <w:szCs w:val="18"/>
          <w:u w:val="single" w:color="auto"/>
          <w:color w:val="0000FF"/>
        </w:rPr>
        <w:t>http://www.investor.manpower.com</w:t>
      </w:r>
      <w:r>
        <w:rPr>
          <w:rFonts w:ascii="Arial" w:cs="Arial" w:eastAsia="Arial" w:hAnsi="Arial"/>
          <w:sz w:val="18"/>
          <w:szCs w:val="18"/>
          <w:color w:val="000000"/>
        </w:rPr>
        <w:t>.</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Supplemental financial information referenced in the conference call can be found at </w:t>
      </w:r>
      <w:r>
        <w:rPr>
          <w:rFonts w:ascii="Arial" w:cs="Arial" w:eastAsia="Arial" w:hAnsi="Arial"/>
          <w:sz w:val="18"/>
          <w:szCs w:val="18"/>
          <w:u w:val="single" w:color="auto"/>
          <w:color w:val="0000FF"/>
        </w:rPr>
        <w:t>http://www.investor.manpower.com</w:t>
      </w:r>
      <w:r>
        <w:rPr>
          <w:rFonts w:ascii="Arial" w:cs="Arial" w:eastAsia="Arial" w:hAnsi="Arial"/>
          <w:sz w:val="18"/>
          <w:szCs w:val="18"/>
          <w:color w:val="auto"/>
        </w:rPr>
        <w: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 xml:space="preserve">ManpowerGroup® (NYSE: MAN) is the world’s workforce expert, creating innovative workforce solutions for nearly 70 years. As workforce experts, we connect more than 600,000 people to meaningful work across a wide range of skills and industries every day. Through our ManpowerGroup family of brands - Manpower®, Experis®, Right Management® and ManpowerGroup® Solutions - we help more than 400,000 clients in 80 countries and territories address their critical talent needs, providing comprehensive solutions to resource, manage and develop talent. In 2016, ManpowerGroup was named one of the World’s Most Ethical Companies for the sixth consecutive year and one of Fortune’s Most Admired Companies, confirming our position as the most trusted and admired brand in the industry. See how ManpowerGroup makes powering the world of work humanly possible: </w:t>
      </w:r>
      <w:r>
        <w:rPr>
          <w:rFonts w:ascii="Arial" w:cs="Arial" w:eastAsia="Arial" w:hAnsi="Arial"/>
          <w:sz w:val="16"/>
          <w:szCs w:val="16"/>
          <w:u w:val="single" w:color="auto"/>
          <w:color w:val="0000FF"/>
        </w:rPr>
        <w:t>www.manpowergroup.com</w:t>
      </w:r>
      <w:r>
        <w:rPr>
          <w:rFonts w:ascii="Arial" w:cs="Arial" w:eastAsia="Arial" w:hAnsi="Arial"/>
          <w:sz w:val="16"/>
          <w:szCs w:val="16"/>
          <w:color w:val="auto"/>
        </w:rPr>
        <w:t>.</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6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2015, which information is incorporated herein by reference.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595" w:right="27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w w:val="93"/>
              </w:rPr>
              <w:t>Three Months Ended September 30</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40" w:type="dxa"/>
            <w:vAlign w:val="bottom"/>
          </w:tcPr>
          <w:p>
            <w:pPr>
              <w:jc w:val="right"/>
              <w:ind w:right="320"/>
              <w:spacing w:after="0"/>
              <w:rPr>
                <w:sz w:val="20"/>
                <w:szCs w:val="20"/>
                <w:color w:val="auto"/>
              </w:rPr>
            </w:pPr>
            <w:r>
              <w:rPr>
                <w:rFonts w:ascii="Arial" w:cs="Arial" w:eastAsia="Arial" w:hAnsi="Arial"/>
                <w:sz w:val="16"/>
                <w:szCs w:val="16"/>
                <w:b w:val="1"/>
                <w:bCs w:val="1"/>
                <w:color w:val="auto"/>
                <w:w w:val="89"/>
              </w:rPr>
              <w:t>Constant</w:t>
            </w:r>
          </w:p>
        </w:tc>
      </w:tr>
      <w:tr>
        <w:trPr>
          <w:trHeight w:val="241"/>
        </w:trPr>
        <w:tc>
          <w:tcPr>
            <w:tcW w:w="5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2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92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40" w:type="dxa"/>
            <w:vAlign w:val="bottom"/>
          </w:tcPr>
          <w:p>
            <w:pPr>
              <w:jc w:val="right"/>
              <w:ind w:right="300"/>
              <w:spacing w:after="0"/>
              <w:rPr>
                <w:sz w:val="20"/>
                <w:szCs w:val="20"/>
                <w:color w:val="auto"/>
              </w:rPr>
            </w:pPr>
            <w:r>
              <w:rPr>
                <w:rFonts w:ascii="Arial" w:cs="Arial" w:eastAsia="Arial" w:hAnsi="Arial"/>
                <w:sz w:val="16"/>
                <w:szCs w:val="16"/>
                <w:b w:val="1"/>
                <w:bCs w:val="1"/>
                <w:color w:val="auto"/>
                <w:w w:val="91"/>
              </w:rPr>
              <w:t>Currency</w:t>
            </w: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gridSpan w:val="3"/>
          </w:tcPr>
          <w:p>
            <w:pPr>
              <w:jc w:val="right"/>
              <w:ind w:right="1400"/>
              <w:spacing w:after="0"/>
              <w:rPr>
                <w:sz w:val="20"/>
                <w:szCs w:val="20"/>
                <w:color w:val="auto"/>
              </w:rPr>
            </w:pPr>
            <w:r>
              <w:rPr>
                <w:rFonts w:ascii="Arial" w:cs="Arial" w:eastAsia="Arial" w:hAnsi="Arial"/>
                <w:sz w:val="16"/>
                <w:szCs w:val="16"/>
                <w:color w:val="auto"/>
              </w:rPr>
              <w:t>(Unaudited)</w:t>
            </w:r>
          </w:p>
        </w:tc>
        <w:tc>
          <w:tcPr>
            <w:tcW w:w="1040" w:type="dxa"/>
            <w:vAlign w:val="bottom"/>
          </w:tcPr>
          <w:p>
            <w:pPr>
              <w:spacing w:after="0"/>
              <w:rPr>
                <w:sz w:val="18"/>
                <w:szCs w:val="18"/>
                <w:color w:val="auto"/>
              </w:rPr>
            </w:pPr>
          </w:p>
        </w:tc>
      </w:tr>
      <w:tr>
        <w:trPr>
          <w:trHeight w:val="24"/>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5,088.2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4,972.5</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2.3 %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4,229.9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4,120.4</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2.7 %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4.1%</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858.3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852.1</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647.2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645.8</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0.2 %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206.3</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2.3 %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21.4 %</w:t>
            </w:r>
          </w:p>
        </w:tc>
        <w:tc>
          <w:tcPr>
            <w:tcW w:w="1040" w:type="dxa"/>
            <w:vAlign w:val="bottom"/>
            <w:tcBorders>
              <w:bottom w:val="single" w:sz="8" w:color="CCEEFF"/>
            </w:tcBorders>
          </w:tcPr>
          <w:p>
            <w:pPr>
              <w:spacing w:after="0"/>
              <w:rPr>
                <w:sz w:val="21"/>
                <w:szCs w:val="21"/>
                <w:color w:val="auto"/>
              </w:rPr>
            </w:pP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196.9</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1.4 %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73.0</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-3.5 %</w:t>
            </w:r>
          </w:p>
        </w:tc>
        <w:tc>
          <w:tcPr>
            <w:tcW w:w="1040" w:type="dxa"/>
            <w:vAlign w:val="bottom"/>
            <w:tcBorders>
              <w:bottom w:val="single" w:sz="8" w:color="CCEEFF"/>
            </w:tcBorders>
          </w:tcPr>
          <w:p>
            <w:pPr>
              <w:spacing w:after="0"/>
              <w:rPr>
                <w:sz w:val="21"/>
                <w:szCs w:val="21"/>
                <w:color w:val="auto"/>
              </w:rPr>
            </w:pPr>
          </w:p>
        </w:tc>
      </w:tr>
      <w:tr>
        <w:trPr>
          <w:trHeight w:val="235"/>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123.9</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4.3 %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1.63</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16.0 %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1.61</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16.1 %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76.1</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-10.1 %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69.0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77.0</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-10.3 %</w:t>
            </w:r>
          </w:p>
        </w:tc>
        <w:tc>
          <w:tcPr>
            <w:tcW w:w="1040" w:type="dxa"/>
            <w:vAlign w:val="bottom"/>
            <w:tcBorders>
              <w:bottom w:val="single" w:sz="8" w:color="CCEEFF"/>
            </w:tcBorders>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65" w:lineRule="exact"/>
        <w:rPr>
          <w:sz w:val="20"/>
          <w:szCs w:val="20"/>
          <w:color w:val="auto"/>
        </w:rPr>
      </w:pPr>
    </w:p>
    <w:p>
      <w:pPr>
        <w:ind w:left="20" w:right="500" w:firstLine="2"/>
        <w:spacing w:after="0" w:line="265" w:lineRule="auto"/>
        <w:tabs>
          <w:tab w:leader="none" w:pos="238"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$6.3 million and $6.6 million for the three months ended September 30, 2016 and 2015, respectively. These fees are primarily based on revenues generated by the franchise offices, which were $273.1 million and $286.4 million for the three months ended September 30, 2016 and 2015, respectively.</w:t>
      </w:r>
    </w:p>
    <w:p>
      <w:pPr>
        <w:sectPr>
          <w:pgSz w:w="11900" w:h="16838" w:orient="portrait"/>
          <w:cols w:equalWidth="0" w:num="1">
            <w:col w:w="11260"/>
          </w:cols>
          <w:pgMar w:left="420" w:top="679"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w w:val="94"/>
              </w:rPr>
              <w:t>Three Months Ended September 30</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90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60" w:type="dxa"/>
            <w:vAlign w:val="bottom"/>
          </w:tcPr>
          <w:p>
            <w:pPr>
              <w:jc w:val="right"/>
              <w:ind w:right="30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gridSpan w:val="3"/>
          </w:tcPr>
          <w:p>
            <w:pPr>
              <w:jc w:val="right"/>
              <w:ind w:right="13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723.7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769.6</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383.7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367.0</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4.5 %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15.7 %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1,107.4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1,136.6</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1,277.8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1,242.5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299.0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324.4</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-7.8 %</w:t>
            </w:r>
          </w:p>
        </w:tc>
        <w:tc>
          <w:tcPr>
            <w:tcW w:w="1060" w:type="dxa"/>
            <w:vAlign w:val="bottom"/>
          </w:tcPr>
          <w:p>
            <w:pPr>
              <w:jc w:val="right"/>
              <w:spacing w:after="0"/>
              <w:rPr>
                <w:sz w:val="20"/>
                <w:szCs w:val="20"/>
                <w:color w:val="auto"/>
              </w:rPr>
            </w:pPr>
            <w:r>
              <w:rPr>
                <w:rFonts w:ascii="Arial" w:cs="Arial" w:eastAsia="Arial" w:hAnsi="Arial"/>
                <w:sz w:val="16"/>
                <w:szCs w:val="16"/>
                <w:color w:val="auto"/>
              </w:rPr>
              <w:t>-8.1 %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364.4</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1,966.3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1,931.3</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1.8 %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1,300.1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1,267.5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650.9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570.2</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14.1 %</w:t>
            </w:r>
          </w:p>
        </w:tc>
        <w:tc>
          <w:tcPr>
            <w:tcW w:w="106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66.9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75"/>
        </w:trPr>
        <w:tc>
          <w:tcPr>
            <w:tcW w:w="54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5,088.2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4,972.5</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2.3 %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3.8 %</w:t>
            </w:r>
          </w:p>
        </w:tc>
      </w:tr>
      <w:tr>
        <w:trPr>
          <w:trHeight w:val="20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13.2</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5.5 %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17.1 %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58.7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17.5</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5.1 %</w:t>
            </w:r>
          </w:p>
        </w:tc>
        <w:tc>
          <w:tcPr>
            <w:tcW w:w="1060" w:type="dxa"/>
            <w:vAlign w:val="bottom"/>
          </w:tcPr>
          <w:p>
            <w:pPr>
              <w:jc w:val="right"/>
              <w:spacing w:after="0"/>
              <w:rPr>
                <w:sz w:val="20"/>
                <w:szCs w:val="20"/>
                <w:color w:val="auto"/>
              </w:rPr>
            </w:pPr>
            <w:r>
              <w:rPr>
                <w:rFonts w:ascii="Arial" w:cs="Arial" w:eastAsia="Arial" w:hAnsi="Arial"/>
                <w:sz w:val="16"/>
                <w:szCs w:val="16"/>
                <w:color w:val="auto"/>
              </w:rPr>
              <w:t>4.8 %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101.0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105.5</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-4.3 %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-4.5 %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21.1 %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23.9</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6.5 %</w:t>
            </w:r>
          </w:p>
        </w:tc>
        <w:tc>
          <w:tcPr>
            <w:tcW w:w="106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-17.8 %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-18.3 %</w:t>
            </w: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244.0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243.3</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 amortization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(b)</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196.9</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5" w:lineRule="exact"/>
        <w:rPr>
          <w:sz w:val="20"/>
          <w:szCs w:val="20"/>
          <w:color w:val="auto"/>
        </w:rPr>
      </w:pPr>
    </w:p>
    <w:p>
      <w:pPr>
        <w:ind w:left="20" w:right="240" w:hanging="9"/>
        <w:spacing w:after="0" w:line="265" w:lineRule="auto"/>
        <w:tabs>
          <w:tab w:leader="none" w:pos="23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$4.1 million and $4.2 million for the three months ended September 30, 2016 and 2015, respectively. These fees are primarily based on revenues generated by the franchise offices, which were $179.8 million and $186.3 million for the three months ended September 30, 2016 and 2015, respectively.</w:t>
      </w:r>
    </w:p>
    <w:p>
      <w:pPr>
        <w:spacing w:after="0" w:line="138" w:lineRule="exact"/>
        <w:rPr>
          <w:rFonts w:ascii="Arial" w:cs="Arial" w:eastAsia="Arial" w:hAnsi="Arial"/>
          <w:sz w:val="16"/>
          <w:szCs w:val="16"/>
          <w:color w:val="auto"/>
        </w:rPr>
      </w:pPr>
    </w:p>
    <w:p>
      <w:pPr>
        <w:ind w:left="240" w:hanging="229"/>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3060" w:type="dxa"/>
            <w:vAlign w:val="bottom"/>
          </w:tcPr>
          <w:p>
            <w:pPr>
              <w:spacing w:after="0"/>
              <w:rPr>
                <w:sz w:val="18"/>
                <w:szCs w:val="18"/>
                <w:color w:val="auto"/>
              </w:rPr>
            </w:pPr>
          </w:p>
        </w:tc>
      </w:tr>
      <w:tr>
        <w:trPr>
          <w:trHeight w:val="28"/>
        </w:trPr>
        <w:tc>
          <w:tcPr>
            <w:tcW w:w="5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w:t>
            </w:r>
          </w:p>
        </w:tc>
        <w:tc>
          <w:tcPr>
            <w:tcW w:w="3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gain</w:t>
            </w:r>
          </w:p>
        </w:tc>
        <w:tc>
          <w:tcPr>
            <w:tcW w:w="8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Miscellaneous expenses, net</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w:t>
            </w:r>
          </w:p>
        </w:tc>
        <w:tc>
          <w:tcPr>
            <w:tcW w:w="3060" w:type="dxa"/>
            <w:vAlign w:val="bottom"/>
            <w:tcBorders>
              <w:bottom w:val="single" w:sz="8" w:color="CCEEFF"/>
            </w:tcBorders>
          </w:tcPr>
          <w:p>
            <w:pPr>
              <w:spacing w:after="0"/>
              <w:rPr>
                <w:sz w:val="21"/>
                <w:szCs w:val="21"/>
                <w:color w:val="auto"/>
              </w:rPr>
            </w:pPr>
          </w:p>
        </w:tc>
      </w:tr>
      <w:tr>
        <w:trPr>
          <w:trHeight w:val="246"/>
        </w:trPr>
        <w:tc>
          <w:tcPr>
            <w:tcW w:w="5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w:t>
            </w:r>
          </w:p>
        </w:tc>
        <w:tc>
          <w:tcPr>
            <w:tcW w:w="3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w w:val="94"/>
              </w:rPr>
              <w:t>Nine Months Ended September 30</w:t>
            </w:r>
          </w:p>
        </w:tc>
        <w:tc>
          <w:tcPr>
            <w:tcW w:w="104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4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20"/>
              <w:spacing w:after="0"/>
              <w:rPr>
                <w:sz w:val="20"/>
                <w:szCs w:val="20"/>
                <w:color w:val="auto"/>
              </w:rPr>
            </w:pPr>
            <w:r>
              <w:rPr>
                <w:rFonts w:ascii="Arial" w:cs="Arial" w:eastAsia="Arial" w:hAnsi="Arial"/>
                <w:sz w:val="16"/>
                <w:szCs w:val="16"/>
                <w:b w:val="1"/>
                <w:bCs w:val="1"/>
                <w:color w:val="auto"/>
              </w:rPr>
              <w:t>Amount</w:t>
            </w:r>
          </w:p>
        </w:tc>
        <w:tc>
          <w:tcPr>
            <w:tcW w:w="1040" w:type="dxa"/>
            <w:vAlign w:val="bottom"/>
          </w:tcPr>
          <w:p>
            <w:pPr>
              <w:jc w:val="right"/>
              <w:ind w:right="30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2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900" w:type="dxa"/>
            <w:vAlign w:val="bottom"/>
          </w:tcPr>
          <w:p>
            <w:pPr>
              <w:jc w:val="right"/>
              <w:ind w:right="780"/>
              <w:spacing w:after="0"/>
              <w:rPr>
                <w:sz w:val="20"/>
                <w:szCs w:val="20"/>
                <w:color w:val="auto"/>
              </w:rPr>
            </w:pPr>
            <w:r>
              <w:rPr>
                <w:rFonts w:ascii="Arial" w:cs="Arial" w:eastAsia="Arial" w:hAnsi="Arial"/>
                <w:sz w:val="16"/>
                <w:szCs w:val="16"/>
                <w:b w:val="1"/>
                <w:bCs w:val="1"/>
                <w:color w:val="auto"/>
              </w:rPr>
              <w:t>Reported</w:t>
            </w:r>
          </w:p>
        </w:tc>
        <w:tc>
          <w:tcPr>
            <w:tcW w:w="1040" w:type="dxa"/>
            <w:vAlign w:val="bottom"/>
          </w:tcPr>
          <w:p>
            <w:pPr>
              <w:jc w:val="right"/>
              <w:ind w:right="28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3"/>
          </w:tcPr>
          <w:p>
            <w:pPr>
              <w:jc w:val="right"/>
              <w:ind w:right="1400"/>
              <w:spacing w:after="0"/>
              <w:rPr>
                <w:sz w:val="20"/>
                <w:szCs w:val="20"/>
                <w:color w:val="auto"/>
              </w:rPr>
            </w:pPr>
            <w:r>
              <w:rPr>
                <w:rFonts w:ascii="Arial" w:cs="Arial" w:eastAsia="Arial" w:hAnsi="Arial"/>
                <w:sz w:val="16"/>
                <w:szCs w:val="16"/>
                <w:color w:val="auto"/>
              </w:rPr>
              <w:t>(Unaudited)</w:t>
            </w:r>
          </w:p>
        </w:tc>
        <w:tc>
          <w:tcPr>
            <w:tcW w:w="104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14,698.0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14,376.0</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2.2 %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12,205.2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11,931.3</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2.3 %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4.6%</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2,492.8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2,444.7</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1,954.0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1,936.9</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0.9 %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538.8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507.8</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27.2</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26.3 %</w:t>
            </w:r>
          </w:p>
        </w:tc>
        <w:tc>
          <w:tcPr>
            <w:tcW w:w="104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504.4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480.6</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4.9 %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188.1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185.3</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1.5 %</w:t>
            </w:r>
          </w:p>
        </w:tc>
        <w:tc>
          <w:tcPr>
            <w:tcW w:w="104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295.3</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3.80</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17.4 %</w:t>
            </w:r>
          </w:p>
        </w:tc>
        <w:tc>
          <w:tcPr>
            <w:tcW w:w="104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3.75</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17.9 %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70.9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77.7</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-8.7 %</w:t>
            </w:r>
          </w:p>
        </w:tc>
        <w:tc>
          <w:tcPr>
            <w:tcW w:w="104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78.7</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-9.0 %</w:t>
            </w:r>
          </w:p>
        </w:tc>
        <w:tc>
          <w:tcPr>
            <w:tcW w:w="1040" w:type="dxa"/>
            <w:vAlign w:val="bottom"/>
            <w:tcBorders>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65" w:lineRule="exact"/>
        <w:rPr>
          <w:sz w:val="20"/>
          <w:szCs w:val="20"/>
          <w:color w:val="auto"/>
        </w:rPr>
      </w:pPr>
    </w:p>
    <w:p>
      <w:pPr>
        <w:ind w:left="20" w:right="380" w:hanging="9"/>
        <w:spacing w:after="0" w:line="265" w:lineRule="auto"/>
        <w:tabs>
          <w:tab w:leader="none" w:pos="239"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$17.2 million and $18.1 million for the nine months ended September 30, 2016 and 2015, respectively. These fees are primarily based on revenues generated by the franchise offices, which were $762.1 million and $812.6 million for the nine months ended September 30, 2016 and 2015, respectively.</w:t>
      </w:r>
    </w:p>
    <w:p>
      <w:pPr>
        <w:sectPr>
          <w:pgSz w:w="11900" w:h="16838" w:orient="portrait"/>
          <w:cols w:equalWidth="0" w:num="1">
            <w:col w:w="11240"/>
          </w:cols>
          <w:pgMar w:left="340" w:top="679"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w w:val="95"/>
              </w:rPr>
              <w:t>Nine Months Ended September 30</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90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60" w:type="dxa"/>
            <w:vAlign w:val="bottom"/>
          </w:tcPr>
          <w:p>
            <w:pPr>
              <w:jc w:val="right"/>
              <w:ind w:right="30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3"/>
          </w:tcPr>
          <w:p>
            <w:pPr>
              <w:jc w:val="right"/>
              <w:ind w:right="13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2,257.3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1,082.2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1,094.4</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-1.1 %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16.2 %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3,234.3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3,351.7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3,608.8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3,485.9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861.9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913.8</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-5.7 %</w:t>
            </w:r>
          </w:p>
        </w:tc>
        <w:tc>
          <w:tcPr>
            <w:tcW w:w="1060" w:type="dxa"/>
            <w:vAlign w:val="bottom"/>
          </w:tcPr>
          <w:p>
            <w:pPr>
              <w:jc w:val="right"/>
              <w:spacing w:after="0"/>
              <w:rPr>
                <w:sz w:val="20"/>
                <w:szCs w:val="20"/>
                <w:color w:val="auto"/>
              </w:rPr>
            </w:pPr>
            <w:r>
              <w:rPr>
                <w:rFonts w:ascii="Arial" w:cs="Arial" w:eastAsia="Arial" w:hAnsi="Arial"/>
                <w:sz w:val="16"/>
                <w:szCs w:val="16"/>
                <w:color w:val="auto"/>
              </w:rPr>
              <w:t>-5.8 %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1,114.7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1,044.3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5,585.4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5,444.0</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2.6 %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2.4 %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3,836.3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3,717.0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1,841.7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1,659.9</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10.9 %</w:t>
            </w:r>
          </w:p>
        </w:tc>
        <w:tc>
          <w:tcPr>
            <w:tcW w:w="1060" w:type="dxa"/>
            <w:vAlign w:val="bottom"/>
          </w:tcPr>
          <w:p>
            <w:pPr>
              <w:jc w:val="right"/>
              <w:spacing w:after="0"/>
              <w:rPr>
                <w:sz w:val="20"/>
                <w:szCs w:val="20"/>
                <w:color w:val="auto"/>
              </w:rPr>
            </w:pPr>
            <w:r>
              <w:rPr>
                <w:rFonts w:ascii="Arial" w:cs="Arial" w:eastAsia="Arial" w:hAnsi="Arial"/>
                <w:sz w:val="16"/>
                <w:szCs w:val="16"/>
                <w:color w:val="auto"/>
              </w:rPr>
              <w:t>9.3 %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203.4</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75"/>
        </w:trPr>
        <w:tc>
          <w:tcPr>
            <w:tcW w:w="54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14,698.0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14,376.0</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2.2 %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4.5 %</w:t>
            </w:r>
          </w:p>
        </w:tc>
      </w:tr>
      <w:tr>
        <w:trPr>
          <w:trHeight w:val="20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104.6</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40.5</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-2.7 %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13.9 %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145.1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51.3</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11.7 %</w:t>
            </w:r>
          </w:p>
        </w:tc>
        <w:tc>
          <w:tcPr>
            <w:tcW w:w="1060" w:type="dxa"/>
            <w:vAlign w:val="bottom"/>
          </w:tcPr>
          <w:p>
            <w:pPr>
              <w:jc w:val="right"/>
              <w:spacing w:after="0"/>
              <w:rPr>
                <w:sz w:val="20"/>
                <w:szCs w:val="20"/>
                <w:color w:val="auto"/>
              </w:rPr>
            </w:pPr>
            <w:r>
              <w:rPr>
                <w:rFonts w:ascii="Arial" w:cs="Arial" w:eastAsia="Arial" w:hAnsi="Arial"/>
                <w:sz w:val="16"/>
                <w:szCs w:val="16"/>
                <w:color w:val="auto"/>
              </w:rPr>
              <w:t>11.2 %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17.1 %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275.0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272.5</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0.9 %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0.4 %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108.6</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14.3 %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61.2</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9.5 %</w:t>
            </w:r>
          </w:p>
        </w:tc>
        <w:tc>
          <w:tcPr>
            <w:tcW w:w="1060" w:type="dxa"/>
            <w:vAlign w:val="bottom"/>
          </w:tcPr>
          <w:p>
            <w:pPr>
              <w:jc w:val="right"/>
              <w:spacing w:after="0"/>
              <w:rPr>
                <w:sz w:val="20"/>
                <w:szCs w:val="20"/>
                <w:color w:val="auto"/>
              </w:rPr>
            </w:pPr>
            <w:r>
              <w:rPr>
                <w:rFonts w:ascii="Arial" w:cs="Arial" w:eastAsia="Arial" w:hAnsi="Arial"/>
                <w:sz w:val="16"/>
                <w:szCs w:val="16"/>
                <w:color w:val="auto"/>
              </w:rPr>
              <w:t>7.7 %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16.9 %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18.1 %</w:t>
            </w: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642.0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615.4</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 amortization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538.8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507.8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(b)</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480.6</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5" w:lineRule="exact"/>
        <w:rPr>
          <w:sz w:val="20"/>
          <w:szCs w:val="20"/>
          <w:color w:val="auto"/>
        </w:rPr>
      </w:pPr>
    </w:p>
    <w:p>
      <w:pPr>
        <w:ind w:left="20" w:right="140" w:hanging="9"/>
        <w:spacing w:after="0" w:line="265" w:lineRule="auto"/>
        <w:tabs>
          <w:tab w:leader="none" w:pos="23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$11.1 million and $11.5 million for the nine months ended September 30, 2016 and 2015, respectively. These fees are primarily based on revenues generated by the franchise offices, which were $511.5 million and $539.6 million for the nine months ended September 30, 2016 and 2015, respectively.</w:t>
      </w:r>
    </w:p>
    <w:p>
      <w:pPr>
        <w:spacing w:after="0" w:line="138" w:lineRule="exact"/>
        <w:rPr>
          <w:rFonts w:ascii="Arial" w:cs="Arial" w:eastAsia="Arial" w:hAnsi="Arial"/>
          <w:sz w:val="16"/>
          <w:szCs w:val="16"/>
          <w:color w:val="auto"/>
        </w:rPr>
      </w:pPr>
    </w:p>
    <w:p>
      <w:pPr>
        <w:ind w:left="240" w:hanging="229"/>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3060" w:type="dxa"/>
            <w:vAlign w:val="bottom"/>
          </w:tcPr>
          <w:p>
            <w:pPr>
              <w:spacing w:after="0"/>
              <w:rPr>
                <w:sz w:val="18"/>
                <w:szCs w:val="18"/>
                <w:color w:val="auto"/>
              </w:rPr>
            </w:pPr>
          </w:p>
        </w:tc>
      </w:tr>
      <w:tr>
        <w:trPr>
          <w:trHeight w:val="28"/>
        </w:trPr>
        <w:tc>
          <w:tcPr>
            <w:tcW w:w="5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3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losses</w:t>
            </w:r>
          </w:p>
        </w:tc>
        <w:tc>
          <w:tcPr>
            <w:tcW w:w="8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0.5</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Miscellaneous expenses, net</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w:t>
            </w:r>
          </w:p>
        </w:tc>
        <w:tc>
          <w:tcPr>
            <w:tcW w:w="3060" w:type="dxa"/>
            <w:vAlign w:val="bottom"/>
            <w:tcBorders>
              <w:bottom w:val="single" w:sz="8" w:color="CCEEFF"/>
            </w:tcBorders>
          </w:tcPr>
          <w:p>
            <w:pPr>
              <w:spacing w:after="0"/>
              <w:rPr>
                <w:sz w:val="21"/>
                <w:szCs w:val="21"/>
                <w:color w:val="auto"/>
              </w:rPr>
            </w:pPr>
          </w:p>
        </w:tc>
      </w:tr>
      <w:tr>
        <w:trPr>
          <w:trHeight w:val="246"/>
        </w:trPr>
        <w:tc>
          <w:tcPr>
            <w:tcW w:w="5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27.2</w:t>
            </w:r>
          </w:p>
        </w:tc>
        <w:tc>
          <w:tcPr>
            <w:tcW w:w="3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Balance Sheets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 30</w:t>
            </w:r>
          </w:p>
        </w:tc>
        <w:tc>
          <w:tcPr>
            <w:tcW w:w="340" w:type="dxa"/>
            <w:vAlign w:val="bottom"/>
          </w:tcPr>
          <w:p>
            <w:pPr>
              <w:spacing w:after="0"/>
              <w:rPr>
                <w:sz w:val="18"/>
                <w:szCs w:val="18"/>
                <w:color w:val="auto"/>
              </w:rPr>
            </w:pPr>
          </w:p>
        </w:tc>
        <w:tc>
          <w:tcPr>
            <w:tcW w:w="880" w:type="dxa"/>
            <w:vAlign w:val="bottom"/>
          </w:tcPr>
          <w:p>
            <w:pPr>
              <w:jc w:val="right"/>
              <w:ind w:right="280"/>
              <w:spacing w:after="0"/>
              <w:rPr>
                <w:sz w:val="20"/>
                <w:szCs w:val="20"/>
                <w:color w:val="auto"/>
              </w:rPr>
            </w:pPr>
            <w:r>
              <w:rPr>
                <w:rFonts w:ascii="Arial" w:cs="Arial" w:eastAsia="Arial" w:hAnsi="Arial"/>
                <w:sz w:val="16"/>
                <w:szCs w:val="16"/>
                <w:b w:val="1"/>
                <w:bCs w:val="1"/>
                <w:color w:val="auto"/>
                <w:w w:val="89"/>
              </w:rPr>
              <w:t>Dec. 31</w:t>
            </w:r>
          </w:p>
        </w:tc>
      </w:tr>
      <w:tr>
        <w:trPr>
          <w:trHeight w:val="241"/>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b w:val="1"/>
                <w:bCs w:val="1"/>
                <w:color w:val="auto"/>
              </w:rPr>
              <w:t>2015</w:t>
            </w:r>
          </w:p>
        </w:tc>
      </w:tr>
      <w:tr>
        <w:trPr>
          <w:trHeight w:val="28"/>
        </w:trPr>
        <w:tc>
          <w:tcPr>
            <w:tcW w:w="8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(Unaudited)</w:t>
            </w: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503.1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730.5</w:t>
            </w: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4,581.9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4,243.0</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119.0</w:t>
            </w:r>
          </w:p>
        </w:tc>
      </w:tr>
      <w:tr>
        <w:trPr>
          <w:trHeight w:val="217"/>
        </w:trPr>
        <w:tc>
          <w:tcPr>
            <w:tcW w:w="866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5,197.1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5,092.5</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1,284.1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1,257.4</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309.1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326.5</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776.6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694.0</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2,369.8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2,277.9</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Property and equipment: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46290" cy="153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153035"/>
                    </a:xfrm>
                    <a:prstGeom prst="rect">
                      <a:avLst/>
                    </a:prstGeom>
                    <a:noFill/>
                  </pic:spPr>
                </pic:pic>
              </a:graphicData>
            </a:graphic>
          </wp:anchor>
        </w:drawing>
      </w:r>
    </w:p>
    <w:p>
      <w:pPr>
        <w:sectPr>
          <w:pgSz w:w="11900" w:h="16838" w:orient="portrait"/>
          <w:cols w:equalWidth="0" w:num="1">
            <w:col w:w="11240"/>
          </w:cols>
          <w:pgMar w:left="340" w:top="679" w:right="319" w:bottom="1440" w:gutter="0" w:footer="0" w:header="0"/>
        </w:sectPr>
      </w:pPr>
    </w:p>
    <w:p>
      <w:pPr>
        <w:spacing w:after="0" w:line="3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Land, buildings, leasehold improvements and equipment</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46290" cy="168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property and equipment</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46290" cy="168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612.2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585.4</w:t>
            </w:r>
          </w:p>
        </w:tc>
      </w:tr>
      <w:tr>
        <w:trPr>
          <w:trHeight w:val="241"/>
        </w:trPr>
        <w:tc>
          <w:tcPr>
            <w:tcW w:w="3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458.7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438.3</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147.1</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7,720.4</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7,517.5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6389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8935" cy="762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7940" w:space="720"/>
            <w:col w:w="2580"/>
          </w:cols>
          <w:pgMar w:left="340" w:top="679"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LIABILITIES AND SHAREHOLDERS' EQUITY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1,659.2</w:t>
            </w: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Employee compensation payable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211.4</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Accrued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434.3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483.7</w:t>
            </w: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Accrued payroll taxes and insurance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620.6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613.8</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Value added taxes payable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479.1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438.7</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Short-term borrowings and current maturities of long-term debt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44.2</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3,731.3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3,451.0</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Long-term debt</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839.7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810.9</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676.6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563.1</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1,516.3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1,374.0</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ManpowerGroup shareholders' equity</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Capital in excess of par value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3,206.5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3,186.7</w:t>
            </w:r>
          </w:p>
        </w:tc>
      </w:tr>
      <w:tr>
        <w:trPr>
          <w:trHeight w:val="217"/>
        </w:trPr>
        <w:tc>
          <w:tcPr>
            <w:tcW w:w="866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2,221.5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1,966.0</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(286.0)</w:t>
            </w:r>
          </w:p>
        </w:tc>
      </w:tr>
      <w:tr>
        <w:trPr>
          <w:trHeight w:val="245"/>
        </w:trPr>
        <w:tc>
          <w:tcPr>
            <w:tcW w:w="86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Treasury stock, at cost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(2,712.5)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(2,243.2)</w:t>
            </w:r>
          </w:p>
        </w:tc>
      </w:tr>
      <w:tr>
        <w:trPr>
          <w:trHeight w:val="245"/>
        </w:trPr>
        <w:tc>
          <w:tcPr>
            <w:tcW w:w="8660" w:type="dxa"/>
            <w:vAlign w:val="bottom"/>
            <w:tcBorders>
              <w:bottom w:val="single" w:sz="8" w:color="CCEEFF"/>
            </w:tcBorders>
            <w:shd w:val="clear" w:color="auto" w:fill="CCEEFF"/>
          </w:tcPr>
          <w:p>
            <w:pPr>
              <w:jc w:val="right"/>
              <w:ind w:right="5460"/>
              <w:spacing w:after="0"/>
              <w:rPr>
                <w:sz w:val="20"/>
                <w:szCs w:val="20"/>
                <w:color w:val="auto"/>
              </w:rPr>
            </w:pPr>
            <w:r>
              <w:rPr>
                <w:rFonts w:ascii="Arial" w:cs="Arial" w:eastAsia="Arial" w:hAnsi="Arial"/>
                <w:sz w:val="16"/>
                <w:szCs w:val="16"/>
                <w:color w:val="auto"/>
              </w:rPr>
              <w:t>Total ManpowerGroup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2,392.0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2,624.7</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67.8</w:t>
            </w:r>
          </w:p>
        </w:tc>
      </w:tr>
      <w:tr>
        <w:trPr>
          <w:trHeight w:val="245"/>
        </w:trPr>
        <w:tc>
          <w:tcPr>
            <w:tcW w:w="8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2,472.8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2,692.5</w:t>
            </w:r>
          </w:p>
        </w:tc>
      </w:tr>
      <w:tr>
        <w:trPr>
          <w:trHeight w:val="235"/>
        </w:trPr>
        <w:tc>
          <w:tcPr>
            <w:tcW w:w="8660" w:type="dxa"/>
            <w:vAlign w:val="bottom"/>
          </w:tcPr>
          <w:p>
            <w:pPr>
              <w:jc w:val="right"/>
              <w:ind w:right="5440"/>
              <w:spacing w:after="0"/>
              <w:rPr>
                <w:sz w:val="20"/>
                <w:szCs w:val="20"/>
                <w:color w:val="auto"/>
              </w:rPr>
            </w:pPr>
            <w:r>
              <w:rPr>
                <w:rFonts w:ascii="Arial" w:cs="Arial" w:eastAsia="Arial" w:hAnsi="Arial"/>
                <w:sz w:val="16"/>
                <w:szCs w:val="16"/>
                <w:color w:val="auto"/>
              </w:rPr>
              <w:t>Total liabilities and shareholders' equity</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7,720.4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7,517.5</w:t>
            </w:r>
          </w:p>
        </w:tc>
      </w:tr>
      <w:tr>
        <w:trPr>
          <w:trHeight w:val="20"/>
        </w:trPr>
        <w:tc>
          <w:tcPr>
            <w:tcW w:w="8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2"/>
              </w:rPr>
              <w:t>Nine Months Ended</w:t>
            </w:r>
          </w:p>
        </w:tc>
      </w:tr>
      <w:tr>
        <w:trPr>
          <w:trHeight w:val="24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center"/>
              <w:ind w:left="460"/>
              <w:spacing w:after="0"/>
              <w:rPr>
                <w:sz w:val="20"/>
                <w:szCs w:val="20"/>
                <w:color w:val="auto"/>
              </w:rPr>
            </w:pPr>
            <w:r>
              <w:rPr>
                <w:rFonts w:ascii="Arial" w:cs="Arial" w:eastAsia="Arial" w:hAnsi="Arial"/>
                <w:sz w:val="16"/>
                <w:szCs w:val="16"/>
                <w:b w:val="1"/>
                <w:bCs w:val="1"/>
                <w:color w:val="auto"/>
                <w:w w:val="89"/>
              </w:rPr>
              <w:t>September 30</w:t>
            </w:r>
          </w:p>
        </w:tc>
        <w:tc>
          <w:tcPr>
            <w:tcW w:w="800" w:type="dxa"/>
            <w:vAlign w:val="bottom"/>
          </w:tcPr>
          <w:p>
            <w:pPr>
              <w:spacing w:after="0"/>
              <w:rPr>
                <w:sz w:val="20"/>
                <w:szCs w:val="20"/>
                <w:color w:val="auto"/>
              </w:rPr>
            </w:pP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8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80"/>
              <w:spacing w:after="0"/>
              <w:rPr>
                <w:sz w:val="20"/>
                <w:szCs w:val="20"/>
                <w:color w:val="auto"/>
              </w:rPr>
            </w:pPr>
            <w:r>
              <w:rPr>
                <w:rFonts w:ascii="Arial" w:cs="Arial" w:eastAsia="Arial" w:hAnsi="Arial"/>
                <w:sz w:val="16"/>
                <w:szCs w:val="16"/>
                <w:b w:val="1"/>
                <w:bCs w:val="1"/>
                <w:color w:val="auto"/>
                <w:w w:val="89"/>
              </w:rPr>
              <w:t>2015</w:t>
            </w: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center"/>
              <w:ind w:left="460"/>
              <w:spacing w:after="0"/>
              <w:rPr>
                <w:sz w:val="20"/>
                <w:szCs w:val="20"/>
                <w:color w:val="auto"/>
              </w:rPr>
            </w:pPr>
            <w:r>
              <w:rPr>
                <w:rFonts w:ascii="Arial" w:cs="Arial" w:eastAsia="Arial" w:hAnsi="Arial"/>
                <w:sz w:val="16"/>
                <w:szCs w:val="16"/>
                <w:color w:val="auto"/>
                <w:w w:val="93"/>
              </w:rPr>
              <w:t>(Unaudited)</w:t>
            </w:r>
          </w:p>
        </w:tc>
        <w:tc>
          <w:tcPr>
            <w:tcW w:w="80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316.3</w:t>
            </w:r>
          </w:p>
        </w:tc>
        <w:tc>
          <w:tcPr>
            <w:tcW w:w="120" w:type="dxa"/>
            <w:vAlign w:val="bottom"/>
          </w:tcPr>
          <w:p>
            <w:pPr>
              <w:spacing w:after="0"/>
              <w:rPr>
                <w:sz w:val="18"/>
                <w:szCs w:val="18"/>
                <w:color w:val="auto"/>
              </w:rPr>
            </w:pP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295.3</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57.1</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72.6</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Provision for doubtful accounts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13.2</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Excess tax benefit on exercise of share-based awards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6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(331.7)</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45"/>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281.8</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168.5</w:t>
            </w:r>
          </w:p>
        </w:tc>
      </w:tr>
      <w:tr>
        <w:trPr>
          <w:trHeight w:val="255"/>
        </w:trPr>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402.5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282.8</w:t>
            </w:r>
          </w:p>
        </w:tc>
      </w:tr>
      <w:tr>
        <w:trPr>
          <w:trHeight w:val="20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17"/>
        </w:trPr>
        <w:tc>
          <w:tcPr>
            <w:tcW w:w="8800" w:type="dxa"/>
            <w:vAlign w:val="bottom"/>
          </w:tcPr>
          <w:p>
            <w:pPr>
              <w:ind w:left="100"/>
              <w:spacing w:after="0"/>
              <w:rPr>
                <w:sz w:val="20"/>
                <w:szCs w:val="20"/>
                <w:color w:val="auto"/>
              </w:rPr>
            </w:pPr>
            <w:r>
              <w:rPr>
                <w:rFonts w:ascii="Arial" w:cs="Arial" w:eastAsia="Arial" w:hAnsi="Arial"/>
                <w:sz w:val="16"/>
                <w:szCs w:val="16"/>
                <w:color w:val="auto"/>
              </w:rPr>
              <w:t>Acquisitions of businesses, net of cash acquired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(240.7)</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sales of investments, property and equipment</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Cash used in investing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w:t>
            </w: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Net change in short-term borrowings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long-term debt</w:t>
            </w: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453.9</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Repayments of long-term debt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Payments for debt issuance costs</w:t>
            </w: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Payments of contingent consideration for acquisitions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share-based awards and other equity transactions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99.8</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Other share-based award transactions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Repurchases of common stock</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(523.2)</w:t>
            </w:r>
          </w:p>
        </w:tc>
      </w:tr>
      <w:tr>
        <w:trPr>
          <w:trHeight w:val="245"/>
        </w:trPr>
        <w:tc>
          <w:tcPr>
            <w:tcW w:w="8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Dividends paid</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r>
      <w:tr>
        <w:trPr>
          <w:trHeight w:val="245"/>
        </w:trPr>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Cash used in financing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45"/>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cash and cash equivalents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w:t>
            </w:r>
          </w:p>
        </w:tc>
      </w:tr>
      <w:tr>
        <w:trPr>
          <w:trHeight w:val="245"/>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730.5</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699.2</w:t>
            </w:r>
          </w:p>
        </w:tc>
      </w:tr>
      <w:tr>
        <w:trPr>
          <w:trHeight w:val="23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503.1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652.5</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79" w:right="2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2019-12-05T23:46:18Z</dcterms:created>
  <dcterms:modified xsi:type="dcterms:W3CDTF">2019-12-05T23:46:18Z</dcterms:modified>
</cp:coreProperties>
</file>