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29"/>
          <w:szCs w:val="29"/>
          <w:b w:val="1"/>
          <w:bCs w:val="1"/>
          <w:color w:val="auto"/>
        </w:rPr>
        <w:t>UNITED STATES</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739"/>
        <w:spacing w:after="0"/>
        <w:rPr>
          <w:sz w:val="20"/>
          <w:szCs w:val="20"/>
          <w:color w:val="auto"/>
        </w:rPr>
      </w:pPr>
      <w:r>
        <w:rPr>
          <w:rFonts w:ascii="Arial" w:cs="Arial" w:eastAsia="Arial" w:hAnsi="Arial"/>
          <w:sz w:val="19"/>
          <w:szCs w:val="19"/>
          <w:b w:val="1"/>
          <w:bCs w:val="1"/>
          <w:color w:val="auto"/>
        </w:rPr>
        <w:t>Washington, D.C. 20549</w:t>
      </w:r>
    </w:p>
    <w:p>
      <w:pPr>
        <w:spacing w:after="0" w:line="176" w:lineRule="exact"/>
        <w:rPr>
          <w:sz w:val="24"/>
          <w:szCs w:val="24"/>
          <w:color w:val="auto"/>
        </w:rPr>
      </w:pPr>
    </w:p>
    <w:p>
      <w:pPr>
        <w:jc w:val="center"/>
        <w:ind w:right="-739"/>
        <w:spacing w:after="0"/>
        <w:rPr>
          <w:sz w:val="20"/>
          <w:szCs w:val="20"/>
          <w:color w:val="auto"/>
        </w:rPr>
      </w:pPr>
      <w:r>
        <w:rPr>
          <w:rFonts w:ascii="Arial" w:cs="Arial" w:eastAsia="Arial" w:hAnsi="Arial"/>
          <w:sz w:val="29"/>
          <w:szCs w:val="29"/>
          <w:b w:val="1"/>
          <w:bCs w:val="1"/>
          <w:color w:val="auto"/>
        </w:rPr>
        <w:t>FORM 8-K</w:t>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19"/>
          <w:szCs w:val="19"/>
          <w:b w:val="1"/>
          <w:bCs w:val="1"/>
          <w:color w:val="auto"/>
        </w:rPr>
        <w:t>CURRENT REPORT</w:t>
      </w:r>
    </w:p>
    <w:p>
      <w:pPr>
        <w:spacing w:after="0" w:line="218" w:lineRule="exact"/>
        <w:rPr>
          <w:sz w:val="24"/>
          <w:szCs w:val="24"/>
          <w:color w:val="auto"/>
        </w:rPr>
      </w:pPr>
    </w:p>
    <w:p>
      <w:pPr>
        <w:jc w:val="center"/>
        <w:ind w:right="-73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24" w:lineRule="exact"/>
        <w:rPr>
          <w:sz w:val="24"/>
          <w:szCs w:val="24"/>
          <w:color w:val="auto"/>
        </w:rPr>
      </w:pPr>
    </w:p>
    <w:p>
      <w:pPr>
        <w:jc w:val="center"/>
        <w:ind w:right="-739"/>
        <w:spacing w:after="0"/>
        <w:rPr>
          <w:sz w:val="20"/>
          <w:szCs w:val="20"/>
          <w:color w:val="auto"/>
        </w:rPr>
      </w:pPr>
      <w:r>
        <w:rPr>
          <w:rFonts w:ascii="Arial" w:cs="Arial" w:eastAsia="Arial" w:hAnsi="Arial"/>
          <w:sz w:val="16"/>
          <w:szCs w:val="16"/>
          <w:color w:val="auto"/>
        </w:rPr>
        <w:t>Date of Report (Date of earliest event reported): February 1, 2012</w:t>
      </w:r>
    </w:p>
    <w:p>
      <w:pPr>
        <w:spacing w:after="0" w:line="195" w:lineRule="exact"/>
        <w:rPr>
          <w:sz w:val="24"/>
          <w:szCs w:val="24"/>
          <w:color w:val="auto"/>
        </w:rPr>
      </w:pPr>
    </w:p>
    <w:p>
      <w:pPr>
        <w:jc w:val="center"/>
        <w:ind w:right="-739"/>
        <w:spacing w:after="0"/>
        <w:rPr>
          <w:sz w:val="20"/>
          <w:szCs w:val="20"/>
          <w:color w:val="auto"/>
        </w:rPr>
      </w:pPr>
      <w:r>
        <w:rPr>
          <w:rFonts w:ascii="Arial" w:cs="Arial" w:eastAsia="Arial" w:hAnsi="Arial"/>
          <w:sz w:val="38"/>
          <w:szCs w:val="38"/>
          <w:b w:val="1"/>
          <w:bCs w:val="1"/>
          <w:color w:val="auto"/>
        </w:rPr>
        <w:t>MANPOWER INC.</w:t>
      </w:r>
    </w:p>
    <w:p>
      <w:pPr>
        <w:spacing w:after="0" w:line="38" w:lineRule="exact"/>
        <w:rPr>
          <w:sz w:val="24"/>
          <w:szCs w:val="24"/>
          <w:color w:val="auto"/>
        </w:rPr>
      </w:pPr>
    </w:p>
    <w:p>
      <w:pPr>
        <w:jc w:val="center"/>
        <w:ind w:right="-739"/>
        <w:spacing w:after="0"/>
        <w:rPr>
          <w:sz w:val="20"/>
          <w:szCs w:val="20"/>
          <w:color w:val="auto"/>
        </w:rPr>
      </w:pPr>
      <w:r>
        <w:rPr>
          <w:rFonts w:ascii="Arial" w:cs="Arial" w:eastAsia="Arial" w:hAnsi="Arial"/>
          <w:sz w:val="19"/>
          <w:szCs w:val="19"/>
          <w:b w:val="1"/>
          <w:bCs w:val="1"/>
          <w:color w:val="auto"/>
        </w:rPr>
        <w:t>(d/b/a ManpowerGroup)</w:t>
      </w:r>
    </w:p>
    <w:p>
      <w:pPr>
        <w:ind w:left="4100"/>
        <w:spacing w:after="0"/>
        <w:rPr>
          <w:sz w:val="20"/>
          <w:szCs w:val="20"/>
          <w:color w:val="auto"/>
        </w:rPr>
      </w:pPr>
      <w:r>
        <w:rPr>
          <w:rFonts w:ascii="Arial" w:cs="Arial" w:eastAsia="Arial" w:hAnsi="Arial"/>
          <w:sz w:val="16"/>
          <w:szCs w:val="16"/>
          <w:color w:val="auto"/>
        </w:rPr>
        <w:t>(Exact name of registrant as specified in its charter)</w:t>
      </w:r>
    </w:p>
    <w:p>
      <w:pPr>
        <w:spacing w:after="0" w:line="392" w:lineRule="exact"/>
        <w:rPr>
          <w:sz w:val="24"/>
          <w:szCs w:val="24"/>
          <w:color w:val="auto"/>
        </w:rPr>
      </w:pPr>
    </w:p>
    <w:tbl>
      <w:tblPr>
        <w:tblLayout w:type="fixed"/>
        <w:tblInd w:w="1140" w:type="dxa"/>
        <w:tblCellMar>
          <w:top w:w="0" w:type="dxa"/>
          <w:left w:w="0" w:type="dxa"/>
          <w:bottom w:w="0" w:type="dxa"/>
          <w:right w:w="0" w:type="dxa"/>
        </w:tblCellMar>
      </w:tblPr>
      <w:tr>
        <w:trPr>
          <w:trHeight w:val="211"/>
        </w:trPr>
        <w:tc>
          <w:tcPr>
            <w:tcW w:w="3580" w:type="dxa"/>
            <w:vAlign w:val="bottom"/>
            <w:tcBorders>
              <w:bottom w:val="single" w:sz="8" w:color="auto"/>
            </w:tcBorders>
          </w:tcPr>
          <w:p>
            <w:pPr>
              <w:jc w:val="center"/>
              <w:ind w:right="541"/>
              <w:spacing w:after="0"/>
              <w:rPr>
                <w:sz w:val="20"/>
                <w:szCs w:val="20"/>
                <w:color w:val="auto"/>
              </w:rPr>
            </w:pPr>
            <w:r>
              <w:rPr>
                <w:rFonts w:ascii="Arial" w:cs="Arial" w:eastAsia="Arial" w:hAnsi="Arial"/>
                <w:sz w:val="16"/>
                <w:szCs w:val="16"/>
                <w:b w:val="1"/>
                <w:bCs w:val="1"/>
                <w:color w:val="auto"/>
                <w:w w:val="84"/>
              </w:rPr>
              <w:t>Wisconsin</w:t>
            </w:r>
          </w:p>
        </w:tc>
        <w:tc>
          <w:tcPr>
            <w:tcW w:w="2360" w:type="dxa"/>
            <w:vAlign w:val="bottom"/>
            <w:tcBorders>
              <w:bottom w:val="single" w:sz="8" w:color="auto"/>
            </w:tcBorders>
          </w:tcPr>
          <w:p>
            <w:pPr>
              <w:jc w:val="right"/>
              <w:ind w:right="1041"/>
              <w:spacing w:after="0"/>
              <w:rPr>
                <w:sz w:val="20"/>
                <w:szCs w:val="20"/>
                <w:color w:val="auto"/>
              </w:rPr>
            </w:pPr>
            <w:r>
              <w:rPr>
                <w:rFonts w:ascii="Arial" w:cs="Arial" w:eastAsia="Arial" w:hAnsi="Arial"/>
                <w:sz w:val="16"/>
                <w:szCs w:val="16"/>
                <w:b w:val="1"/>
                <w:bCs w:val="1"/>
                <w:color w:val="auto"/>
              </w:rPr>
              <w:t>1-10686</w:t>
            </w:r>
          </w:p>
        </w:tc>
        <w:tc>
          <w:tcPr>
            <w:tcW w:w="3220" w:type="dxa"/>
            <w:vAlign w:val="bottom"/>
            <w:tcBorders>
              <w:bottom w:val="single" w:sz="8" w:color="auto"/>
            </w:tcBorders>
          </w:tcPr>
          <w:p>
            <w:pPr>
              <w:jc w:val="right"/>
              <w:ind w:right="1041"/>
              <w:spacing w:after="0"/>
              <w:rPr>
                <w:sz w:val="20"/>
                <w:szCs w:val="20"/>
                <w:color w:val="auto"/>
              </w:rPr>
            </w:pPr>
            <w:r>
              <w:rPr>
                <w:rFonts w:ascii="Arial" w:cs="Arial" w:eastAsia="Arial" w:hAnsi="Arial"/>
                <w:sz w:val="16"/>
                <w:szCs w:val="16"/>
                <w:b w:val="1"/>
                <w:bCs w:val="1"/>
                <w:color w:val="auto"/>
              </w:rPr>
              <w:t>39-1672779</w:t>
            </w:r>
          </w:p>
        </w:tc>
      </w:tr>
      <w:tr>
        <w:trPr>
          <w:trHeight w:val="174"/>
        </w:trPr>
        <w:tc>
          <w:tcPr>
            <w:tcW w:w="3580" w:type="dxa"/>
            <w:vAlign w:val="bottom"/>
          </w:tcPr>
          <w:p>
            <w:pPr>
              <w:jc w:val="center"/>
              <w:ind w:right="521"/>
              <w:spacing w:after="0" w:line="174" w:lineRule="exact"/>
              <w:rPr>
                <w:sz w:val="20"/>
                <w:szCs w:val="20"/>
                <w:color w:val="auto"/>
              </w:rPr>
            </w:pPr>
            <w:r>
              <w:rPr>
                <w:rFonts w:ascii="Arial" w:cs="Arial" w:eastAsia="Arial" w:hAnsi="Arial"/>
                <w:sz w:val="16"/>
                <w:szCs w:val="16"/>
                <w:b w:val="1"/>
                <w:bCs w:val="1"/>
                <w:color w:val="auto"/>
                <w:w w:val="90"/>
              </w:rPr>
              <w:t>(State or other jurisdiction of</w:t>
            </w:r>
          </w:p>
        </w:tc>
        <w:tc>
          <w:tcPr>
            <w:tcW w:w="2360" w:type="dxa"/>
            <w:vAlign w:val="bottom"/>
          </w:tcPr>
          <w:p>
            <w:pPr>
              <w:jc w:val="center"/>
              <w:ind w:right="321"/>
              <w:spacing w:after="0" w:line="174" w:lineRule="exact"/>
              <w:rPr>
                <w:sz w:val="20"/>
                <w:szCs w:val="20"/>
                <w:color w:val="auto"/>
              </w:rPr>
            </w:pPr>
            <w:r>
              <w:rPr>
                <w:rFonts w:ascii="Arial" w:cs="Arial" w:eastAsia="Arial" w:hAnsi="Arial"/>
                <w:sz w:val="16"/>
                <w:szCs w:val="16"/>
                <w:b w:val="1"/>
                <w:bCs w:val="1"/>
                <w:color w:val="auto"/>
                <w:w w:val="90"/>
              </w:rPr>
              <w:t>(Commission File Number)</w:t>
            </w:r>
          </w:p>
        </w:tc>
        <w:tc>
          <w:tcPr>
            <w:tcW w:w="3220" w:type="dxa"/>
            <w:vAlign w:val="bottom"/>
          </w:tcPr>
          <w:p>
            <w:pPr>
              <w:jc w:val="center"/>
              <w:ind w:left="121"/>
              <w:spacing w:after="0" w:line="174" w:lineRule="exact"/>
              <w:rPr>
                <w:sz w:val="20"/>
                <w:szCs w:val="20"/>
                <w:color w:val="auto"/>
              </w:rPr>
            </w:pPr>
            <w:r>
              <w:rPr>
                <w:rFonts w:ascii="Arial" w:cs="Arial" w:eastAsia="Arial" w:hAnsi="Arial"/>
                <w:sz w:val="16"/>
                <w:szCs w:val="16"/>
                <w:b w:val="1"/>
                <w:bCs w:val="1"/>
                <w:color w:val="auto"/>
                <w:w w:val="92"/>
              </w:rPr>
              <w:t>(IRS Employer Identification No.)</w:t>
            </w:r>
          </w:p>
        </w:tc>
      </w:tr>
      <w:tr>
        <w:trPr>
          <w:trHeight w:val="205"/>
        </w:trPr>
        <w:tc>
          <w:tcPr>
            <w:tcW w:w="3580" w:type="dxa"/>
            <w:vAlign w:val="bottom"/>
          </w:tcPr>
          <w:p>
            <w:pPr>
              <w:jc w:val="center"/>
              <w:ind w:right="541"/>
              <w:spacing w:after="0"/>
              <w:rPr>
                <w:sz w:val="20"/>
                <w:szCs w:val="20"/>
                <w:color w:val="auto"/>
              </w:rPr>
            </w:pPr>
            <w:r>
              <w:rPr>
                <w:rFonts w:ascii="Arial" w:cs="Arial" w:eastAsia="Arial" w:hAnsi="Arial"/>
                <w:sz w:val="16"/>
                <w:szCs w:val="16"/>
                <w:b w:val="1"/>
                <w:bCs w:val="1"/>
                <w:color w:val="auto"/>
                <w:w w:val="92"/>
              </w:rPr>
              <w:t>incorporation)</w:t>
            </w:r>
          </w:p>
        </w:tc>
        <w:tc>
          <w:tcPr>
            <w:tcW w:w="236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603"/>
        </w:trPr>
        <w:tc>
          <w:tcPr>
            <w:tcW w:w="3580" w:type="dxa"/>
            <w:vAlign w:val="bottom"/>
          </w:tcPr>
          <w:p>
            <w:pPr>
              <w:jc w:val="center"/>
              <w:ind w:left="721"/>
              <w:spacing w:after="0"/>
              <w:rPr>
                <w:sz w:val="20"/>
                <w:szCs w:val="20"/>
                <w:color w:val="auto"/>
              </w:rPr>
            </w:pPr>
            <w:r>
              <w:rPr>
                <w:rFonts w:ascii="Arial" w:cs="Arial" w:eastAsia="Arial" w:hAnsi="Arial"/>
                <w:sz w:val="16"/>
                <w:szCs w:val="16"/>
                <w:b w:val="1"/>
                <w:bCs w:val="1"/>
                <w:color w:val="auto"/>
                <w:w w:val="90"/>
              </w:rPr>
              <w:t>100 Manpower Place</w:t>
            </w:r>
          </w:p>
        </w:tc>
        <w:tc>
          <w:tcPr>
            <w:tcW w:w="236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11"/>
        </w:trPr>
        <w:tc>
          <w:tcPr>
            <w:tcW w:w="3580" w:type="dxa"/>
            <w:vAlign w:val="bottom"/>
            <w:tcBorders>
              <w:bottom w:val="single" w:sz="8" w:color="auto"/>
            </w:tcBorders>
          </w:tcPr>
          <w:p>
            <w:pPr>
              <w:jc w:val="center"/>
              <w:ind w:left="741"/>
              <w:spacing w:after="0"/>
              <w:rPr>
                <w:sz w:val="20"/>
                <w:szCs w:val="20"/>
                <w:color w:val="auto"/>
              </w:rPr>
            </w:pPr>
            <w:r>
              <w:rPr>
                <w:rFonts w:ascii="Arial" w:cs="Arial" w:eastAsia="Arial" w:hAnsi="Arial"/>
                <w:sz w:val="16"/>
                <w:szCs w:val="16"/>
                <w:b w:val="1"/>
                <w:bCs w:val="1"/>
                <w:color w:val="auto"/>
                <w:w w:val="89"/>
              </w:rPr>
              <w:t>Milwaukee, Wisconsin</w:t>
            </w:r>
          </w:p>
        </w:tc>
        <w:tc>
          <w:tcPr>
            <w:tcW w:w="236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jc w:val="right"/>
              <w:ind w:right="2121"/>
              <w:spacing w:after="0"/>
              <w:rPr>
                <w:sz w:val="20"/>
                <w:szCs w:val="20"/>
                <w:color w:val="auto"/>
              </w:rPr>
            </w:pPr>
            <w:r>
              <w:rPr>
                <w:rFonts w:ascii="Arial" w:cs="Arial" w:eastAsia="Arial" w:hAnsi="Arial"/>
                <w:sz w:val="16"/>
                <w:szCs w:val="16"/>
                <w:b w:val="1"/>
                <w:bCs w:val="1"/>
                <w:color w:val="auto"/>
              </w:rPr>
              <w:t>53212</w:t>
            </w:r>
          </w:p>
        </w:tc>
      </w:tr>
      <w:tr>
        <w:trPr>
          <w:trHeight w:val="205"/>
        </w:trPr>
        <w:tc>
          <w:tcPr>
            <w:tcW w:w="3580" w:type="dxa"/>
            <w:vAlign w:val="bottom"/>
          </w:tcPr>
          <w:p>
            <w:pPr>
              <w:jc w:val="center"/>
              <w:ind w:left="721"/>
              <w:spacing w:after="0"/>
              <w:rPr>
                <w:sz w:val="20"/>
                <w:szCs w:val="20"/>
                <w:color w:val="auto"/>
              </w:rPr>
            </w:pPr>
            <w:r>
              <w:rPr>
                <w:rFonts w:ascii="Arial" w:cs="Arial" w:eastAsia="Arial" w:hAnsi="Arial"/>
                <w:sz w:val="16"/>
                <w:szCs w:val="16"/>
                <w:b w:val="1"/>
                <w:bCs w:val="1"/>
                <w:color w:val="auto"/>
                <w:w w:val="87"/>
              </w:rPr>
              <w:t>(Address of principal executive offices)</w:t>
            </w:r>
          </w:p>
        </w:tc>
        <w:tc>
          <w:tcPr>
            <w:tcW w:w="2360" w:type="dxa"/>
            <w:vAlign w:val="bottom"/>
          </w:tcPr>
          <w:p>
            <w:pPr>
              <w:spacing w:after="0"/>
              <w:rPr>
                <w:sz w:val="17"/>
                <w:szCs w:val="17"/>
                <w:color w:val="auto"/>
              </w:rPr>
            </w:pPr>
          </w:p>
        </w:tc>
        <w:tc>
          <w:tcPr>
            <w:tcW w:w="3220" w:type="dxa"/>
            <w:vAlign w:val="bottom"/>
          </w:tcPr>
          <w:p>
            <w:pPr>
              <w:jc w:val="center"/>
              <w:ind w:right="1481"/>
              <w:spacing w:after="0"/>
              <w:rPr>
                <w:sz w:val="20"/>
                <w:szCs w:val="20"/>
                <w:color w:val="auto"/>
              </w:rPr>
            </w:pPr>
            <w:r>
              <w:rPr>
                <w:rFonts w:ascii="Arial" w:cs="Arial" w:eastAsia="Arial" w:hAnsi="Arial"/>
                <w:sz w:val="16"/>
                <w:szCs w:val="16"/>
                <w:b w:val="1"/>
                <w:bCs w:val="1"/>
                <w:color w:val="auto"/>
                <w:w w:val="93"/>
              </w:rPr>
              <w:t>(Zip Code)</w:t>
            </w:r>
          </w:p>
        </w:tc>
      </w:tr>
    </w:tbl>
    <w:p>
      <w:pPr>
        <w:spacing w:after="0" w:line="186" w:lineRule="exact"/>
        <w:rPr>
          <w:sz w:val="24"/>
          <w:szCs w:val="24"/>
          <w:color w:val="auto"/>
        </w:rPr>
      </w:pPr>
    </w:p>
    <w:p>
      <w:pPr>
        <w:ind w:left="3540"/>
        <w:spacing w:after="0"/>
        <w:rPr>
          <w:sz w:val="20"/>
          <w:szCs w:val="20"/>
          <w:color w:val="auto"/>
        </w:rPr>
      </w:pPr>
      <w:r>
        <w:rPr>
          <w:rFonts w:ascii="Arial" w:cs="Arial" w:eastAsia="Arial" w:hAnsi="Arial"/>
          <w:sz w:val="16"/>
          <w:szCs w:val="16"/>
          <w:color w:val="auto"/>
        </w:rPr>
        <w:t>Registrant's telephone number, including area code: (414) 961-1000</w:t>
      </w: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420"/>
        <w:spacing w:after="0"/>
        <w:rPr>
          <w:sz w:val="20"/>
          <w:szCs w:val="20"/>
          <w:color w:val="auto"/>
        </w:rPr>
      </w:pPr>
      <w:r>
        <w:rPr>
          <w:rFonts w:ascii="Arial" w:cs="Arial" w:eastAsia="Arial" w:hAnsi="Arial"/>
          <w:sz w:val="16"/>
          <w:szCs w:val="16"/>
          <w:color w:val="auto"/>
        </w:rPr>
        <w:t>Written communications pursuant to Rule 425 under the Securities Act (17 CFR 230.425)</w:t>
      </w:r>
    </w:p>
    <w:p>
      <w:pPr>
        <w:spacing w:after="0" w:line="220" w:lineRule="exact"/>
        <w:rPr>
          <w:sz w:val="24"/>
          <w:szCs w:val="24"/>
          <w:color w:val="auto"/>
        </w:rPr>
      </w:pPr>
    </w:p>
    <w:p>
      <w:pPr>
        <w:ind w:left="420"/>
        <w:spacing w:after="0"/>
        <w:rPr>
          <w:sz w:val="20"/>
          <w:szCs w:val="20"/>
          <w:color w:val="auto"/>
        </w:rPr>
      </w:pPr>
      <w:r>
        <w:rPr>
          <w:rFonts w:ascii="Arial" w:cs="Arial" w:eastAsia="Arial" w:hAnsi="Arial"/>
          <w:sz w:val="16"/>
          <w:szCs w:val="16"/>
          <w:color w:val="auto"/>
        </w:rPr>
        <w:t>Soliciting material pursuant to Rule 14a-12 under the Securities Act (17 CFR 240.14a-12)</w:t>
      </w:r>
    </w:p>
    <w:p>
      <w:pPr>
        <w:spacing w:after="0" w:line="220" w:lineRule="exact"/>
        <w:rPr>
          <w:sz w:val="24"/>
          <w:szCs w:val="24"/>
          <w:color w:val="auto"/>
        </w:rPr>
      </w:pPr>
    </w:p>
    <w:p>
      <w:pPr>
        <w:ind w:left="420"/>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220" w:lineRule="exact"/>
        <w:rPr>
          <w:sz w:val="24"/>
          <w:szCs w:val="24"/>
          <w:color w:val="auto"/>
        </w:rPr>
      </w:pPr>
    </w:p>
    <w:p>
      <w:pPr>
        <w:ind w:left="420"/>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268210"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680"/>
          </w:cols>
          <w:pgMar w:left="240" w:top="412" w:right="97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24" w:lineRule="exact"/>
        <w:rPr>
          <w:sz w:val="20"/>
          <w:szCs w:val="20"/>
          <w:color w:val="auto"/>
        </w:rPr>
      </w:pPr>
    </w:p>
    <w:p>
      <w:pPr>
        <w:ind w:right="20" w:firstLine="571"/>
        <w:spacing w:after="0" w:line="270" w:lineRule="auto"/>
        <w:rPr>
          <w:sz w:val="20"/>
          <w:szCs w:val="20"/>
          <w:color w:val="auto"/>
        </w:rPr>
      </w:pPr>
      <w:r>
        <w:rPr>
          <w:rFonts w:ascii="Arial" w:cs="Arial" w:eastAsia="Arial" w:hAnsi="Arial"/>
          <w:sz w:val="16"/>
          <w:szCs w:val="16"/>
          <w:color w:val="auto"/>
        </w:rPr>
        <w:t>On February 1, 2012, we issued a press release announcing our results of operations for the three months and year ended December 31, 2011. A copy of the press release is attached hereto as Exhibit 99.1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Exhibits</w:t>
      </w:r>
      <w:r>
        <w:rPr>
          <w:rFonts w:ascii="Arial" w:cs="Arial" w:eastAsia="Arial" w:hAnsi="Arial"/>
          <w:sz w:val="16"/>
          <w:szCs w:val="16"/>
          <w:color w:val="auto"/>
        </w:rPr>
        <w: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1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Exhibit No.</w:t>
            </w:r>
          </w:p>
        </w:tc>
        <w:tc>
          <w:tcPr>
            <w:tcW w:w="200" w:type="dxa"/>
            <w:vAlign w:val="bottom"/>
          </w:tcPr>
          <w:p>
            <w:pPr>
              <w:spacing w:after="0"/>
              <w:rPr>
                <w:sz w:val="18"/>
                <w:szCs w:val="18"/>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Description</w:t>
            </w:r>
          </w:p>
        </w:tc>
        <w:tc>
          <w:tcPr>
            <w:tcW w:w="4580" w:type="dxa"/>
            <w:vAlign w:val="bottom"/>
          </w:tcPr>
          <w:p>
            <w:pPr>
              <w:spacing w:after="0"/>
              <w:rPr>
                <w:sz w:val="18"/>
                <w:szCs w:val="18"/>
                <w:color w:val="auto"/>
              </w:rPr>
            </w:pPr>
          </w:p>
        </w:tc>
      </w:tr>
      <w:tr>
        <w:trPr>
          <w:trHeight w:val="178"/>
        </w:trPr>
        <w:tc>
          <w:tcPr>
            <w:tcW w:w="1180" w:type="dxa"/>
            <w:vAlign w:val="bottom"/>
          </w:tcPr>
          <w:p>
            <w:pPr>
              <w:jc w:val="right"/>
              <w:ind w:right="341"/>
              <w:spacing w:after="0" w:line="178" w:lineRule="exact"/>
              <w:rPr>
                <w:sz w:val="20"/>
                <w:szCs w:val="20"/>
                <w:color w:val="auto"/>
              </w:rPr>
            </w:pPr>
            <w:r>
              <w:rPr>
                <w:rFonts w:ascii="Arial" w:cs="Arial" w:eastAsia="Arial" w:hAnsi="Arial"/>
                <w:sz w:val="16"/>
                <w:szCs w:val="16"/>
                <w:color w:val="auto"/>
              </w:rPr>
              <w:t>99.1</w:t>
            </w:r>
          </w:p>
        </w:tc>
        <w:tc>
          <w:tcPr>
            <w:tcW w:w="200" w:type="dxa"/>
            <w:vAlign w:val="bottom"/>
          </w:tcPr>
          <w:p>
            <w:pPr>
              <w:spacing w:after="0"/>
              <w:rPr>
                <w:sz w:val="15"/>
                <w:szCs w:val="15"/>
                <w:color w:val="auto"/>
              </w:rPr>
            </w:pPr>
          </w:p>
        </w:tc>
        <w:tc>
          <w:tcPr>
            <w:tcW w:w="5480" w:type="dxa"/>
            <w:vAlign w:val="bottom"/>
          </w:tcPr>
          <w:p>
            <w:pPr>
              <w:spacing w:after="0" w:line="178" w:lineRule="exact"/>
              <w:rPr>
                <w:sz w:val="20"/>
                <w:szCs w:val="20"/>
                <w:color w:val="auto"/>
              </w:rPr>
            </w:pPr>
            <w:r>
              <w:rPr>
                <w:rFonts w:ascii="Arial" w:cs="Arial" w:eastAsia="Arial" w:hAnsi="Arial"/>
                <w:sz w:val="16"/>
                <w:szCs w:val="16"/>
                <w:color w:val="auto"/>
              </w:rPr>
              <w:t>Press Release dated February 1, 2012</w:t>
            </w:r>
          </w:p>
        </w:tc>
        <w:tc>
          <w:tcPr>
            <w:tcW w:w="4580" w:type="dxa"/>
            <w:vAlign w:val="bottom"/>
          </w:tcPr>
          <w:p>
            <w:pPr>
              <w:spacing w:after="0"/>
              <w:rPr>
                <w:sz w:val="15"/>
                <w:szCs w:val="15"/>
                <w:color w:val="auto"/>
              </w:rPr>
            </w:pPr>
          </w:p>
        </w:tc>
      </w:tr>
      <w:tr>
        <w:trPr>
          <w:trHeight w:val="201"/>
        </w:trPr>
        <w:tc>
          <w:tcPr>
            <w:tcW w:w="1180" w:type="dxa"/>
            <w:vAlign w:val="bottom"/>
          </w:tcPr>
          <w:p>
            <w:pPr>
              <w:jc w:val="right"/>
              <w:ind w:right="341"/>
              <w:spacing w:after="0"/>
              <w:rPr>
                <w:sz w:val="20"/>
                <w:szCs w:val="20"/>
                <w:color w:val="auto"/>
              </w:rPr>
            </w:pPr>
            <w:r>
              <w:rPr>
                <w:rFonts w:ascii="Arial" w:cs="Arial" w:eastAsia="Arial" w:hAnsi="Arial"/>
                <w:sz w:val="16"/>
                <w:szCs w:val="16"/>
                <w:color w:val="auto"/>
              </w:rPr>
              <w:t>99.2</w:t>
            </w:r>
          </w:p>
        </w:tc>
        <w:tc>
          <w:tcPr>
            <w:tcW w:w="20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Presentation materials for February 1, 2012 conference call</w:t>
            </w:r>
          </w:p>
        </w:tc>
        <w:tc>
          <w:tcPr>
            <w:tcW w:w="4580" w:type="dxa"/>
            <w:vAlign w:val="bottom"/>
          </w:tcPr>
          <w:p>
            <w:pPr>
              <w:spacing w:after="0"/>
              <w:rPr>
                <w:sz w:val="17"/>
                <w:szCs w:val="17"/>
                <w:color w:val="auto"/>
              </w:rPr>
            </w:pPr>
          </w:p>
        </w:tc>
      </w:tr>
      <w:tr>
        <w:trPr>
          <w:trHeight w:val="747"/>
        </w:trPr>
        <w:tc>
          <w:tcPr>
            <w:tcW w:w="11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6"/>
          <w:szCs w:val="16"/>
          <w:b w:val="1"/>
          <w:bCs w:val="1"/>
          <w:color w:val="auto"/>
        </w:rPr>
        <w:t>SIGNATURES</w:t>
      </w:r>
    </w:p>
    <w:p>
      <w:pPr>
        <w:spacing w:after="0" w:line="224" w:lineRule="exact"/>
        <w:rPr>
          <w:sz w:val="20"/>
          <w:szCs w:val="20"/>
          <w:color w:val="auto"/>
        </w:rPr>
      </w:pPr>
    </w:p>
    <w:p>
      <w:pPr>
        <w:ind w:firstLine="571"/>
        <w:spacing w:after="0" w:line="27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95"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MANPOWER INC.</w:t>
      </w:r>
    </w:p>
    <w:p>
      <w:pPr>
        <w:spacing w:after="0" w:line="17"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(d/b/a ManpowerGroup)</w:t>
      </w:r>
    </w:p>
    <w:p>
      <w:pPr>
        <w:spacing w:after="0" w:line="186" w:lineRule="exact"/>
        <w:rPr>
          <w:sz w:val="20"/>
          <w:szCs w:val="20"/>
          <w:color w:val="auto"/>
        </w:rPr>
      </w:pPr>
    </w:p>
    <w:p>
      <w:pPr>
        <w:spacing w:after="0"/>
        <w:tabs>
          <w:tab w:leader="none" w:pos="3440" w:val="left"/>
          <w:tab w:leader="none" w:pos="3860" w:val="left"/>
        </w:tabs>
        <w:rPr>
          <w:sz w:val="20"/>
          <w:szCs w:val="20"/>
          <w:color w:val="auto"/>
        </w:rPr>
      </w:pPr>
      <w:r>
        <w:rPr>
          <w:rFonts w:ascii="Arial" w:cs="Arial" w:eastAsia="Arial" w:hAnsi="Arial"/>
          <w:sz w:val="16"/>
          <w:szCs w:val="16"/>
          <w:color w:val="auto"/>
        </w:rPr>
        <w:t>Dated: February 1, 2012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12065</wp:posOffset>
            </wp:positionV>
            <wp:extent cx="203835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8350" cy="15240"/>
                    </a:xfrm>
                    <a:prstGeom prst="rect">
                      <a:avLst/>
                    </a:prstGeom>
                    <a:noFill/>
                  </pic:spPr>
                </pic:pic>
              </a:graphicData>
            </a:graphic>
          </wp:anchor>
        </w:drawing>
      </w:r>
    </w:p>
    <w:p>
      <w:pPr>
        <w:spacing w:after="0" w:line="10"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Michael J. Van Handel</w:t>
      </w:r>
    </w:p>
    <w:p>
      <w:pPr>
        <w:spacing w:after="0" w:line="17"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Executive Vice President and</w:t>
      </w:r>
    </w:p>
    <w:p>
      <w:pPr>
        <w:spacing w:after="0" w:line="6"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26821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120"/>
          </w:cols>
          <w:pgMar w:left="240" w:top="337" w:right="5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5"/>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80" w:type="dxa"/>
            <w:vAlign w:val="bottom"/>
          </w:tcPr>
          <w:p>
            <w:pPr>
              <w:ind w:left="3720"/>
              <w:spacing w:after="0"/>
              <w:rPr>
                <w:sz w:val="20"/>
                <w:szCs w:val="20"/>
                <w:color w:val="auto"/>
              </w:rPr>
            </w:pPr>
            <w:r>
              <w:rPr>
                <w:rFonts w:ascii="Arial" w:cs="Arial" w:eastAsia="Arial" w:hAnsi="Arial"/>
                <w:sz w:val="16"/>
                <w:szCs w:val="16"/>
                <w:b w:val="1"/>
                <w:bCs w:val="1"/>
                <w:color w:val="auto"/>
              </w:rPr>
              <w:t>EXHIBIT INDEX</w:t>
            </w:r>
          </w:p>
        </w:tc>
      </w:tr>
      <w:tr>
        <w:trPr>
          <w:trHeight w:val="410"/>
        </w:trPr>
        <w:tc>
          <w:tcPr>
            <w:tcW w:w="11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Exhibit No.</w:t>
            </w:r>
          </w:p>
        </w:tc>
        <w:tc>
          <w:tcPr>
            <w:tcW w:w="200" w:type="dxa"/>
            <w:vAlign w:val="bottom"/>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Description</w:t>
            </w:r>
          </w:p>
        </w:tc>
      </w:tr>
      <w:tr>
        <w:trPr>
          <w:trHeight w:val="178"/>
        </w:trPr>
        <w:tc>
          <w:tcPr>
            <w:tcW w:w="1180" w:type="dxa"/>
            <w:vAlign w:val="bottom"/>
          </w:tcPr>
          <w:p>
            <w:pPr>
              <w:jc w:val="right"/>
              <w:ind w:right="341"/>
              <w:spacing w:after="0" w:line="178" w:lineRule="exact"/>
              <w:rPr>
                <w:sz w:val="20"/>
                <w:szCs w:val="20"/>
                <w:color w:val="auto"/>
              </w:rPr>
            </w:pPr>
            <w:r>
              <w:rPr>
                <w:rFonts w:ascii="Arial" w:cs="Arial" w:eastAsia="Arial" w:hAnsi="Arial"/>
                <w:sz w:val="16"/>
                <w:szCs w:val="16"/>
                <w:color w:val="auto"/>
              </w:rPr>
              <w:t>99.1</w:t>
            </w:r>
          </w:p>
        </w:tc>
        <w:tc>
          <w:tcPr>
            <w:tcW w:w="200" w:type="dxa"/>
            <w:vAlign w:val="bottom"/>
          </w:tcPr>
          <w:p>
            <w:pPr>
              <w:spacing w:after="0"/>
              <w:rPr>
                <w:sz w:val="15"/>
                <w:szCs w:val="15"/>
                <w:color w:val="auto"/>
              </w:rPr>
            </w:pPr>
          </w:p>
        </w:tc>
        <w:tc>
          <w:tcPr>
            <w:tcW w:w="5480" w:type="dxa"/>
            <w:vAlign w:val="bottom"/>
          </w:tcPr>
          <w:p>
            <w:pPr>
              <w:spacing w:after="0" w:line="178" w:lineRule="exact"/>
              <w:rPr>
                <w:sz w:val="20"/>
                <w:szCs w:val="20"/>
                <w:color w:val="auto"/>
              </w:rPr>
            </w:pPr>
            <w:r>
              <w:rPr>
                <w:rFonts w:ascii="Arial" w:cs="Arial" w:eastAsia="Arial" w:hAnsi="Arial"/>
                <w:sz w:val="16"/>
                <w:szCs w:val="16"/>
                <w:color w:val="auto"/>
              </w:rPr>
              <w:t>Press Release dated February 1, 2012</w:t>
            </w:r>
          </w:p>
        </w:tc>
      </w:tr>
      <w:tr>
        <w:trPr>
          <w:trHeight w:val="201"/>
        </w:trPr>
        <w:tc>
          <w:tcPr>
            <w:tcW w:w="1180" w:type="dxa"/>
            <w:vAlign w:val="bottom"/>
          </w:tcPr>
          <w:p>
            <w:pPr>
              <w:jc w:val="right"/>
              <w:ind w:right="341"/>
              <w:spacing w:after="0"/>
              <w:rPr>
                <w:sz w:val="20"/>
                <w:szCs w:val="20"/>
                <w:color w:val="auto"/>
              </w:rPr>
            </w:pPr>
            <w:r>
              <w:rPr>
                <w:rFonts w:ascii="Arial" w:cs="Arial" w:eastAsia="Arial" w:hAnsi="Arial"/>
                <w:sz w:val="16"/>
                <w:szCs w:val="16"/>
                <w:color w:val="auto"/>
              </w:rPr>
              <w:t>99.2</w:t>
            </w:r>
          </w:p>
        </w:tc>
        <w:tc>
          <w:tcPr>
            <w:tcW w:w="20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Presentation materials for February 1, 2012 conference call</w:t>
            </w:r>
          </w:p>
        </w:tc>
      </w:tr>
    </w:tbl>
    <w:p>
      <w:pPr>
        <w:sectPr>
          <w:pgSz w:w="11900" w:h="16838" w:orient="portrait"/>
          <w:cols w:equalWidth="0" w:num="1">
            <w:col w:w="10219"/>
          </w:cols>
          <w:pgMar w:left="24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4420"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4"/>
          <w:szCs w:val="14"/>
          <w:b w:val="1"/>
          <w:bCs w:val="1"/>
          <w:color w:val="auto"/>
        </w:rPr>
        <w:t>Contact:</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Mike Van Handel</w:t>
      </w:r>
    </w:p>
    <w:p>
      <w:pPr>
        <w:spacing w:after="0" w:line="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+1.414.906.6305</w:t>
      </w:r>
    </w:p>
    <w:p>
      <w:pPr>
        <w:spacing w:after="0" w:line="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michael.vanhandel@manpowergroup.com</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ManpowerGroup Reports 4</w:t>
      </w:r>
      <w:r>
        <w:rPr>
          <w:rFonts w:ascii="Arial" w:cs="Arial" w:eastAsia="Arial" w:hAnsi="Arial"/>
          <w:sz w:val="22"/>
          <w:szCs w:val="22"/>
          <w:b w:val="1"/>
          <w:bCs w:val="1"/>
          <w:color w:val="auto"/>
          <w:vertAlign w:val="superscript"/>
        </w:rPr>
        <w:t>th</w:t>
      </w:r>
      <w:r>
        <w:rPr>
          <w:rFonts w:ascii="Arial" w:cs="Arial" w:eastAsia="Arial" w:hAnsi="Arial"/>
          <w:sz w:val="16"/>
          <w:szCs w:val="16"/>
          <w:b w:val="1"/>
          <w:bCs w:val="1"/>
          <w:color w:val="auto"/>
        </w:rPr>
        <w:t xml:space="preserve"> Quarter and Full Year 2011 Results</w:t>
      </w:r>
    </w:p>
    <w:p>
      <w:pPr>
        <w:spacing w:after="0" w:line="342" w:lineRule="exact"/>
        <w:rPr>
          <w:sz w:val="20"/>
          <w:szCs w:val="20"/>
          <w:color w:val="auto"/>
        </w:rPr>
      </w:pPr>
    </w:p>
    <w:p>
      <w:pPr>
        <w:ind w:right="400" w:firstLine="547"/>
        <w:spacing w:after="0" w:line="316" w:lineRule="auto"/>
        <w:rPr>
          <w:sz w:val="20"/>
          <w:szCs w:val="20"/>
          <w:color w:val="auto"/>
        </w:rPr>
      </w:pPr>
      <w:r>
        <w:rPr>
          <w:rFonts w:ascii="Arial" w:cs="Arial" w:eastAsia="Arial" w:hAnsi="Arial"/>
          <w:sz w:val="14"/>
          <w:szCs w:val="14"/>
          <w:b w:val="1"/>
          <w:bCs w:val="1"/>
          <w:color w:val="auto"/>
        </w:rPr>
        <w:t xml:space="preserve">MILWAUKEE, February 1, 2012 -- </w:t>
      </w:r>
      <w:r>
        <w:rPr>
          <w:rFonts w:ascii="Arial" w:cs="Arial" w:eastAsia="Arial" w:hAnsi="Arial"/>
          <w:sz w:val="14"/>
          <w:szCs w:val="14"/>
          <w:color w:val="auto"/>
        </w:rPr>
        <w:t>ManpowerGroup (NYSE: MAN) today reported net earnings of 78 cents per diluted share for the three months ended</w:t>
      </w:r>
      <w:r>
        <w:rPr>
          <w:rFonts w:ascii="Arial" w:cs="Arial" w:eastAsia="Arial" w:hAnsi="Arial"/>
          <w:sz w:val="14"/>
          <w:szCs w:val="14"/>
          <w:b w:val="1"/>
          <w:bCs w:val="1"/>
          <w:color w:val="auto"/>
        </w:rPr>
        <w:t xml:space="preserve"> </w:t>
      </w:r>
      <w:r>
        <w:rPr>
          <w:rFonts w:ascii="Arial" w:cs="Arial" w:eastAsia="Arial" w:hAnsi="Arial"/>
          <w:sz w:val="14"/>
          <w:szCs w:val="14"/>
          <w:color w:val="auto"/>
        </w:rPr>
        <w:t>December 31, 2011 compared to a net loss of $4.29 per share in the prior period. The net earnings in the quarter were $63.6 million compared to a net loss of $350.4 million a year earlier. Revenues for the fourth quarter totaled $5.5 billion, an increase of 5 percent from the year earlier period, or an increase of 6 percent in constant currency.</w:t>
      </w:r>
    </w:p>
    <w:p>
      <w:pPr>
        <w:spacing w:after="0" w:line="129" w:lineRule="exact"/>
        <w:rPr>
          <w:sz w:val="20"/>
          <w:szCs w:val="20"/>
          <w:color w:val="auto"/>
        </w:rPr>
      </w:pPr>
    </w:p>
    <w:p>
      <w:pPr>
        <w:ind w:right="660"/>
        <w:spacing w:after="0" w:line="304" w:lineRule="auto"/>
        <w:rPr>
          <w:sz w:val="20"/>
          <w:szCs w:val="20"/>
          <w:color w:val="auto"/>
        </w:rPr>
      </w:pPr>
      <w:r>
        <w:rPr>
          <w:rFonts w:ascii="Arial" w:cs="Arial" w:eastAsia="Arial" w:hAnsi="Arial"/>
          <w:sz w:val="15"/>
          <w:szCs w:val="15"/>
          <w:color w:val="auto"/>
        </w:rPr>
        <w:t>Included in the current year fourth quarter results is a reorganization charge, primarily related to office consolidations and severance costs, of $20.5 million ($16.3 million after tax or 20 cents per diluted share). Net earnings in the quarter were not significantly impacted by changes in foreign currencies.</w:t>
      </w:r>
    </w:p>
    <w:p>
      <w:pPr>
        <w:spacing w:after="0" w:line="134" w:lineRule="exact"/>
        <w:rPr>
          <w:sz w:val="20"/>
          <w:szCs w:val="20"/>
          <w:color w:val="auto"/>
        </w:rPr>
      </w:pPr>
    </w:p>
    <w:p>
      <w:pPr>
        <w:ind w:right="720"/>
        <w:spacing w:after="0" w:line="270" w:lineRule="auto"/>
        <w:rPr>
          <w:sz w:val="20"/>
          <w:szCs w:val="20"/>
          <w:color w:val="auto"/>
        </w:rPr>
      </w:pPr>
      <w:r>
        <w:rPr>
          <w:rFonts w:ascii="Arial" w:cs="Arial" w:eastAsia="Arial" w:hAnsi="Arial"/>
          <w:sz w:val="16"/>
          <w:szCs w:val="16"/>
          <w:color w:val="auto"/>
        </w:rPr>
        <w:t>Prior year fourth quarter results included a goodwill and intangible asset impairment charge of $4.70 per diluted share and a reorganization charge of 25 cents per diluted share.</w:t>
      </w:r>
    </w:p>
    <w:p>
      <w:pPr>
        <w:spacing w:after="0" w:line="157" w:lineRule="exact"/>
        <w:rPr>
          <w:sz w:val="20"/>
          <w:szCs w:val="20"/>
          <w:color w:val="auto"/>
        </w:rPr>
      </w:pPr>
    </w:p>
    <w:p>
      <w:pPr>
        <w:ind w:right="480"/>
        <w:spacing w:after="0" w:line="343" w:lineRule="auto"/>
        <w:rPr>
          <w:sz w:val="20"/>
          <w:szCs w:val="20"/>
          <w:color w:val="auto"/>
        </w:rPr>
      </w:pPr>
      <w:r>
        <w:rPr>
          <w:rFonts w:ascii="Arial" w:cs="Arial" w:eastAsia="Arial" w:hAnsi="Arial"/>
          <w:sz w:val="14"/>
          <w:szCs w:val="14"/>
          <w:color w:val="auto"/>
        </w:rPr>
        <w:t>“We had a strong fourth quarter performance,” Jeffrey A. Joerres, ManpowerGroup Chairman and CEO, said. “The team executed well both operationally and strategically – we were able to achieve a 29% increase in underlying operating profit for the fourth quarter and 61% for the year, while substantially moving forward our strategic drivers.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color w:val="auto"/>
        </w:rPr>
        <w:t>“Our Solutions business continued to gain momentum as our clients are valuing our portfolio of offerings. Asia continued to lead the pack in revenue and profitability growth.</w:t>
      </w:r>
    </w:p>
    <w:p>
      <w:pPr>
        <w:spacing w:after="0" w:line="208" w:lineRule="exact"/>
        <w:rPr>
          <w:sz w:val="20"/>
          <w:szCs w:val="20"/>
          <w:color w:val="auto"/>
        </w:rPr>
      </w:pPr>
    </w:p>
    <w:p>
      <w:pPr>
        <w:ind w:right="500"/>
        <w:spacing w:after="0" w:line="343" w:lineRule="auto"/>
        <w:rPr>
          <w:sz w:val="20"/>
          <w:szCs w:val="20"/>
          <w:color w:val="auto"/>
        </w:rPr>
      </w:pPr>
      <w:r>
        <w:rPr>
          <w:rFonts w:ascii="Arial" w:cs="Arial" w:eastAsia="Arial" w:hAnsi="Arial"/>
          <w:sz w:val="14"/>
          <w:szCs w:val="14"/>
          <w:color w:val="auto"/>
        </w:rPr>
        <w:t>“We are cautiously optimistic about the first quarter, given the economic back drop, but any sizable disruption in Europe would affect our performance,” added Joerres. “We are anticipating the first quarter of 2012 diluted earnings per share to be in the range of 30 cents to 38 cents with an unfavorable currency impact of 2 cents per share.”</w:t>
      </w:r>
    </w:p>
    <w:p>
      <w:pPr>
        <w:spacing w:after="0" w:line="111" w:lineRule="exact"/>
        <w:rPr>
          <w:sz w:val="20"/>
          <w:szCs w:val="20"/>
          <w:color w:val="auto"/>
        </w:rPr>
      </w:pPr>
    </w:p>
    <w:p>
      <w:pPr>
        <w:jc w:val="both"/>
        <w:ind w:right="780"/>
        <w:spacing w:after="0" w:line="259" w:lineRule="auto"/>
        <w:rPr>
          <w:sz w:val="20"/>
          <w:szCs w:val="20"/>
          <w:color w:val="auto"/>
        </w:rPr>
      </w:pPr>
      <w:r>
        <w:rPr>
          <w:rFonts w:ascii="Arial" w:cs="Arial" w:eastAsia="Arial" w:hAnsi="Arial"/>
          <w:sz w:val="16"/>
          <w:szCs w:val="16"/>
          <w:color w:val="auto"/>
        </w:rPr>
        <w:t>Net earnings per diluted share for the year ended December 31, 2011 was $3.04 compared to a loss of $3.26 per diluted share in 2010. Net earnings were $251.6 million compared to a loss of $263.6 million in the prior year. Revenues for the year were $22.0 billion, an increase of 17 percent from the prior year, or 12 percent in constant currency.</w:t>
      </w:r>
    </w:p>
    <w:p>
      <w:pPr>
        <w:spacing w:after="0" w:line="165" w:lineRule="exact"/>
        <w:rPr>
          <w:sz w:val="20"/>
          <w:szCs w:val="20"/>
          <w:color w:val="auto"/>
        </w:rPr>
      </w:pPr>
    </w:p>
    <w:p>
      <w:pPr>
        <w:ind w:right="480"/>
        <w:spacing w:after="0" w:line="259" w:lineRule="auto"/>
        <w:rPr>
          <w:sz w:val="20"/>
          <w:szCs w:val="20"/>
          <w:color w:val="auto"/>
        </w:rPr>
      </w:pPr>
      <w:r>
        <w:rPr>
          <w:rFonts w:ascii="Arial" w:cs="Arial" w:eastAsia="Arial" w:hAnsi="Arial"/>
          <w:sz w:val="16"/>
          <w:szCs w:val="16"/>
          <w:color w:val="auto"/>
        </w:rPr>
        <w:t>Earnings per diluted share for the full year 2011 include the fourth quarter reorganization costs discussed above of 20 cents per diluted share. Additionally, 2011 results were favorably impacted by 22 cents per diluted share due to changes in foreign currencies compared to the prior year. The full year 2010 results include the goodwill and intangible asset impairment charge and reorganization costs discussed above of $4.98 per diluted share for the year.</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In conjunction with its fourth quarter and full year earnings release, ManpowerGroup will broadcast its conference call live over the Internet on February 1, 2012 at 7:30 a.m.</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CT (8:30 a.m. ET). Interested parties are invited to listen to the webcast and view the presentation by logging on to </w:t>
      </w:r>
      <w:r>
        <w:rPr>
          <w:rFonts w:ascii="Arial" w:cs="Arial" w:eastAsia="Arial" w:hAnsi="Arial"/>
          <w:sz w:val="16"/>
          <w:szCs w:val="16"/>
          <w:u w:val="single" w:color="auto"/>
          <w:color w:val="auto"/>
        </w:rPr>
        <w:t>http://www.manpowergroup.com/investors</w:t>
      </w:r>
      <w:r>
        <w:rPr>
          <w:rFonts w:ascii="Arial" w:cs="Arial" w:eastAsia="Arial" w:hAnsi="Arial"/>
          <w:sz w:val="16"/>
          <w:szCs w:val="16"/>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financial information referenced in the conference call can be found at </w:t>
      </w:r>
      <w:r>
        <w:rPr>
          <w:rFonts w:ascii="Arial" w:cs="Arial" w:eastAsia="Arial" w:hAnsi="Arial"/>
          <w:sz w:val="16"/>
          <w:szCs w:val="16"/>
          <w:u w:val="single" w:color="auto"/>
          <w:color w:val="auto"/>
        </w:rPr>
        <w:t>http://www.manpowergroup.com/investors</w:t>
      </w:r>
      <w:r>
        <w:rPr>
          <w:rFonts w:ascii="Arial" w:cs="Arial" w:eastAsia="Arial" w:hAnsi="Arial"/>
          <w:sz w:val="16"/>
          <w:szCs w:val="16"/>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r>
        <w:rPr>
          <w:rFonts w:ascii="Arial" w:cs="Arial" w:eastAsia="Arial" w:hAnsi="Arial"/>
          <w:sz w:val="16"/>
          <w:szCs w:val="16"/>
          <w:color w:val="auto"/>
        </w:rPr>
        <w:t>™</w:t>
      </w:r>
    </w:p>
    <w:p>
      <w:pPr>
        <w:spacing w:after="0" w:line="21" w:lineRule="exact"/>
        <w:rPr>
          <w:sz w:val="20"/>
          <w:szCs w:val="20"/>
          <w:color w:val="auto"/>
        </w:rPr>
      </w:pPr>
    </w:p>
    <w:p>
      <w:pPr>
        <w:ind w:right="420"/>
        <w:spacing w:after="0" w:line="288" w:lineRule="auto"/>
        <w:rPr>
          <w:sz w:val="20"/>
          <w:szCs w:val="20"/>
          <w:color w:val="auto"/>
        </w:rPr>
      </w:pPr>
      <w:r>
        <w:rPr>
          <w:rFonts w:ascii="Arial" w:cs="Arial" w:eastAsia="Arial" w:hAnsi="Arial"/>
          <w:sz w:val="14"/>
          <w:szCs w:val="14"/>
          <w:color w:val="auto"/>
        </w:rPr>
        <w:t>ManpowerGroup™ (NYSE: MAN), the world leader in innovative workforce solutions, creates and delivers high-impact solutions that enable our clients to achieve their business goals and enhance their competitiveness. With over 60 years of experience, our $22 billion company creates unique time to value through a comprehensive suite of innovative solutions that help clients win in the Human Age. These solutions cover an entire range of talent-driven needs from recruitment and assessment, training and development, and career management, to outsourcing and workforce consulting. ManpowerGroup maintains the world's largest and industry-leading network of nearly 3,800 offices in 80 countries and territories, generating a dynamic mix of an unmatched global footprint with valuable insight and local expertise to meet the needs of its 400,000 clients per year, across all industry sectors, small and medium-sized enterprises, local, multinational and global companies. By connecting our deep understanding of human potential to the ambitions of clients, ManpowerGroup helps the organizations and individuals we serve achieve more than they imagined — because their success leads to our success. And by creating these powerful connections, we create power that drives organizations forward, accelerates personal success and builds more sustainable communities. We help power the world of work. The ManpowerGroup suite of solutions is offered through ManpowerGroup™ Solutions, Manpower®, Experis™ and Right Management®. Learn more about how the ManpowerGroup can help you win in the Human Age at www.manpowergroup.com.</w:t>
      </w:r>
    </w:p>
    <w:p>
      <w:pPr>
        <w:spacing w:after="0" w:line="173" w:lineRule="exact"/>
        <w:rPr>
          <w:sz w:val="20"/>
          <w:szCs w:val="20"/>
          <w:color w:val="auto"/>
        </w:rPr>
      </w:pPr>
    </w:p>
    <w:p>
      <w:pPr>
        <w:ind w:right="360"/>
        <w:spacing w:after="0" w:line="255" w:lineRule="auto"/>
        <w:rPr>
          <w:sz w:val="20"/>
          <w:szCs w:val="20"/>
          <w:color w:val="auto"/>
        </w:rPr>
      </w:pPr>
      <w:r>
        <w:rPr>
          <w:rFonts w:ascii="Arial" w:cs="Arial" w:eastAsia="Arial" w:hAnsi="Arial"/>
          <w:sz w:val="16"/>
          <w:szCs w:val="16"/>
          <w:color w:val="auto"/>
        </w:rPr>
        <w:t>ManpowerGroup is the most trusted brand in the industry, being the only company in our industry to be named to the Ethisphere Institute's 2011 World's Most Ethical Companies list for our proven commitment to ethical business practices, including an outstanding commitment to ethical leadership, compliance practices and corporate social responsibility. In addition, ManpowerGroup has also been recognized as the industry leader by Fortune magazine, who named the company in first place on its 2011 list of the Most Admired Companies in the temporary help sector.</w:t>
      </w:r>
    </w:p>
    <w:p>
      <w:pPr>
        <w:spacing w:after="0" w:line="193" w:lineRule="exact"/>
        <w:rPr>
          <w:sz w:val="20"/>
          <w:szCs w:val="20"/>
          <w:color w:val="auto"/>
        </w:rPr>
      </w:pPr>
    </w:p>
    <w:p>
      <w:pPr>
        <w:jc w:val="both"/>
        <w:ind w:right="440"/>
        <w:spacing w:after="0" w:line="259" w:lineRule="auto"/>
        <w:rPr>
          <w:sz w:val="20"/>
          <w:szCs w:val="20"/>
          <w:color w:val="auto"/>
        </w:rPr>
      </w:pPr>
      <w:r>
        <w:rPr>
          <w:rFonts w:ascii="Arial" w:cs="Arial" w:eastAsia="Arial" w:hAnsi="Arial"/>
          <w:sz w:val="16"/>
          <w:szCs w:val="16"/>
          <w:color w:val="auto"/>
        </w:rPr>
        <w:t>In January 2011, at the World Economic Forum Annual Meeting in Davos, Switzerland, ManpowerGroup announced the world has entered the Human Age, where talent has replaced capital as the key competitive differentiator. This concept continues to resonate and was echoed as a core theme of the 2012 Annual Meeting of the World Economic Forum in Davos. Learn more about this new age at www.manpowergroup.com/humanage</w:t>
      </w:r>
    </w:p>
    <w:p>
      <w:pPr>
        <w:spacing w:after="0" w:line="189" w:lineRule="exact"/>
        <w:rPr>
          <w:sz w:val="20"/>
          <w:szCs w:val="20"/>
          <w:color w:val="auto"/>
        </w:rPr>
      </w:pPr>
    </w:p>
    <w:p>
      <w:pPr>
        <w:ind w:right="700"/>
        <w:spacing w:after="0" w:line="270" w:lineRule="auto"/>
        <w:rPr>
          <w:sz w:val="20"/>
          <w:szCs w:val="20"/>
          <w:color w:val="auto"/>
        </w:rPr>
      </w:pPr>
      <w:r>
        <w:rPr>
          <w:rFonts w:ascii="Arial" w:cs="Arial" w:eastAsia="Arial" w:hAnsi="Arial"/>
          <w:sz w:val="16"/>
          <w:szCs w:val="16"/>
          <w:color w:val="auto"/>
        </w:rPr>
        <w:t>Follow ManpowerGroup Chairman and CEO Jeff Joerres on Twitter: twitter.com/manpowergroupjj. Joerres is one of only six Fortune 500 CEOs who leverages a Twitter account to get his message out.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1" w:lineRule="exact"/>
        <w:rPr>
          <w:sz w:val="20"/>
          <w:szCs w:val="20"/>
          <w:color w:val="auto"/>
        </w:rPr>
      </w:pPr>
    </w:p>
    <w:p>
      <w:pPr>
        <w:ind w:right="380"/>
        <w:spacing w:after="0" w:line="250" w:lineRule="auto"/>
        <w:rPr>
          <w:sz w:val="20"/>
          <w:szCs w:val="20"/>
          <w:color w:val="auto"/>
        </w:rPr>
      </w:pPr>
      <w:r>
        <w:rPr>
          <w:rFonts w:ascii="Arial" w:cs="Arial" w:eastAsia="Arial" w:hAnsi="Arial"/>
          <w:sz w:val="16"/>
          <w:szCs w:val="16"/>
          <w:color w:val="auto"/>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2010, which information is incorporated herein by reference.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26821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120" w:right="219" w:bottom="554" w:gutter="0" w:footer="0" w:header="0"/>
        </w:sectPr>
      </w:pPr>
    </w:p>
    <w:bookmarkStart w:id="5" w:name="page6"/>
    <w:bookmarkEnd w:id="5"/>
    <w:p>
      <w:pPr>
        <w:jc w:val="center"/>
        <w:ind w:right="135"/>
        <w:spacing w:after="0"/>
        <w:rPr>
          <w:sz w:val="20"/>
          <w:szCs w:val="20"/>
          <w:color w:val="auto"/>
        </w:rPr>
      </w:pPr>
      <w:r>
        <w:rPr>
          <w:rFonts w:ascii="Arial" w:cs="Arial" w:eastAsia="Arial" w:hAnsi="Arial"/>
          <w:sz w:val="19"/>
          <w:szCs w:val="19"/>
          <w:color w:val="auto"/>
        </w:rPr>
        <w:t>ManpowerGroup</w:t>
      </w:r>
    </w:p>
    <w:p>
      <w:pPr>
        <w:spacing w:after="0" w:line="16" w:lineRule="exact"/>
        <w:rPr>
          <w:sz w:val="20"/>
          <w:szCs w:val="20"/>
          <w:color w:val="auto"/>
        </w:rPr>
      </w:pPr>
    </w:p>
    <w:p>
      <w:pPr>
        <w:jc w:val="center"/>
        <w:ind w:right="135"/>
        <w:spacing w:after="0"/>
        <w:rPr>
          <w:sz w:val="20"/>
          <w:szCs w:val="20"/>
          <w:color w:val="auto"/>
        </w:rPr>
      </w:pPr>
      <w:r>
        <w:rPr>
          <w:rFonts w:ascii="Arial" w:cs="Arial" w:eastAsia="Arial" w:hAnsi="Arial"/>
          <w:sz w:val="16"/>
          <w:szCs w:val="16"/>
          <w:color w:val="auto"/>
        </w:rPr>
        <w:t>Results of Operations</w:t>
      </w:r>
    </w:p>
    <w:p>
      <w:pPr>
        <w:spacing w:after="0" w:line="3" w:lineRule="exact"/>
        <w:rPr>
          <w:sz w:val="20"/>
          <w:szCs w:val="20"/>
          <w:color w:val="auto"/>
        </w:rPr>
      </w:pPr>
    </w:p>
    <w:p>
      <w:pPr>
        <w:jc w:val="center"/>
        <w:ind w:right="135"/>
        <w:spacing w:after="0"/>
        <w:rPr>
          <w:sz w:val="20"/>
          <w:szCs w:val="20"/>
          <w:color w:val="auto"/>
        </w:rPr>
      </w:pPr>
      <w:r>
        <w:rPr>
          <w:rFonts w:ascii="Arial" w:cs="Arial" w:eastAsia="Arial" w:hAnsi="Arial"/>
          <w:sz w:val="16"/>
          <w:szCs w:val="16"/>
          <w:color w:val="auto"/>
        </w:rPr>
        <w:t>(In millions, except per share data)</w:t>
      </w:r>
    </w:p>
    <w:p>
      <w:pPr>
        <w:spacing w:after="0" w:line="182"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5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6"/>
                <w:szCs w:val="16"/>
                <w:b w:val="1"/>
                <w:bCs w:val="1"/>
                <w:color w:val="auto"/>
                <w:w w:val="91"/>
              </w:rPr>
              <w:t>Three Months Ended December 31</w:t>
            </w:r>
          </w:p>
        </w:tc>
        <w:tc>
          <w:tcPr>
            <w:tcW w:w="11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4"/>
        </w:trPr>
        <w:tc>
          <w:tcPr>
            <w:tcW w:w="5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tcBorders>
              <w:bottom w:val="single" w:sz="8" w:color="auto"/>
            </w:tcBorders>
            <w:gridSpan w:val="3"/>
          </w:tcPr>
          <w:p>
            <w:pPr>
              <w:ind w:left="860"/>
              <w:spacing w:after="0"/>
              <w:rPr>
                <w:sz w:val="20"/>
                <w:szCs w:val="20"/>
                <w:color w:val="auto"/>
              </w:rPr>
            </w:pPr>
            <w:r>
              <w:rPr>
                <w:rFonts w:ascii="Arial" w:cs="Arial" w:eastAsia="Arial" w:hAnsi="Arial"/>
                <w:sz w:val="16"/>
                <w:szCs w:val="16"/>
                <w:b w:val="1"/>
                <w:bCs w:val="1"/>
                <w:color w:val="auto"/>
              </w:rPr>
              <w:t>% Variance</w:t>
            </w:r>
          </w:p>
        </w:tc>
        <w:tc>
          <w:tcPr>
            <w:tcW w:w="140" w:type="dxa"/>
            <w:vAlign w:val="bottom"/>
          </w:tcPr>
          <w:p>
            <w:pPr>
              <w:spacing w:after="0"/>
              <w:rPr>
                <w:sz w:val="16"/>
                <w:szCs w:val="16"/>
                <w:color w:val="auto"/>
              </w:rPr>
            </w:pPr>
          </w:p>
        </w:tc>
      </w:tr>
      <w:tr>
        <w:trPr>
          <w:trHeight w:val="174"/>
        </w:trPr>
        <w:tc>
          <w:tcPr>
            <w:tcW w:w="5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ind w:left="280"/>
              <w:spacing w:after="0" w:line="174" w:lineRule="exact"/>
              <w:rPr>
                <w:sz w:val="20"/>
                <w:szCs w:val="20"/>
                <w:color w:val="auto"/>
              </w:rPr>
            </w:pPr>
            <w:r>
              <w:rPr>
                <w:rFonts w:ascii="Arial" w:cs="Arial" w:eastAsia="Arial" w:hAnsi="Arial"/>
                <w:sz w:val="16"/>
                <w:szCs w:val="16"/>
                <w:b w:val="1"/>
                <w:bCs w:val="1"/>
                <w:color w:val="auto"/>
              </w:rPr>
              <w:t>Amount</w:t>
            </w:r>
          </w:p>
        </w:tc>
        <w:tc>
          <w:tcPr>
            <w:tcW w:w="1140" w:type="dxa"/>
            <w:vAlign w:val="bottom"/>
          </w:tcPr>
          <w:p>
            <w:pPr>
              <w:jc w:val="right"/>
              <w:ind w:right="181"/>
              <w:spacing w:after="0" w:line="174" w:lineRule="exact"/>
              <w:rPr>
                <w:sz w:val="20"/>
                <w:szCs w:val="20"/>
                <w:color w:val="auto"/>
              </w:rPr>
            </w:pPr>
            <w:r>
              <w:rPr>
                <w:rFonts w:ascii="Arial" w:cs="Arial" w:eastAsia="Arial" w:hAnsi="Arial"/>
                <w:sz w:val="16"/>
                <w:szCs w:val="16"/>
                <w:b w:val="1"/>
                <w:bCs w:val="1"/>
                <w:color w:val="auto"/>
              </w:rPr>
              <w:t>Constant</w:t>
            </w:r>
          </w:p>
        </w:tc>
        <w:tc>
          <w:tcPr>
            <w:tcW w:w="140" w:type="dxa"/>
            <w:vAlign w:val="bottom"/>
          </w:tcPr>
          <w:p>
            <w:pPr>
              <w:spacing w:after="0"/>
              <w:rPr>
                <w:sz w:val="15"/>
                <w:szCs w:val="15"/>
                <w:color w:val="auto"/>
              </w:rPr>
            </w:pPr>
          </w:p>
        </w:tc>
      </w:tr>
      <w:tr>
        <w:trPr>
          <w:trHeight w:val="211"/>
        </w:trPr>
        <w:tc>
          <w:tcPr>
            <w:tcW w:w="5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2010</w:t>
            </w:r>
          </w:p>
        </w:tc>
        <w:tc>
          <w:tcPr>
            <w:tcW w:w="220" w:type="dxa"/>
            <w:vAlign w:val="bottom"/>
          </w:tcPr>
          <w:p>
            <w:pPr>
              <w:spacing w:after="0"/>
              <w:rPr>
                <w:sz w:val="18"/>
                <w:szCs w:val="18"/>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Reported</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Currency</w:t>
            </w:r>
          </w:p>
        </w:tc>
        <w:tc>
          <w:tcPr>
            <w:tcW w:w="140" w:type="dxa"/>
            <w:vAlign w:val="bottom"/>
          </w:tcPr>
          <w:p>
            <w:pPr>
              <w:spacing w:after="0"/>
              <w:rPr>
                <w:sz w:val="18"/>
                <w:szCs w:val="18"/>
                <w:color w:val="auto"/>
              </w:rPr>
            </w:pPr>
          </w:p>
        </w:tc>
      </w:tr>
      <w:tr>
        <w:trPr>
          <w:trHeight w:val="190"/>
        </w:trPr>
        <w:tc>
          <w:tcPr>
            <w:tcW w:w="5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0"/>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5,484.0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5,209.6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r>
      <w:tr>
        <w:trPr>
          <w:trHeight w:val="190"/>
        </w:trPr>
        <w:tc>
          <w:tcPr>
            <w:tcW w:w="5160" w:type="dxa"/>
            <w:vAlign w:val="bottom"/>
          </w:tcPr>
          <w:p>
            <w:pPr>
              <w:spacing w:after="0"/>
              <w:rPr>
                <w:sz w:val="20"/>
                <w:szCs w:val="20"/>
                <w:color w:val="auto"/>
              </w:rPr>
            </w:pPr>
            <w:r>
              <w:rPr>
                <w:rFonts w:ascii="Arial" w:cs="Arial" w:eastAsia="Arial" w:hAnsi="Arial"/>
                <w:sz w:val="16"/>
                <w:szCs w:val="16"/>
                <w:color w:val="auto"/>
              </w:rPr>
              <w:t>Cost of services</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4,548.8</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4,303.9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5.7%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6.3%</w:t>
            </w:r>
          </w:p>
        </w:tc>
      </w:tr>
      <w:tr>
        <w:trPr>
          <w:trHeight w:val="24"/>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0"/>
        </w:trPr>
        <w:tc>
          <w:tcPr>
            <w:tcW w:w="51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Gross profit</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935.2</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905.7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r>
      <w:tr>
        <w:trPr>
          <w:trHeight w:val="190"/>
        </w:trPr>
        <w:tc>
          <w:tcPr>
            <w:tcW w:w="5160" w:type="dxa"/>
            <w:vAlign w:val="bottom"/>
          </w:tcPr>
          <w:p>
            <w:pPr>
              <w:spacing w:after="0"/>
              <w:rPr>
                <w:sz w:val="20"/>
                <w:szCs w:val="20"/>
                <w:color w:val="auto"/>
              </w:rPr>
            </w:pPr>
            <w:r>
              <w:rPr>
                <w:rFonts w:ascii="Arial" w:cs="Arial" w:eastAsia="Arial" w:hAnsi="Arial"/>
                <w:sz w:val="16"/>
                <w:szCs w:val="16"/>
                <w:color w:val="auto"/>
              </w:rPr>
              <w:t>Selling and administrative expenses, excluding impairment charges</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805.4</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819.5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r>
      <w:tr>
        <w:trPr>
          <w:trHeight w:val="190"/>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Goodwill and intangible asset impairment charges</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428.8</w:t>
            </w: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N/A</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N/A</w:t>
            </w:r>
          </w:p>
        </w:tc>
      </w:tr>
      <w:tr>
        <w:trPr>
          <w:trHeight w:val="24"/>
        </w:trPr>
        <w:tc>
          <w:tcPr>
            <w:tcW w:w="5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90"/>
        </w:trPr>
        <w:tc>
          <w:tcPr>
            <w:tcW w:w="516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805.4</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1,248.3</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-35.5%</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-35.3%</w:t>
            </w:r>
          </w:p>
        </w:tc>
      </w:tr>
      <w:tr>
        <w:trPr>
          <w:trHeight w:val="190"/>
        </w:trPr>
        <w:tc>
          <w:tcPr>
            <w:tcW w:w="51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Operating profit (loss)</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129.8</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(342.6)</w:t>
            </w: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N/A</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N/A</w:t>
            </w:r>
          </w:p>
        </w:tc>
      </w:tr>
      <w:tr>
        <w:trPr>
          <w:trHeight w:val="190"/>
        </w:trPr>
        <w:tc>
          <w:tcPr>
            <w:tcW w:w="5160" w:type="dxa"/>
            <w:vAlign w:val="bottom"/>
          </w:tcPr>
          <w:p>
            <w:pPr>
              <w:spacing w:after="0"/>
              <w:rPr>
                <w:sz w:val="20"/>
                <w:szCs w:val="20"/>
                <w:color w:val="auto"/>
              </w:rPr>
            </w:pPr>
            <w:r>
              <w:rPr>
                <w:rFonts w:ascii="Arial" w:cs="Arial" w:eastAsia="Arial" w:hAnsi="Arial"/>
                <w:sz w:val="16"/>
                <w:szCs w:val="16"/>
                <w:color w:val="auto"/>
              </w:rPr>
              <w:t>Interest and other expenses</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10.4</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10.0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4.0%</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0"/>
        </w:trPr>
        <w:tc>
          <w:tcPr>
            <w:tcW w:w="51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Earnings (loss) before income taxes</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119.4</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(352.6)</w:t>
            </w: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N/A</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N/A</w:t>
            </w:r>
          </w:p>
        </w:tc>
      </w:tr>
      <w:tr>
        <w:trPr>
          <w:trHeight w:val="190"/>
        </w:trPr>
        <w:tc>
          <w:tcPr>
            <w:tcW w:w="51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55.8</w:t>
            </w: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(2.2)</w:t>
            </w:r>
          </w:p>
        </w:tc>
        <w:tc>
          <w:tcPr>
            <w:tcW w:w="138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0"/>
        </w:trPr>
        <w:tc>
          <w:tcPr>
            <w:tcW w:w="51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Net earnings (loss)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63.6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(350.4)</w:t>
            </w: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N/A</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N/A</w:t>
            </w: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78"/>
        </w:trPr>
        <w:tc>
          <w:tcPr>
            <w:tcW w:w="5160" w:type="dxa"/>
            <w:vAlign w:val="bottom"/>
          </w:tcPr>
          <w:p>
            <w:pPr>
              <w:spacing w:after="0" w:line="178" w:lineRule="exact"/>
              <w:rPr>
                <w:sz w:val="20"/>
                <w:szCs w:val="20"/>
                <w:color w:val="auto"/>
              </w:rPr>
            </w:pPr>
            <w:r>
              <w:rPr>
                <w:rFonts w:ascii="Arial" w:cs="Arial" w:eastAsia="Arial" w:hAnsi="Arial"/>
                <w:sz w:val="16"/>
                <w:szCs w:val="16"/>
                <w:color w:val="auto"/>
              </w:rPr>
              <w:t>Net earnings (loss) per share - basic</w:t>
            </w:r>
          </w:p>
        </w:tc>
        <w:tc>
          <w:tcPr>
            <w:tcW w:w="116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rPr>
              <w:t>0.79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(4.29)</w:t>
            </w:r>
          </w:p>
        </w:tc>
        <w:tc>
          <w:tcPr>
            <w:tcW w:w="1380" w:type="dxa"/>
            <w:vAlign w:val="bottom"/>
            <w:gridSpan w:val="2"/>
          </w:tcPr>
          <w:p>
            <w:pPr>
              <w:ind w:left="860"/>
              <w:spacing w:after="0" w:line="178" w:lineRule="exact"/>
              <w:rPr>
                <w:sz w:val="20"/>
                <w:szCs w:val="20"/>
                <w:color w:val="auto"/>
              </w:rPr>
            </w:pPr>
            <w:r>
              <w:rPr>
                <w:rFonts w:ascii="Arial" w:cs="Arial" w:eastAsia="Arial" w:hAnsi="Arial"/>
                <w:sz w:val="16"/>
                <w:szCs w:val="16"/>
                <w:color w:val="auto"/>
              </w:rPr>
              <w:t>N/A</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8"/>
        </w:trPr>
        <w:tc>
          <w:tcPr>
            <w:tcW w:w="51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Net earnings (loss) per share - diluted</w:t>
            </w:r>
          </w:p>
        </w:tc>
        <w:tc>
          <w:tcPr>
            <w:tcW w:w="1160" w:type="dxa"/>
            <w:vAlign w:val="bottom"/>
            <w:gridSpan w:val="2"/>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line="178" w:lineRule="exact"/>
              <w:rPr>
                <w:sz w:val="20"/>
                <w:szCs w:val="20"/>
                <w:color w:val="auto"/>
              </w:rPr>
            </w:pPr>
            <w:r>
              <w:rPr>
                <w:rFonts w:ascii="Arial" w:cs="Arial" w:eastAsia="Arial" w:hAnsi="Arial"/>
                <w:sz w:val="16"/>
                <w:szCs w:val="16"/>
                <w:color w:val="auto"/>
              </w:rPr>
              <w:t>0.78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rPr>
              <w:t>(4.29)</w:t>
            </w:r>
          </w:p>
        </w:tc>
        <w:tc>
          <w:tcPr>
            <w:tcW w:w="1380" w:type="dxa"/>
            <w:vAlign w:val="bottom"/>
            <w:gridSpan w:val="2"/>
            <w:shd w:val="clear" w:color="auto" w:fill="CCEEFF"/>
          </w:tcPr>
          <w:p>
            <w:pPr>
              <w:ind w:left="860"/>
              <w:spacing w:after="0" w:line="178" w:lineRule="exact"/>
              <w:rPr>
                <w:sz w:val="20"/>
                <w:szCs w:val="20"/>
                <w:color w:val="auto"/>
              </w:rPr>
            </w:pPr>
            <w:r>
              <w:rPr>
                <w:rFonts w:ascii="Arial" w:cs="Arial" w:eastAsia="Arial" w:hAnsi="Arial"/>
                <w:sz w:val="16"/>
                <w:szCs w:val="16"/>
                <w:color w:val="auto"/>
              </w:rPr>
              <w:t>N/A</w:t>
            </w:r>
          </w:p>
        </w:tc>
        <w:tc>
          <w:tcPr>
            <w:tcW w:w="1280" w:type="dxa"/>
            <w:vAlign w:val="bottom"/>
            <w:gridSpan w:val="2"/>
            <w:shd w:val="clear" w:color="auto" w:fill="CCEEFF"/>
          </w:tcPr>
          <w:p>
            <w:pPr>
              <w:jc w:val="right"/>
              <w:ind w:right="140"/>
              <w:spacing w:after="0" w:line="178" w:lineRule="exact"/>
              <w:rPr>
                <w:sz w:val="20"/>
                <w:szCs w:val="20"/>
                <w:color w:val="auto"/>
              </w:rPr>
            </w:pPr>
            <w:r>
              <w:rPr>
                <w:rFonts w:ascii="Arial" w:cs="Arial" w:eastAsia="Arial" w:hAnsi="Arial"/>
                <w:sz w:val="16"/>
                <w:szCs w:val="16"/>
                <w:color w:val="auto"/>
              </w:rPr>
              <w:t>N/A</w:t>
            </w: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78"/>
        </w:trPr>
        <w:tc>
          <w:tcPr>
            <w:tcW w:w="5160" w:type="dxa"/>
            <w:vAlign w:val="bottom"/>
          </w:tcPr>
          <w:p>
            <w:pPr>
              <w:spacing w:after="0" w:line="178" w:lineRule="exact"/>
              <w:rPr>
                <w:sz w:val="20"/>
                <w:szCs w:val="20"/>
                <w:color w:val="auto"/>
              </w:rPr>
            </w:pPr>
            <w:r>
              <w:rPr>
                <w:rFonts w:ascii="Arial" w:cs="Arial" w:eastAsia="Arial" w:hAnsi="Arial"/>
                <w:sz w:val="16"/>
                <w:szCs w:val="16"/>
                <w:color w:val="auto"/>
              </w:rPr>
              <w:t>Weighted average shares - basic</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rPr>
              <w:t>80.8</w:t>
            </w:r>
          </w:p>
        </w:tc>
        <w:tc>
          <w:tcPr>
            <w:tcW w:w="240" w:type="dxa"/>
            <w:vAlign w:val="bottom"/>
          </w:tcPr>
          <w:p>
            <w:pPr>
              <w:spacing w:after="0"/>
              <w:rPr>
                <w:sz w:val="15"/>
                <w:szCs w:val="15"/>
                <w:color w:val="auto"/>
              </w:rPr>
            </w:pPr>
          </w:p>
        </w:tc>
        <w:tc>
          <w:tcPr>
            <w:tcW w:w="110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rPr>
              <w:t>81.6</w:t>
            </w:r>
          </w:p>
        </w:tc>
        <w:tc>
          <w:tcPr>
            <w:tcW w:w="138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-1.0%</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8"/>
        </w:trPr>
        <w:tc>
          <w:tcPr>
            <w:tcW w:w="51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Weighted average shares - diluted</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178" w:lineRule="exact"/>
              <w:rPr>
                <w:sz w:val="20"/>
                <w:szCs w:val="20"/>
                <w:color w:val="auto"/>
              </w:rPr>
            </w:pPr>
            <w:r>
              <w:rPr>
                <w:rFonts w:ascii="Arial" w:cs="Arial" w:eastAsia="Arial" w:hAnsi="Arial"/>
                <w:sz w:val="16"/>
                <w:szCs w:val="16"/>
                <w:color w:val="auto"/>
              </w:rPr>
              <w:t>81.4</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178" w:lineRule="exact"/>
              <w:rPr>
                <w:sz w:val="20"/>
                <w:szCs w:val="20"/>
                <w:color w:val="auto"/>
              </w:rPr>
            </w:pPr>
            <w:r>
              <w:rPr>
                <w:rFonts w:ascii="Arial" w:cs="Arial" w:eastAsia="Arial" w:hAnsi="Arial"/>
                <w:sz w:val="16"/>
                <w:szCs w:val="16"/>
                <w:color w:val="auto"/>
              </w:rPr>
              <w:t>81.6</w:t>
            </w:r>
          </w:p>
        </w:tc>
        <w:tc>
          <w:tcPr>
            <w:tcW w:w="138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-0.3%</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78" w:lineRule="exact"/>
        <w:rPr>
          <w:sz w:val="20"/>
          <w:szCs w:val="20"/>
          <w:color w:val="auto"/>
        </w:rPr>
      </w:pPr>
    </w:p>
    <w:p>
      <w:pPr>
        <w:ind w:left="5" w:right="400" w:hanging="5"/>
        <w:spacing w:after="0" w:line="343" w:lineRule="auto"/>
        <w:tabs>
          <w:tab w:leader="none" w:pos="22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Revenues from services include fees received from our franchise offices of $6.4 million for the three months ended December 31, 2011 and 2010. These fees are primarily based on revenues generated by the franchise offices, which were $257.2 million and $263.5 million for the three months ended December 31, 2011 and 2010,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287020</wp:posOffset>
            </wp:positionV>
            <wp:extent cx="726821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5"/>
          </w:cols>
          <w:pgMar w:left="235" w:top="548" w:right="219" w:bottom="1440" w:gutter="0" w:footer="0" w:header="0"/>
        </w:sectPr>
      </w:pPr>
    </w:p>
    <w:bookmarkStart w:id="6" w:name="page7"/>
    <w:bookmarkEnd w:id="6"/>
    <w:p>
      <w:pPr>
        <w:jc w:val="center"/>
        <w:ind w:right="135"/>
        <w:spacing w:after="0"/>
        <w:rPr>
          <w:sz w:val="20"/>
          <w:szCs w:val="20"/>
          <w:color w:val="auto"/>
        </w:rPr>
      </w:pPr>
      <w:r>
        <w:rPr>
          <w:rFonts w:ascii="Arial" w:cs="Arial" w:eastAsia="Arial" w:hAnsi="Arial"/>
          <w:sz w:val="19"/>
          <w:szCs w:val="19"/>
          <w:color w:val="auto"/>
        </w:rPr>
        <w:t>ManpowerGroup</w:t>
      </w:r>
    </w:p>
    <w:p>
      <w:pPr>
        <w:spacing w:after="0" w:line="16" w:lineRule="exact"/>
        <w:rPr>
          <w:sz w:val="20"/>
          <w:szCs w:val="20"/>
          <w:color w:val="auto"/>
        </w:rPr>
      </w:pPr>
    </w:p>
    <w:p>
      <w:pPr>
        <w:jc w:val="center"/>
        <w:ind w:right="135"/>
        <w:spacing w:after="0"/>
        <w:rPr>
          <w:sz w:val="20"/>
          <w:szCs w:val="20"/>
          <w:color w:val="auto"/>
        </w:rPr>
      </w:pPr>
      <w:r>
        <w:rPr>
          <w:rFonts w:ascii="Arial" w:cs="Arial" w:eastAsia="Arial" w:hAnsi="Arial"/>
          <w:sz w:val="16"/>
          <w:szCs w:val="16"/>
          <w:color w:val="auto"/>
        </w:rPr>
        <w:t>Operating Unit Results</w:t>
      </w:r>
    </w:p>
    <w:p>
      <w:pPr>
        <w:spacing w:after="0" w:line="3" w:lineRule="exact"/>
        <w:rPr>
          <w:sz w:val="20"/>
          <w:szCs w:val="20"/>
          <w:color w:val="auto"/>
        </w:rPr>
      </w:pPr>
    </w:p>
    <w:p>
      <w:pPr>
        <w:jc w:val="center"/>
        <w:ind w:right="135"/>
        <w:spacing w:after="0"/>
        <w:rPr>
          <w:sz w:val="20"/>
          <w:szCs w:val="20"/>
          <w:color w:val="auto"/>
        </w:rPr>
      </w:pPr>
      <w:r>
        <w:rPr>
          <w:rFonts w:ascii="Arial" w:cs="Arial" w:eastAsia="Arial" w:hAnsi="Arial"/>
          <w:sz w:val="16"/>
          <w:szCs w:val="16"/>
          <w:color w:val="auto"/>
        </w:rPr>
        <w:t>(In millions)</w:t>
      </w:r>
    </w:p>
    <w:p>
      <w:pPr>
        <w:spacing w:after="0" w:line="182"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4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6"/>
                <w:szCs w:val="16"/>
                <w:b w:val="1"/>
                <w:bCs w:val="1"/>
                <w:color w:val="auto"/>
                <w:w w:val="91"/>
              </w:rPr>
              <w:t>Three Months Ended December 31</w:t>
            </w:r>
          </w:p>
        </w:tc>
        <w:tc>
          <w:tcPr>
            <w:tcW w:w="11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4"/>
        </w:trPr>
        <w:tc>
          <w:tcPr>
            <w:tcW w:w="46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tcBorders>
              <w:bottom w:val="single" w:sz="8" w:color="auto"/>
            </w:tcBorders>
            <w:gridSpan w:val="3"/>
          </w:tcPr>
          <w:p>
            <w:pPr>
              <w:ind w:left="860"/>
              <w:spacing w:after="0"/>
              <w:rPr>
                <w:sz w:val="20"/>
                <w:szCs w:val="20"/>
                <w:color w:val="auto"/>
              </w:rPr>
            </w:pPr>
            <w:r>
              <w:rPr>
                <w:rFonts w:ascii="Arial" w:cs="Arial" w:eastAsia="Arial" w:hAnsi="Arial"/>
                <w:sz w:val="16"/>
                <w:szCs w:val="16"/>
                <w:b w:val="1"/>
                <w:bCs w:val="1"/>
                <w:color w:val="auto"/>
              </w:rPr>
              <w:t>% Variance</w:t>
            </w:r>
          </w:p>
        </w:tc>
        <w:tc>
          <w:tcPr>
            <w:tcW w:w="140" w:type="dxa"/>
            <w:vAlign w:val="bottom"/>
          </w:tcPr>
          <w:p>
            <w:pPr>
              <w:spacing w:after="0"/>
              <w:rPr>
                <w:sz w:val="16"/>
                <w:szCs w:val="16"/>
                <w:color w:val="auto"/>
              </w:rPr>
            </w:pPr>
          </w:p>
        </w:tc>
      </w:tr>
      <w:tr>
        <w:trPr>
          <w:trHeight w:val="174"/>
        </w:trPr>
        <w:tc>
          <w:tcPr>
            <w:tcW w:w="46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260"/>
              <w:spacing w:after="0" w:line="174" w:lineRule="exact"/>
              <w:rPr>
                <w:sz w:val="20"/>
                <w:szCs w:val="20"/>
                <w:color w:val="auto"/>
              </w:rPr>
            </w:pPr>
            <w:r>
              <w:rPr>
                <w:rFonts w:ascii="Arial" w:cs="Arial" w:eastAsia="Arial" w:hAnsi="Arial"/>
                <w:sz w:val="16"/>
                <w:szCs w:val="16"/>
                <w:b w:val="1"/>
                <w:bCs w:val="1"/>
                <w:color w:val="auto"/>
                <w:w w:val="92"/>
              </w:rPr>
              <w:t>Amount</w:t>
            </w:r>
          </w:p>
        </w:tc>
        <w:tc>
          <w:tcPr>
            <w:tcW w:w="1140" w:type="dxa"/>
            <w:vAlign w:val="bottom"/>
          </w:tcPr>
          <w:p>
            <w:pPr>
              <w:jc w:val="right"/>
              <w:ind w:right="181"/>
              <w:spacing w:after="0" w:line="174" w:lineRule="exact"/>
              <w:rPr>
                <w:sz w:val="20"/>
                <w:szCs w:val="20"/>
                <w:color w:val="auto"/>
              </w:rPr>
            </w:pPr>
            <w:r>
              <w:rPr>
                <w:rFonts w:ascii="Arial" w:cs="Arial" w:eastAsia="Arial" w:hAnsi="Arial"/>
                <w:sz w:val="16"/>
                <w:szCs w:val="16"/>
                <w:b w:val="1"/>
                <w:bCs w:val="1"/>
                <w:color w:val="auto"/>
              </w:rPr>
              <w:t>Constant</w:t>
            </w:r>
          </w:p>
        </w:tc>
        <w:tc>
          <w:tcPr>
            <w:tcW w:w="140" w:type="dxa"/>
            <w:vAlign w:val="bottom"/>
          </w:tcPr>
          <w:p>
            <w:pPr>
              <w:spacing w:after="0"/>
              <w:rPr>
                <w:sz w:val="15"/>
                <w:szCs w:val="15"/>
                <w:color w:val="auto"/>
              </w:rPr>
            </w:pPr>
          </w:p>
        </w:tc>
      </w:tr>
      <w:tr>
        <w:trPr>
          <w:trHeight w:val="211"/>
        </w:trPr>
        <w:tc>
          <w:tcPr>
            <w:tcW w:w="4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2010</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Reported</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Currency</w:t>
            </w:r>
          </w:p>
        </w:tc>
        <w:tc>
          <w:tcPr>
            <w:tcW w:w="140" w:type="dxa"/>
            <w:vAlign w:val="bottom"/>
          </w:tcPr>
          <w:p>
            <w:pPr>
              <w:spacing w:after="0"/>
              <w:rPr>
                <w:sz w:val="18"/>
                <w:szCs w:val="18"/>
                <w:color w:val="auto"/>
              </w:rPr>
            </w:pPr>
          </w:p>
        </w:tc>
      </w:tr>
      <w:tr>
        <w:trPr>
          <w:trHeight w:val="190"/>
        </w:trPr>
        <w:tc>
          <w:tcPr>
            <w:tcW w:w="46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0"/>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0"/>
        </w:trPr>
        <w:tc>
          <w:tcPr>
            <w:tcW w:w="4620" w:type="dxa"/>
            <w:vAlign w:val="bottom"/>
          </w:tcPr>
          <w:p>
            <w:pPr>
              <w:ind w:left="60"/>
              <w:spacing w:after="0"/>
              <w:rPr>
                <w:sz w:val="20"/>
                <w:szCs w:val="20"/>
                <w:color w:val="auto"/>
              </w:rPr>
            </w:pPr>
            <w:r>
              <w:rPr>
                <w:rFonts w:ascii="Arial" w:cs="Arial" w:eastAsia="Arial" w:hAnsi="Arial"/>
                <w:sz w:val="16"/>
                <w:szCs w:val="16"/>
                <w:color w:val="auto"/>
              </w:rPr>
              <w:t>Americas:</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0"/>
        </w:trPr>
        <w:tc>
          <w:tcPr>
            <w:tcW w:w="4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United States (b)</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765.9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777.1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r>
      <w:tr>
        <w:trPr>
          <w:trHeight w:val="190"/>
        </w:trPr>
        <w:tc>
          <w:tcPr>
            <w:tcW w:w="4620" w:type="dxa"/>
            <w:vAlign w:val="bottom"/>
          </w:tcPr>
          <w:p>
            <w:pPr>
              <w:ind w:left="240"/>
              <w:spacing w:after="0"/>
              <w:rPr>
                <w:sz w:val="20"/>
                <w:szCs w:val="20"/>
                <w:color w:val="auto"/>
              </w:rPr>
            </w:pPr>
            <w:r>
              <w:rPr>
                <w:rFonts w:ascii="Arial" w:cs="Arial" w:eastAsia="Arial" w:hAnsi="Arial"/>
                <w:sz w:val="16"/>
                <w:szCs w:val="16"/>
                <w:color w:val="auto"/>
              </w:rPr>
              <w:t>Other Americas</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389.8</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347.8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12.1%</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18.3%</w:t>
            </w:r>
          </w:p>
        </w:tc>
      </w:tr>
      <w:tr>
        <w:trPr>
          <w:trHeight w:val="24"/>
        </w:trPr>
        <w:tc>
          <w:tcPr>
            <w:tcW w:w="4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4"/>
        </w:trPr>
        <w:tc>
          <w:tcPr>
            <w:tcW w:w="46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1,155.7</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1,124.9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r>
      <w:tr>
        <w:trPr>
          <w:trHeight w:val="190"/>
        </w:trPr>
        <w:tc>
          <w:tcPr>
            <w:tcW w:w="4620" w:type="dxa"/>
            <w:vAlign w:val="bottom"/>
            <w:tcBorders>
              <w:top w:val="single" w:sz="8" w:color="CCEEFF"/>
            </w:tcBorders>
          </w:tcPr>
          <w:p>
            <w:pPr>
              <w:ind w:left="80"/>
              <w:spacing w:after="0"/>
              <w:rPr>
                <w:sz w:val="20"/>
                <w:szCs w:val="20"/>
                <w:color w:val="auto"/>
              </w:rPr>
            </w:pPr>
            <w:r>
              <w:rPr>
                <w:rFonts w:ascii="Arial" w:cs="Arial" w:eastAsia="Arial" w:hAnsi="Arial"/>
                <w:sz w:val="16"/>
                <w:szCs w:val="16"/>
                <w:color w:val="auto"/>
              </w:rPr>
              <w:t>Southern Europe:</w:t>
            </w:r>
          </w:p>
        </w:tc>
        <w:tc>
          <w:tcPr>
            <w:tcW w:w="146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190"/>
        </w:trPr>
        <w:tc>
          <w:tcPr>
            <w:tcW w:w="4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France</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1,511.0</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1,433.6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r>
      <w:tr>
        <w:trPr>
          <w:trHeight w:val="190"/>
        </w:trPr>
        <w:tc>
          <w:tcPr>
            <w:tcW w:w="4620" w:type="dxa"/>
            <w:vAlign w:val="bottom"/>
          </w:tcPr>
          <w:p>
            <w:pPr>
              <w:ind w:left="240"/>
              <w:spacing w:after="0"/>
              <w:rPr>
                <w:sz w:val="20"/>
                <w:szCs w:val="20"/>
                <w:color w:val="auto"/>
              </w:rPr>
            </w:pPr>
            <w:r>
              <w:rPr>
                <w:rFonts w:ascii="Arial" w:cs="Arial" w:eastAsia="Arial" w:hAnsi="Arial"/>
                <w:sz w:val="16"/>
                <w:szCs w:val="16"/>
                <w:color w:val="auto"/>
              </w:rPr>
              <w:t>Italy</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305.3</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294.1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3.8%</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4.6%</w:t>
            </w:r>
          </w:p>
        </w:tc>
      </w:tr>
      <w:tr>
        <w:trPr>
          <w:trHeight w:val="190"/>
        </w:trPr>
        <w:tc>
          <w:tcPr>
            <w:tcW w:w="4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Southern Europe</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196.3</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189.0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r>
      <w:tr>
        <w:trPr>
          <w:trHeight w:val="24"/>
        </w:trPr>
        <w:tc>
          <w:tcPr>
            <w:tcW w:w="46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94"/>
        </w:trPr>
        <w:tc>
          <w:tcPr>
            <w:tcW w:w="46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2,012.6</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1,916.7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5.0%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6.1%</w:t>
            </w:r>
          </w:p>
        </w:tc>
      </w:tr>
      <w:tr>
        <w:trPr>
          <w:trHeight w:val="190"/>
        </w:trPr>
        <w:tc>
          <w:tcPr>
            <w:tcW w:w="46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0"/>
        </w:trPr>
        <w:tc>
          <w:tcPr>
            <w:tcW w:w="4620" w:type="dxa"/>
            <w:vAlign w:val="bottom"/>
          </w:tcPr>
          <w:p>
            <w:pPr>
              <w:ind w:left="80"/>
              <w:spacing w:after="0"/>
              <w:rPr>
                <w:sz w:val="20"/>
                <w:szCs w:val="20"/>
                <w:color w:val="auto"/>
              </w:rPr>
            </w:pPr>
            <w:r>
              <w:rPr>
                <w:rFonts w:ascii="Arial" w:cs="Arial" w:eastAsia="Arial" w:hAnsi="Arial"/>
                <w:sz w:val="16"/>
                <w:szCs w:val="16"/>
                <w:color w:val="auto"/>
              </w:rPr>
              <w:t>Northern Europe</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1,540.9</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1,492.7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3.2%</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3.8%</w:t>
            </w:r>
          </w:p>
        </w:tc>
      </w:tr>
      <w:tr>
        <w:trPr>
          <w:trHeight w:val="190"/>
        </w:trPr>
        <w:tc>
          <w:tcPr>
            <w:tcW w:w="46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APME</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695.0</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588.3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14.5%</w:t>
            </w:r>
          </w:p>
        </w:tc>
      </w:tr>
      <w:tr>
        <w:trPr>
          <w:trHeight w:val="190"/>
        </w:trPr>
        <w:tc>
          <w:tcPr>
            <w:tcW w:w="4620" w:type="dxa"/>
            <w:vAlign w:val="bottom"/>
          </w:tcPr>
          <w:p>
            <w:pPr>
              <w:ind w:left="80"/>
              <w:spacing w:after="0"/>
              <w:rPr>
                <w:sz w:val="20"/>
                <w:szCs w:val="20"/>
                <w:color w:val="auto"/>
              </w:rPr>
            </w:pPr>
            <w:r>
              <w:rPr>
                <w:rFonts w:ascii="Arial" w:cs="Arial" w:eastAsia="Arial" w:hAnsi="Arial"/>
                <w:sz w:val="16"/>
                <w:szCs w:val="16"/>
                <w:color w:val="auto"/>
              </w:rPr>
              <w:t>Right Management</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79.8</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87.0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-8.2%</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-8.6%</w:t>
            </w:r>
          </w:p>
        </w:tc>
      </w:tr>
      <w:tr>
        <w:trPr>
          <w:trHeight w:val="24"/>
        </w:trPr>
        <w:tc>
          <w:tcPr>
            <w:tcW w:w="4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0"/>
        </w:trPr>
        <w:tc>
          <w:tcPr>
            <w:tcW w:w="46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5,484.0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5,209.6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r>
      <w:tr>
        <w:trPr>
          <w:trHeight w:val="178"/>
        </w:trPr>
        <w:tc>
          <w:tcPr>
            <w:tcW w:w="462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r>
      <w:tr>
        <w:trPr>
          <w:trHeight w:val="190"/>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Operating Unit Profit (Loss): (a)</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0"/>
        </w:trPr>
        <w:tc>
          <w:tcPr>
            <w:tcW w:w="4620" w:type="dxa"/>
            <w:vAlign w:val="bottom"/>
          </w:tcPr>
          <w:p>
            <w:pPr>
              <w:ind w:left="60"/>
              <w:spacing w:after="0"/>
              <w:rPr>
                <w:sz w:val="20"/>
                <w:szCs w:val="20"/>
                <w:color w:val="auto"/>
              </w:rPr>
            </w:pPr>
            <w:r>
              <w:rPr>
                <w:rFonts w:ascii="Arial" w:cs="Arial" w:eastAsia="Arial" w:hAnsi="Arial"/>
                <w:sz w:val="16"/>
                <w:szCs w:val="16"/>
                <w:color w:val="auto"/>
              </w:rPr>
              <w:t>Americas:</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0"/>
        </w:trPr>
        <w:tc>
          <w:tcPr>
            <w:tcW w:w="4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United States</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83.8%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83.8%</w:t>
            </w:r>
          </w:p>
        </w:tc>
      </w:tr>
      <w:tr>
        <w:trPr>
          <w:trHeight w:val="190"/>
        </w:trPr>
        <w:tc>
          <w:tcPr>
            <w:tcW w:w="4620" w:type="dxa"/>
            <w:vAlign w:val="bottom"/>
          </w:tcPr>
          <w:p>
            <w:pPr>
              <w:ind w:left="240"/>
              <w:spacing w:after="0"/>
              <w:rPr>
                <w:sz w:val="20"/>
                <w:szCs w:val="20"/>
                <w:color w:val="auto"/>
              </w:rPr>
            </w:pPr>
            <w:r>
              <w:rPr>
                <w:rFonts w:ascii="Arial" w:cs="Arial" w:eastAsia="Arial" w:hAnsi="Arial"/>
                <w:sz w:val="16"/>
                <w:szCs w:val="16"/>
                <w:color w:val="auto"/>
              </w:rPr>
              <w:t>Other Americas</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12.1</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10.0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22.6%</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30.9%</w:t>
            </w:r>
          </w:p>
        </w:tc>
      </w:tr>
      <w:tr>
        <w:trPr>
          <w:trHeight w:val="24"/>
        </w:trPr>
        <w:tc>
          <w:tcPr>
            <w:tcW w:w="4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4"/>
        </w:trPr>
        <w:tc>
          <w:tcPr>
            <w:tcW w:w="46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38.2</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61.9%</w:t>
            </w:r>
          </w:p>
        </w:tc>
      </w:tr>
      <w:tr>
        <w:trPr>
          <w:trHeight w:val="190"/>
        </w:trPr>
        <w:tc>
          <w:tcPr>
            <w:tcW w:w="4620" w:type="dxa"/>
            <w:vAlign w:val="bottom"/>
            <w:tcBorders>
              <w:top w:val="single" w:sz="8" w:color="CCEEFF"/>
            </w:tcBorders>
          </w:tcPr>
          <w:p>
            <w:pPr>
              <w:ind w:left="80"/>
              <w:spacing w:after="0"/>
              <w:rPr>
                <w:sz w:val="20"/>
                <w:szCs w:val="20"/>
                <w:color w:val="auto"/>
              </w:rPr>
            </w:pPr>
            <w:r>
              <w:rPr>
                <w:rFonts w:ascii="Arial" w:cs="Arial" w:eastAsia="Arial" w:hAnsi="Arial"/>
                <w:sz w:val="16"/>
                <w:szCs w:val="16"/>
                <w:color w:val="auto"/>
              </w:rPr>
              <w:t>Southern Europe:</w:t>
            </w:r>
          </w:p>
        </w:tc>
        <w:tc>
          <w:tcPr>
            <w:tcW w:w="146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190"/>
        </w:trPr>
        <w:tc>
          <w:tcPr>
            <w:tcW w:w="4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France</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20.5</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71.0%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72.4%</w:t>
            </w:r>
          </w:p>
        </w:tc>
      </w:tr>
      <w:tr>
        <w:trPr>
          <w:trHeight w:val="190"/>
        </w:trPr>
        <w:tc>
          <w:tcPr>
            <w:tcW w:w="4620" w:type="dxa"/>
            <w:vAlign w:val="bottom"/>
          </w:tcPr>
          <w:p>
            <w:pPr>
              <w:ind w:left="240"/>
              <w:spacing w:after="0"/>
              <w:rPr>
                <w:sz w:val="20"/>
                <w:szCs w:val="20"/>
                <w:color w:val="auto"/>
              </w:rPr>
            </w:pPr>
            <w:r>
              <w:rPr>
                <w:rFonts w:ascii="Arial" w:cs="Arial" w:eastAsia="Arial" w:hAnsi="Arial"/>
                <w:sz w:val="16"/>
                <w:szCs w:val="16"/>
                <w:color w:val="auto"/>
              </w:rPr>
              <w:t>Italy</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19.7</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15.8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24.3%</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25.4%</w:t>
            </w:r>
          </w:p>
        </w:tc>
      </w:tr>
      <w:tr>
        <w:trPr>
          <w:trHeight w:val="190"/>
        </w:trPr>
        <w:tc>
          <w:tcPr>
            <w:tcW w:w="4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Southern Europe</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8.8%</w:t>
            </w:r>
          </w:p>
        </w:tc>
      </w:tr>
      <w:tr>
        <w:trPr>
          <w:trHeight w:val="24"/>
        </w:trPr>
        <w:tc>
          <w:tcPr>
            <w:tcW w:w="46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94"/>
        </w:trPr>
        <w:tc>
          <w:tcPr>
            <w:tcW w:w="46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43.1</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30.6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40.7%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42.3%</w:t>
            </w:r>
          </w:p>
        </w:tc>
      </w:tr>
      <w:tr>
        <w:trPr>
          <w:trHeight w:val="190"/>
        </w:trPr>
        <w:tc>
          <w:tcPr>
            <w:tcW w:w="46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0"/>
        </w:trPr>
        <w:tc>
          <w:tcPr>
            <w:tcW w:w="4620" w:type="dxa"/>
            <w:vAlign w:val="bottom"/>
          </w:tcPr>
          <w:p>
            <w:pPr>
              <w:ind w:left="80"/>
              <w:spacing w:after="0"/>
              <w:rPr>
                <w:sz w:val="20"/>
                <w:szCs w:val="20"/>
                <w:color w:val="auto"/>
              </w:rPr>
            </w:pPr>
            <w:r>
              <w:rPr>
                <w:rFonts w:ascii="Arial" w:cs="Arial" w:eastAsia="Arial" w:hAnsi="Arial"/>
                <w:sz w:val="16"/>
                <w:szCs w:val="16"/>
                <w:color w:val="auto"/>
              </w:rPr>
              <w:t>Northern Europe</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51.8</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63.0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-17.7%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-17.8%</w:t>
            </w:r>
          </w:p>
        </w:tc>
      </w:tr>
      <w:tr>
        <w:trPr>
          <w:trHeight w:val="190"/>
        </w:trPr>
        <w:tc>
          <w:tcPr>
            <w:tcW w:w="46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APME</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21.7</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121.3%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115.2%</w:t>
            </w:r>
          </w:p>
        </w:tc>
      </w:tr>
      <w:tr>
        <w:trPr>
          <w:trHeight w:val="190"/>
        </w:trPr>
        <w:tc>
          <w:tcPr>
            <w:tcW w:w="4620" w:type="dxa"/>
            <w:vAlign w:val="bottom"/>
          </w:tcPr>
          <w:p>
            <w:pPr>
              <w:ind w:left="80"/>
              <w:spacing w:after="0"/>
              <w:rPr>
                <w:sz w:val="20"/>
                <w:szCs w:val="20"/>
                <w:color w:val="auto"/>
              </w:rPr>
            </w:pPr>
            <w:r>
              <w:rPr>
                <w:rFonts w:ascii="Arial" w:cs="Arial" w:eastAsia="Arial" w:hAnsi="Arial"/>
                <w:sz w:val="16"/>
                <w:szCs w:val="16"/>
                <w:color w:val="auto"/>
              </w:rPr>
              <w:t>Right Management</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(5.6)</w:t>
            </w: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(16.8)</w:t>
            </w:r>
          </w:p>
        </w:tc>
        <w:tc>
          <w:tcPr>
            <w:tcW w:w="138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N/A</w:t>
            </w:r>
          </w:p>
        </w:tc>
      </w:tr>
      <w:tr>
        <w:trPr>
          <w:trHeight w:val="24"/>
        </w:trPr>
        <w:tc>
          <w:tcPr>
            <w:tcW w:w="4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0"/>
        </w:trPr>
        <w:tc>
          <w:tcPr>
            <w:tcW w:w="46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149.2</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110.5</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0"/>
        </w:trPr>
        <w:tc>
          <w:tcPr>
            <w:tcW w:w="4620" w:type="dxa"/>
            <w:vAlign w:val="bottom"/>
          </w:tcPr>
          <w:p>
            <w:pPr>
              <w:spacing w:after="0"/>
              <w:rPr>
                <w:sz w:val="20"/>
                <w:szCs w:val="20"/>
                <w:color w:val="auto"/>
              </w:rPr>
            </w:pPr>
            <w:r>
              <w:rPr>
                <w:rFonts w:ascii="Arial" w:cs="Arial" w:eastAsia="Arial" w:hAnsi="Arial"/>
                <w:sz w:val="16"/>
                <w:szCs w:val="16"/>
                <w:color w:val="auto"/>
              </w:rPr>
              <w:t>Corporate expenses</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(30.7)</w:t>
            </w: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(30.8)</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0"/>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Goodwill and intangible asset impairment charges</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(428.8)</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0"/>
        </w:trPr>
        <w:tc>
          <w:tcPr>
            <w:tcW w:w="4620" w:type="dxa"/>
            <w:vAlign w:val="bottom"/>
          </w:tcPr>
          <w:p>
            <w:pPr>
              <w:spacing w:after="0"/>
              <w:rPr>
                <w:sz w:val="20"/>
                <w:szCs w:val="20"/>
                <w:color w:val="auto"/>
              </w:rPr>
            </w:pPr>
            <w:r>
              <w:rPr>
                <w:rFonts w:ascii="Arial" w:cs="Arial" w:eastAsia="Arial" w:hAnsi="Arial"/>
                <w:sz w:val="16"/>
                <w:szCs w:val="16"/>
                <w:color w:val="auto"/>
              </w:rPr>
              <w:t>Intangible asset amortization expense</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(11.2)</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0"/>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Reclassification of French business tax</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21.3</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17.7</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4"/>
        </w:trPr>
        <w:tc>
          <w:tcPr>
            <w:tcW w:w="46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90"/>
        </w:trPr>
        <w:tc>
          <w:tcPr>
            <w:tcW w:w="4620" w:type="dxa"/>
            <w:vAlign w:val="bottom"/>
          </w:tcPr>
          <w:p>
            <w:pPr>
              <w:ind w:left="160"/>
              <w:spacing w:after="0"/>
              <w:rPr>
                <w:sz w:val="20"/>
                <w:szCs w:val="20"/>
                <w:color w:val="auto"/>
              </w:rPr>
            </w:pPr>
            <w:r>
              <w:rPr>
                <w:rFonts w:ascii="Arial" w:cs="Arial" w:eastAsia="Arial" w:hAnsi="Arial"/>
                <w:sz w:val="16"/>
                <w:szCs w:val="16"/>
                <w:color w:val="auto"/>
              </w:rPr>
              <w:t>Operating profit (loss)</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129.8</w:t>
            </w: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(342.6)</w:t>
            </w:r>
          </w:p>
        </w:tc>
        <w:tc>
          <w:tcPr>
            <w:tcW w:w="138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N/A</w:t>
            </w:r>
          </w:p>
        </w:tc>
      </w:tr>
      <w:tr>
        <w:trPr>
          <w:trHeight w:val="190"/>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Interest and other expenses (c)</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(10.4)</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(10.0)</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4"/>
        </w:trPr>
        <w:tc>
          <w:tcPr>
            <w:tcW w:w="46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90"/>
        </w:trPr>
        <w:tc>
          <w:tcPr>
            <w:tcW w:w="4620" w:type="dxa"/>
            <w:vAlign w:val="bottom"/>
          </w:tcPr>
          <w:p>
            <w:pPr>
              <w:ind w:left="160"/>
              <w:spacing w:after="0"/>
              <w:rPr>
                <w:sz w:val="20"/>
                <w:szCs w:val="20"/>
                <w:color w:val="auto"/>
              </w:rPr>
            </w:pPr>
            <w:r>
              <w:rPr>
                <w:rFonts w:ascii="Arial" w:cs="Arial" w:eastAsia="Arial" w:hAnsi="Arial"/>
                <w:sz w:val="16"/>
                <w:szCs w:val="16"/>
                <w:color w:val="auto"/>
              </w:rPr>
              <w:t>Earnings (loss) before income taxes</w:t>
            </w: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119.4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(352.6)</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
        </w:trPr>
        <w:tc>
          <w:tcPr>
            <w:tcW w:w="4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8"/>
        </w:trPr>
        <w:tc>
          <w:tcPr>
            <w:tcW w:w="46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bl>
    <w:p>
      <w:pPr>
        <w:spacing w:after="0" w:line="178" w:lineRule="exact"/>
        <w:rPr>
          <w:sz w:val="20"/>
          <w:szCs w:val="20"/>
          <w:color w:val="auto"/>
        </w:rPr>
      </w:pPr>
    </w:p>
    <w:p>
      <w:pPr>
        <w:ind w:left="5" w:right="160" w:hanging="5"/>
        <w:spacing w:after="0" w:line="278" w:lineRule="auto"/>
        <w:tabs>
          <w:tab w:leader="none" w:pos="220" w:val="left"/>
        </w:tabs>
        <w:numPr>
          <w:ilvl w:val="0"/>
          <w:numId w:val="2"/>
        </w:numPr>
        <w:rPr>
          <w:rFonts w:ascii="Arial" w:cs="Arial" w:eastAsia="Arial" w:hAnsi="Arial"/>
          <w:sz w:val="15"/>
          <w:szCs w:val="15"/>
          <w:color w:val="auto"/>
        </w:rPr>
      </w:pPr>
      <w:r>
        <w:rPr>
          <w:rFonts w:ascii="Arial" w:cs="Arial" w:eastAsia="Arial" w:hAnsi="Arial"/>
          <w:sz w:val="15"/>
          <w:szCs w:val="15"/>
          <w:color w:val="auto"/>
        </w:rPr>
        <w:t>Effective January 1, 2011, we created a new organizational structure in Europe in order to elevate our service quality throughout Europe, Middle East and Africa. Other Southern Europe and Northern Europe, previously reported in Other EMEA, are now separate reportable segments. France, Italy, and Other Southern Europe are aggregated into our Southern Europe reportable segment. All previously reported results have been restated to conform to the current year presentation. Additionally, we changed the name of our Asia Pacific reportable segment to APME; the results of this reportable segment have not been restated as only the name has changed.</w:t>
      </w:r>
    </w:p>
    <w:p>
      <w:pPr>
        <w:spacing w:after="0" w:line="151" w:lineRule="exact"/>
        <w:rPr>
          <w:rFonts w:ascii="Arial" w:cs="Arial" w:eastAsia="Arial" w:hAnsi="Arial"/>
          <w:sz w:val="15"/>
          <w:szCs w:val="15"/>
          <w:color w:val="auto"/>
        </w:rPr>
      </w:pPr>
    </w:p>
    <w:p>
      <w:pPr>
        <w:jc w:val="both"/>
        <w:ind w:left="5" w:right="240" w:hanging="5"/>
        <w:spacing w:after="0" w:line="259" w:lineRule="auto"/>
        <w:tabs>
          <w:tab w:leader="none" w:pos="229"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$3.8 million for the three months ended December 31, 2011 and 2010. These fees are primarily based on revenues generated by the franchise offices, which were $167.5 million and $165.0 million for the three months ended December 31, 2011 and 2010, respectively.</w:t>
      </w:r>
    </w:p>
    <w:p>
      <w:pPr>
        <w:spacing w:after="0" w:line="165" w:lineRule="exact"/>
        <w:rPr>
          <w:rFonts w:ascii="Arial" w:cs="Arial" w:eastAsia="Arial" w:hAnsi="Arial"/>
          <w:sz w:val="16"/>
          <w:szCs w:val="16"/>
          <w:color w:val="auto"/>
        </w:rPr>
      </w:pPr>
    </w:p>
    <w:p>
      <w:pPr>
        <w:ind w:left="205" w:hanging="205"/>
        <w:spacing w:after="0"/>
        <w:tabs>
          <w:tab w:leader="none" w:pos="20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17" w:lineRule="exact"/>
        <w:rPr>
          <w:sz w:val="20"/>
          <w:szCs w:val="20"/>
          <w:color w:val="auto"/>
        </w:rPr>
      </w:pPr>
    </w:p>
    <w:tbl>
      <w:tblPr>
        <w:tblLayout w:type="fixed"/>
        <w:tblInd w:w="5" w:type="dxa"/>
        <w:tblCellMar>
          <w:top w:w="0" w:type="dxa"/>
          <w:left w:w="0" w:type="dxa"/>
          <w:bottom w:w="0" w:type="dxa"/>
          <w:right w:w="0" w:type="dxa"/>
        </w:tblCellMar>
      </w:tblPr>
      <w:tr>
        <w:trPr>
          <w:trHeight w:val="196"/>
        </w:trPr>
        <w:tc>
          <w:tcPr>
            <w:tcW w:w="4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3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2010</w:t>
            </w:r>
          </w:p>
        </w:tc>
        <w:tc>
          <w:tcPr>
            <w:tcW w:w="2880" w:type="dxa"/>
            <w:vAlign w:val="bottom"/>
          </w:tcPr>
          <w:p>
            <w:pPr>
              <w:spacing w:after="0"/>
              <w:rPr>
                <w:sz w:val="17"/>
                <w:szCs w:val="17"/>
                <w:color w:val="auto"/>
              </w:rPr>
            </w:pPr>
          </w:p>
        </w:tc>
      </w:tr>
      <w:tr>
        <w:trPr>
          <w:trHeight w:val="190"/>
        </w:trPr>
        <w:tc>
          <w:tcPr>
            <w:tcW w:w="4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2800" w:type="dxa"/>
            <w:vAlign w:val="bottom"/>
            <w:gridSpan w:val="2"/>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6"/>
              </w:rPr>
              <w:t>10.3</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374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10.1</w:t>
            </w:r>
          </w:p>
        </w:tc>
      </w:tr>
      <w:tr>
        <w:trPr>
          <w:trHeight w:val="190"/>
        </w:trPr>
        <w:tc>
          <w:tcPr>
            <w:tcW w:w="410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1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(2.3)</w:t>
            </w:r>
          </w:p>
        </w:tc>
        <w:tc>
          <w:tcPr>
            <w:tcW w:w="260" w:type="dxa"/>
            <w:vAlign w:val="bottom"/>
          </w:tcPr>
          <w:p>
            <w:pPr>
              <w:spacing w:after="0"/>
              <w:rPr>
                <w:sz w:val="16"/>
                <w:szCs w:val="16"/>
                <w:color w:val="auto"/>
              </w:rPr>
            </w:pPr>
          </w:p>
        </w:tc>
        <w:tc>
          <w:tcPr>
            <w:tcW w:w="3740" w:type="dxa"/>
            <w:vAlign w:val="bottom"/>
            <w:gridSpan w:val="2"/>
          </w:tcPr>
          <w:p>
            <w:pPr>
              <w:jc w:val="right"/>
              <w:ind w:right="2820"/>
              <w:spacing w:after="0"/>
              <w:rPr>
                <w:sz w:val="20"/>
                <w:szCs w:val="20"/>
                <w:color w:val="auto"/>
              </w:rPr>
            </w:pPr>
            <w:r>
              <w:rPr>
                <w:rFonts w:ascii="Arial" w:cs="Arial" w:eastAsia="Arial" w:hAnsi="Arial"/>
                <w:sz w:val="16"/>
                <w:szCs w:val="16"/>
                <w:color w:val="auto"/>
              </w:rPr>
              <w:t>(2.0)</w:t>
            </w:r>
          </w:p>
        </w:tc>
      </w:tr>
      <w:tr>
        <w:trPr>
          <w:trHeight w:val="190"/>
        </w:trPr>
        <w:tc>
          <w:tcPr>
            <w:tcW w:w="4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exchange losses</w:t>
            </w:r>
          </w:p>
        </w:tc>
        <w:tc>
          <w:tcPr>
            <w:tcW w:w="19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0.8</w:t>
            </w:r>
          </w:p>
        </w:tc>
        <w:tc>
          <w:tcPr>
            <w:tcW w:w="260" w:type="dxa"/>
            <w:vAlign w:val="bottom"/>
            <w:shd w:val="clear" w:color="auto" w:fill="CCEEFF"/>
          </w:tcPr>
          <w:p>
            <w:pPr>
              <w:spacing w:after="0"/>
              <w:rPr>
                <w:sz w:val="16"/>
                <w:szCs w:val="16"/>
                <w:color w:val="auto"/>
              </w:rPr>
            </w:pPr>
          </w:p>
        </w:tc>
        <w:tc>
          <w:tcPr>
            <w:tcW w:w="374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0.8</w:t>
            </w:r>
          </w:p>
        </w:tc>
      </w:tr>
      <w:tr>
        <w:trPr>
          <w:trHeight w:val="190"/>
        </w:trPr>
        <w:tc>
          <w:tcPr>
            <w:tcW w:w="4100" w:type="dxa"/>
            <w:vAlign w:val="bottom"/>
          </w:tcPr>
          <w:p>
            <w:pPr>
              <w:ind w:left="320"/>
              <w:spacing w:after="0"/>
              <w:rPr>
                <w:sz w:val="20"/>
                <w:szCs w:val="20"/>
                <w:color w:val="auto"/>
              </w:rPr>
            </w:pPr>
            <w:r>
              <w:rPr>
                <w:rFonts w:ascii="Arial" w:cs="Arial" w:eastAsia="Arial" w:hAnsi="Arial"/>
                <w:sz w:val="16"/>
                <w:szCs w:val="16"/>
                <w:color w:val="auto"/>
              </w:rPr>
              <w:t>Miscellaneous expenses, net</w:t>
            </w:r>
          </w:p>
        </w:tc>
        <w:tc>
          <w:tcPr>
            <w:tcW w:w="1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16"/>
                <w:szCs w:val="16"/>
                <w:color w:val="auto"/>
              </w:rPr>
            </w:pPr>
          </w:p>
        </w:tc>
        <w:tc>
          <w:tcPr>
            <w:tcW w:w="3740" w:type="dxa"/>
            <w:vAlign w:val="bottom"/>
            <w:gridSpan w:val="2"/>
          </w:tcPr>
          <w:p>
            <w:pPr>
              <w:jc w:val="right"/>
              <w:ind w:right="2880"/>
              <w:spacing w:after="0"/>
              <w:rPr>
                <w:sz w:val="20"/>
                <w:szCs w:val="20"/>
                <w:color w:val="auto"/>
              </w:rPr>
            </w:pPr>
            <w:r>
              <w:rPr>
                <w:rFonts w:ascii="Arial" w:cs="Arial" w:eastAsia="Arial" w:hAnsi="Arial"/>
                <w:sz w:val="16"/>
                <w:szCs w:val="16"/>
                <w:color w:val="auto"/>
              </w:rPr>
              <w:t>1.1</w:t>
            </w:r>
          </w:p>
        </w:tc>
      </w:tr>
      <w:tr>
        <w:trPr>
          <w:trHeight w:val="24"/>
        </w:trPr>
        <w:tc>
          <w:tcPr>
            <w:tcW w:w="4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230"/>
        </w:trPr>
        <w:tc>
          <w:tcPr>
            <w:tcW w:w="4100" w:type="dxa"/>
            <w:vAlign w:val="bottom"/>
            <w:shd w:val="clear" w:color="auto" w:fill="CCEEFF"/>
          </w:tcPr>
          <w:p>
            <w:pPr>
              <w:spacing w:after="0"/>
              <w:rPr>
                <w:sz w:val="20"/>
                <w:szCs w:val="20"/>
                <w:color w:val="auto"/>
              </w:rPr>
            </w:pPr>
          </w:p>
        </w:tc>
        <w:tc>
          <w:tcPr>
            <w:tcW w:w="2800" w:type="dxa"/>
            <w:vAlign w:val="bottom"/>
            <w:gridSpan w:val="2"/>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6"/>
              </w:rPr>
              <w:t>10.4</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374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10.0</w:t>
            </w:r>
          </w:p>
        </w:tc>
      </w:tr>
      <w:tr>
        <w:trPr>
          <w:trHeight w:val="519"/>
        </w:trPr>
        <w:tc>
          <w:tcPr>
            <w:tcW w:w="4100" w:type="dxa"/>
            <w:vAlign w:val="bottom"/>
            <w:tcBorders>
              <w:top w:val="single" w:sz="8" w:color="CCEEFF"/>
              <w:bottom w:val="single" w:sz="8" w:color="808080"/>
            </w:tcBorders>
          </w:tcPr>
          <w:p>
            <w:pPr>
              <w:spacing w:after="0"/>
              <w:rPr>
                <w:sz w:val="24"/>
                <w:szCs w:val="24"/>
                <w:color w:val="auto"/>
              </w:rPr>
            </w:pPr>
          </w:p>
        </w:tc>
        <w:tc>
          <w:tcPr>
            <w:tcW w:w="1980" w:type="dxa"/>
            <w:vAlign w:val="bottom"/>
            <w:tcBorders>
              <w:top w:val="single" w:sz="8" w:color="CCEEFF"/>
              <w:bottom w:val="single" w:sz="8" w:color="808080"/>
            </w:tcBorders>
          </w:tcPr>
          <w:p>
            <w:pPr>
              <w:spacing w:after="0"/>
              <w:rPr>
                <w:sz w:val="24"/>
                <w:szCs w:val="24"/>
                <w:color w:val="auto"/>
              </w:rPr>
            </w:pPr>
          </w:p>
        </w:tc>
        <w:tc>
          <w:tcPr>
            <w:tcW w:w="820" w:type="dxa"/>
            <w:vAlign w:val="bottom"/>
            <w:tcBorders>
              <w:top w:val="single" w:sz="8" w:color="auto"/>
              <w:bottom w:val="single" w:sz="8" w:color="808080"/>
            </w:tcBorders>
          </w:tcPr>
          <w:p>
            <w:pPr>
              <w:spacing w:after="0"/>
              <w:rPr>
                <w:sz w:val="24"/>
                <w:szCs w:val="24"/>
                <w:color w:val="auto"/>
              </w:rPr>
            </w:pPr>
          </w:p>
        </w:tc>
        <w:tc>
          <w:tcPr>
            <w:tcW w:w="32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260" w:type="dxa"/>
            <w:vAlign w:val="bottom"/>
            <w:tcBorders>
              <w:top w:val="single" w:sz="8" w:color="auto"/>
              <w:bottom w:val="single" w:sz="8" w:color="808080"/>
            </w:tcBorders>
          </w:tcPr>
          <w:p>
            <w:pPr>
              <w:spacing w:after="0"/>
              <w:rPr>
                <w:sz w:val="24"/>
                <w:szCs w:val="24"/>
                <w:color w:val="auto"/>
              </w:rPr>
            </w:pPr>
          </w:p>
        </w:tc>
        <w:tc>
          <w:tcPr>
            <w:tcW w:w="860" w:type="dxa"/>
            <w:vAlign w:val="bottom"/>
            <w:tcBorders>
              <w:top w:val="single" w:sz="8" w:color="auto"/>
              <w:bottom w:val="single" w:sz="8" w:color="808080"/>
            </w:tcBorders>
          </w:tcPr>
          <w:p>
            <w:pPr>
              <w:spacing w:after="0"/>
              <w:rPr>
                <w:sz w:val="24"/>
                <w:szCs w:val="24"/>
                <w:color w:val="auto"/>
              </w:rPr>
            </w:pPr>
          </w:p>
        </w:tc>
        <w:tc>
          <w:tcPr>
            <w:tcW w:w="288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-13335</wp:posOffset>
            </wp:positionV>
            <wp:extent cx="127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5"/>
          </w:cols>
          <w:pgMar w:left="235" w:top="548" w:right="219" w:bottom="1440" w:gutter="0" w:footer="0" w:header="0"/>
        </w:sectPr>
      </w:pPr>
    </w:p>
    <w:bookmarkStart w:id="7" w:name="page8"/>
    <w:bookmarkEnd w:id="7"/>
    <w:p>
      <w:pPr>
        <w:jc w:val="center"/>
        <w:ind w:right="135"/>
        <w:spacing w:after="0"/>
        <w:rPr>
          <w:sz w:val="20"/>
          <w:szCs w:val="20"/>
          <w:color w:val="auto"/>
        </w:rPr>
      </w:pPr>
      <w:r>
        <w:rPr>
          <w:rFonts w:ascii="Arial" w:cs="Arial" w:eastAsia="Arial" w:hAnsi="Arial"/>
          <w:sz w:val="19"/>
          <w:szCs w:val="19"/>
          <w:color w:val="auto"/>
        </w:rPr>
        <w:t>ManpowerGroup</w:t>
      </w:r>
    </w:p>
    <w:p>
      <w:pPr>
        <w:spacing w:after="0" w:line="16" w:lineRule="exact"/>
        <w:rPr>
          <w:sz w:val="20"/>
          <w:szCs w:val="20"/>
          <w:color w:val="auto"/>
        </w:rPr>
      </w:pPr>
    </w:p>
    <w:p>
      <w:pPr>
        <w:jc w:val="center"/>
        <w:ind w:right="135"/>
        <w:spacing w:after="0"/>
        <w:rPr>
          <w:sz w:val="20"/>
          <w:szCs w:val="20"/>
          <w:color w:val="auto"/>
        </w:rPr>
      </w:pPr>
      <w:r>
        <w:rPr>
          <w:rFonts w:ascii="Arial" w:cs="Arial" w:eastAsia="Arial" w:hAnsi="Arial"/>
          <w:sz w:val="16"/>
          <w:szCs w:val="16"/>
          <w:color w:val="auto"/>
        </w:rPr>
        <w:t>Results of Operations</w:t>
      </w:r>
    </w:p>
    <w:p>
      <w:pPr>
        <w:spacing w:after="0" w:line="3" w:lineRule="exact"/>
        <w:rPr>
          <w:sz w:val="20"/>
          <w:szCs w:val="20"/>
          <w:color w:val="auto"/>
        </w:rPr>
      </w:pPr>
    </w:p>
    <w:p>
      <w:pPr>
        <w:jc w:val="center"/>
        <w:ind w:right="135"/>
        <w:spacing w:after="0"/>
        <w:rPr>
          <w:sz w:val="20"/>
          <w:szCs w:val="20"/>
          <w:color w:val="auto"/>
        </w:rPr>
      </w:pPr>
      <w:r>
        <w:rPr>
          <w:rFonts w:ascii="Arial" w:cs="Arial" w:eastAsia="Arial" w:hAnsi="Arial"/>
          <w:sz w:val="16"/>
          <w:szCs w:val="16"/>
          <w:color w:val="auto"/>
        </w:rPr>
        <w:t>(In millions, except per share data)</w:t>
      </w:r>
    </w:p>
    <w:p>
      <w:pPr>
        <w:spacing w:after="0" w:line="182"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5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6"/>
                <w:szCs w:val="16"/>
                <w:b w:val="1"/>
                <w:bCs w:val="1"/>
                <w:color w:val="auto"/>
                <w:w w:val="96"/>
              </w:rPr>
              <w:t>Year Ended December 31</w:t>
            </w:r>
          </w:p>
        </w:tc>
        <w:tc>
          <w:tcPr>
            <w:tcW w:w="11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4"/>
        </w:trPr>
        <w:tc>
          <w:tcPr>
            <w:tcW w:w="5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tcBorders>
              <w:bottom w:val="single" w:sz="8" w:color="auto"/>
            </w:tcBorders>
            <w:gridSpan w:val="3"/>
          </w:tcPr>
          <w:p>
            <w:pPr>
              <w:ind w:left="860"/>
              <w:spacing w:after="0"/>
              <w:rPr>
                <w:sz w:val="20"/>
                <w:szCs w:val="20"/>
                <w:color w:val="auto"/>
              </w:rPr>
            </w:pPr>
            <w:r>
              <w:rPr>
                <w:rFonts w:ascii="Arial" w:cs="Arial" w:eastAsia="Arial" w:hAnsi="Arial"/>
                <w:sz w:val="16"/>
                <w:szCs w:val="16"/>
                <w:b w:val="1"/>
                <w:bCs w:val="1"/>
                <w:color w:val="auto"/>
              </w:rPr>
              <w:t>% Variance</w:t>
            </w:r>
          </w:p>
        </w:tc>
        <w:tc>
          <w:tcPr>
            <w:tcW w:w="140" w:type="dxa"/>
            <w:vAlign w:val="bottom"/>
          </w:tcPr>
          <w:p>
            <w:pPr>
              <w:spacing w:after="0"/>
              <w:rPr>
                <w:sz w:val="16"/>
                <w:szCs w:val="16"/>
                <w:color w:val="auto"/>
              </w:rPr>
            </w:pPr>
          </w:p>
        </w:tc>
      </w:tr>
      <w:tr>
        <w:trPr>
          <w:trHeight w:val="174"/>
        </w:trPr>
        <w:tc>
          <w:tcPr>
            <w:tcW w:w="5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40"/>
              <w:spacing w:after="0" w:line="174" w:lineRule="exact"/>
              <w:rPr>
                <w:sz w:val="20"/>
                <w:szCs w:val="20"/>
                <w:color w:val="auto"/>
              </w:rPr>
            </w:pPr>
            <w:r>
              <w:rPr>
                <w:rFonts w:ascii="Arial" w:cs="Arial" w:eastAsia="Arial" w:hAnsi="Arial"/>
                <w:sz w:val="16"/>
                <w:szCs w:val="16"/>
                <w:b w:val="1"/>
                <w:bCs w:val="1"/>
                <w:color w:val="auto"/>
              </w:rPr>
              <w:t>Amount</w:t>
            </w:r>
          </w:p>
        </w:tc>
        <w:tc>
          <w:tcPr>
            <w:tcW w:w="1140" w:type="dxa"/>
            <w:vAlign w:val="bottom"/>
          </w:tcPr>
          <w:p>
            <w:pPr>
              <w:jc w:val="right"/>
              <w:ind w:right="181"/>
              <w:spacing w:after="0" w:line="174" w:lineRule="exact"/>
              <w:rPr>
                <w:sz w:val="20"/>
                <w:szCs w:val="20"/>
                <w:color w:val="auto"/>
              </w:rPr>
            </w:pPr>
            <w:r>
              <w:rPr>
                <w:rFonts w:ascii="Arial" w:cs="Arial" w:eastAsia="Arial" w:hAnsi="Arial"/>
                <w:sz w:val="16"/>
                <w:szCs w:val="16"/>
                <w:b w:val="1"/>
                <w:bCs w:val="1"/>
                <w:color w:val="auto"/>
              </w:rPr>
              <w:t>Constant</w:t>
            </w:r>
          </w:p>
        </w:tc>
        <w:tc>
          <w:tcPr>
            <w:tcW w:w="140" w:type="dxa"/>
            <w:vAlign w:val="bottom"/>
          </w:tcPr>
          <w:p>
            <w:pPr>
              <w:spacing w:after="0"/>
              <w:rPr>
                <w:sz w:val="15"/>
                <w:szCs w:val="15"/>
                <w:color w:val="auto"/>
              </w:rPr>
            </w:pPr>
          </w:p>
        </w:tc>
      </w:tr>
      <w:tr>
        <w:trPr>
          <w:trHeight w:val="211"/>
        </w:trPr>
        <w:tc>
          <w:tcPr>
            <w:tcW w:w="5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2010</w:t>
            </w:r>
          </w:p>
        </w:tc>
        <w:tc>
          <w:tcPr>
            <w:tcW w:w="220" w:type="dxa"/>
            <w:vAlign w:val="bottom"/>
          </w:tcPr>
          <w:p>
            <w:pPr>
              <w:spacing w:after="0"/>
              <w:rPr>
                <w:sz w:val="18"/>
                <w:szCs w:val="18"/>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Reported</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Currency</w:t>
            </w:r>
          </w:p>
        </w:tc>
        <w:tc>
          <w:tcPr>
            <w:tcW w:w="140" w:type="dxa"/>
            <w:vAlign w:val="bottom"/>
          </w:tcPr>
          <w:p>
            <w:pPr>
              <w:spacing w:after="0"/>
              <w:rPr>
                <w:sz w:val="18"/>
                <w:szCs w:val="18"/>
                <w:color w:val="auto"/>
              </w:rPr>
            </w:pPr>
          </w:p>
        </w:tc>
      </w:tr>
      <w:tr>
        <w:trPr>
          <w:trHeight w:val="190"/>
        </w:trPr>
        <w:tc>
          <w:tcPr>
            <w:tcW w:w="5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0"/>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22,006.0</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18,866.5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11.6%</w:t>
            </w:r>
          </w:p>
        </w:tc>
      </w:tr>
      <w:tr>
        <w:trPr>
          <w:trHeight w:val="190"/>
        </w:trPr>
        <w:tc>
          <w:tcPr>
            <w:tcW w:w="5160" w:type="dxa"/>
            <w:vAlign w:val="bottom"/>
          </w:tcPr>
          <w:p>
            <w:pPr>
              <w:spacing w:after="0"/>
              <w:rPr>
                <w:sz w:val="20"/>
                <w:szCs w:val="20"/>
                <w:color w:val="auto"/>
              </w:rPr>
            </w:pPr>
            <w:r>
              <w:rPr>
                <w:rFonts w:ascii="Arial" w:cs="Arial" w:eastAsia="Arial" w:hAnsi="Arial"/>
                <w:sz w:val="16"/>
                <w:szCs w:val="16"/>
                <w:color w:val="auto"/>
              </w:rPr>
              <w:t>Cost of services</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18,299.7</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15,621.1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17.1%</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12.0%</w:t>
            </w:r>
          </w:p>
        </w:tc>
      </w:tr>
      <w:tr>
        <w:trPr>
          <w:trHeight w:val="24"/>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0"/>
        </w:trPr>
        <w:tc>
          <w:tcPr>
            <w:tcW w:w="51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Gross profit</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3,706.3</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3,245.4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9.4%</w:t>
            </w:r>
          </w:p>
        </w:tc>
      </w:tr>
      <w:tr>
        <w:trPr>
          <w:trHeight w:val="190"/>
        </w:trPr>
        <w:tc>
          <w:tcPr>
            <w:tcW w:w="5160" w:type="dxa"/>
            <w:vAlign w:val="bottom"/>
          </w:tcPr>
          <w:p>
            <w:pPr>
              <w:spacing w:after="0"/>
              <w:rPr>
                <w:sz w:val="20"/>
                <w:szCs w:val="20"/>
                <w:color w:val="auto"/>
              </w:rPr>
            </w:pPr>
            <w:r>
              <w:rPr>
                <w:rFonts w:ascii="Arial" w:cs="Arial" w:eastAsia="Arial" w:hAnsi="Arial"/>
                <w:sz w:val="16"/>
                <w:szCs w:val="16"/>
                <w:color w:val="auto"/>
              </w:rPr>
              <w:t>Selling and administrative expenses, excluding impairment charges</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3,182.1</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2,938.6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8.3%</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4.1%</w:t>
            </w:r>
          </w:p>
        </w:tc>
      </w:tr>
      <w:tr>
        <w:trPr>
          <w:trHeight w:val="190"/>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Goodwill and intangible asset impairment charges</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428.8</w:t>
            </w: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N/A</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N/A</w:t>
            </w:r>
          </w:p>
        </w:tc>
      </w:tr>
      <w:tr>
        <w:trPr>
          <w:trHeight w:val="24"/>
        </w:trPr>
        <w:tc>
          <w:tcPr>
            <w:tcW w:w="5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90"/>
        </w:trPr>
        <w:tc>
          <w:tcPr>
            <w:tcW w:w="516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3,182.1</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3,367.4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-5.5%</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-9.2%</w:t>
            </w:r>
          </w:p>
        </w:tc>
      </w:tr>
      <w:tr>
        <w:trPr>
          <w:trHeight w:val="190"/>
        </w:trPr>
        <w:tc>
          <w:tcPr>
            <w:tcW w:w="51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Operating profit (loss)</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524.2</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(122.0)</w:t>
            </w: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N/A</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N/A</w:t>
            </w:r>
          </w:p>
        </w:tc>
      </w:tr>
      <w:tr>
        <w:trPr>
          <w:trHeight w:val="190"/>
        </w:trPr>
        <w:tc>
          <w:tcPr>
            <w:tcW w:w="5160" w:type="dxa"/>
            <w:vAlign w:val="bottom"/>
          </w:tcPr>
          <w:p>
            <w:pPr>
              <w:spacing w:after="0"/>
              <w:rPr>
                <w:sz w:val="20"/>
                <w:szCs w:val="20"/>
                <w:color w:val="auto"/>
              </w:rPr>
            </w:pPr>
            <w:r>
              <w:rPr>
                <w:rFonts w:ascii="Arial" w:cs="Arial" w:eastAsia="Arial" w:hAnsi="Arial"/>
                <w:sz w:val="16"/>
                <w:szCs w:val="16"/>
                <w:color w:val="auto"/>
              </w:rPr>
              <w:t>Interest and other expenses</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44.3</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43.2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2.6%</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0"/>
        </w:trPr>
        <w:tc>
          <w:tcPr>
            <w:tcW w:w="51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Earnings (loss) before income taxes</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479.9</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(165.2)</w:t>
            </w: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N/A</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N/A</w:t>
            </w:r>
          </w:p>
        </w:tc>
      </w:tr>
      <w:tr>
        <w:trPr>
          <w:trHeight w:val="190"/>
        </w:trPr>
        <w:tc>
          <w:tcPr>
            <w:tcW w:w="51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228.3</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98.4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132.1%</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0"/>
        </w:trPr>
        <w:tc>
          <w:tcPr>
            <w:tcW w:w="51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Net earnings (loss)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251.6</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(263.6)</w:t>
            </w: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N/A</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N/A</w:t>
            </w: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78"/>
        </w:trPr>
        <w:tc>
          <w:tcPr>
            <w:tcW w:w="5160" w:type="dxa"/>
            <w:vAlign w:val="bottom"/>
          </w:tcPr>
          <w:p>
            <w:pPr>
              <w:spacing w:after="0" w:line="178" w:lineRule="exact"/>
              <w:rPr>
                <w:sz w:val="20"/>
                <w:szCs w:val="20"/>
                <w:color w:val="auto"/>
              </w:rPr>
            </w:pPr>
            <w:r>
              <w:rPr>
                <w:rFonts w:ascii="Arial" w:cs="Arial" w:eastAsia="Arial" w:hAnsi="Arial"/>
                <w:sz w:val="16"/>
                <w:szCs w:val="16"/>
                <w:color w:val="auto"/>
              </w:rPr>
              <w:t>Net earnings (loss) per share - basic</w:t>
            </w:r>
          </w:p>
        </w:tc>
        <w:tc>
          <w:tcPr>
            <w:tcW w:w="116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rPr>
              <w:t>3.08</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(3.26)</w:t>
            </w:r>
          </w:p>
        </w:tc>
        <w:tc>
          <w:tcPr>
            <w:tcW w:w="1380" w:type="dxa"/>
            <w:vAlign w:val="bottom"/>
            <w:gridSpan w:val="2"/>
          </w:tcPr>
          <w:p>
            <w:pPr>
              <w:ind w:left="860"/>
              <w:spacing w:after="0" w:line="178" w:lineRule="exact"/>
              <w:rPr>
                <w:sz w:val="20"/>
                <w:szCs w:val="20"/>
                <w:color w:val="auto"/>
              </w:rPr>
            </w:pPr>
            <w:r>
              <w:rPr>
                <w:rFonts w:ascii="Arial" w:cs="Arial" w:eastAsia="Arial" w:hAnsi="Arial"/>
                <w:sz w:val="16"/>
                <w:szCs w:val="16"/>
                <w:color w:val="auto"/>
              </w:rPr>
              <w:t>N/A</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8"/>
        </w:trPr>
        <w:tc>
          <w:tcPr>
            <w:tcW w:w="51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Net earnings (loss) per share - diluted</w:t>
            </w:r>
          </w:p>
        </w:tc>
        <w:tc>
          <w:tcPr>
            <w:tcW w:w="1160" w:type="dxa"/>
            <w:vAlign w:val="bottom"/>
            <w:gridSpan w:val="2"/>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line="178" w:lineRule="exact"/>
              <w:rPr>
                <w:sz w:val="20"/>
                <w:szCs w:val="20"/>
                <w:color w:val="auto"/>
              </w:rPr>
            </w:pPr>
            <w:r>
              <w:rPr>
                <w:rFonts w:ascii="Arial" w:cs="Arial" w:eastAsia="Arial" w:hAnsi="Arial"/>
                <w:sz w:val="16"/>
                <w:szCs w:val="16"/>
                <w:color w:val="auto"/>
              </w:rPr>
              <w:t>3.04</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rPr>
              <w:t>(3.26)</w:t>
            </w:r>
          </w:p>
        </w:tc>
        <w:tc>
          <w:tcPr>
            <w:tcW w:w="1380" w:type="dxa"/>
            <w:vAlign w:val="bottom"/>
            <w:gridSpan w:val="2"/>
            <w:shd w:val="clear" w:color="auto" w:fill="CCEEFF"/>
          </w:tcPr>
          <w:p>
            <w:pPr>
              <w:ind w:left="860"/>
              <w:spacing w:after="0" w:line="178" w:lineRule="exact"/>
              <w:rPr>
                <w:sz w:val="20"/>
                <w:szCs w:val="20"/>
                <w:color w:val="auto"/>
              </w:rPr>
            </w:pPr>
            <w:r>
              <w:rPr>
                <w:rFonts w:ascii="Arial" w:cs="Arial" w:eastAsia="Arial" w:hAnsi="Arial"/>
                <w:sz w:val="16"/>
                <w:szCs w:val="16"/>
                <w:color w:val="auto"/>
              </w:rPr>
              <w:t>N/A</w:t>
            </w:r>
          </w:p>
        </w:tc>
        <w:tc>
          <w:tcPr>
            <w:tcW w:w="1280" w:type="dxa"/>
            <w:vAlign w:val="bottom"/>
            <w:gridSpan w:val="2"/>
            <w:shd w:val="clear" w:color="auto" w:fill="CCEEFF"/>
          </w:tcPr>
          <w:p>
            <w:pPr>
              <w:jc w:val="right"/>
              <w:ind w:right="140"/>
              <w:spacing w:after="0" w:line="178" w:lineRule="exact"/>
              <w:rPr>
                <w:sz w:val="20"/>
                <w:szCs w:val="20"/>
                <w:color w:val="auto"/>
              </w:rPr>
            </w:pPr>
            <w:r>
              <w:rPr>
                <w:rFonts w:ascii="Arial" w:cs="Arial" w:eastAsia="Arial" w:hAnsi="Arial"/>
                <w:sz w:val="16"/>
                <w:szCs w:val="16"/>
                <w:color w:val="auto"/>
              </w:rPr>
              <w:t>N/A</w:t>
            </w: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78"/>
        </w:trPr>
        <w:tc>
          <w:tcPr>
            <w:tcW w:w="5160" w:type="dxa"/>
            <w:vAlign w:val="bottom"/>
          </w:tcPr>
          <w:p>
            <w:pPr>
              <w:spacing w:after="0" w:line="178" w:lineRule="exact"/>
              <w:rPr>
                <w:sz w:val="20"/>
                <w:szCs w:val="20"/>
                <w:color w:val="auto"/>
              </w:rPr>
            </w:pPr>
            <w:r>
              <w:rPr>
                <w:rFonts w:ascii="Arial" w:cs="Arial" w:eastAsia="Arial" w:hAnsi="Arial"/>
                <w:sz w:val="16"/>
                <w:szCs w:val="16"/>
                <w:color w:val="auto"/>
              </w:rPr>
              <w:t>Weighted average shares - basic</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rPr>
              <w:t>81.6</w:t>
            </w:r>
          </w:p>
        </w:tc>
        <w:tc>
          <w:tcPr>
            <w:tcW w:w="220" w:type="dxa"/>
            <w:vAlign w:val="bottom"/>
          </w:tcPr>
          <w:p>
            <w:pPr>
              <w:spacing w:after="0"/>
              <w:rPr>
                <w:sz w:val="15"/>
                <w:szCs w:val="15"/>
                <w:color w:val="auto"/>
              </w:rPr>
            </w:pPr>
          </w:p>
        </w:tc>
        <w:tc>
          <w:tcPr>
            <w:tcW w:w="112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rPr>
              <w:t>81.0</w:t>
            </w:r>
          </w:p>
        </w:tc>
        <w:tc>
          <w:tcPr>
            <w:tcW w:w="138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0.8%</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8"/>
        </w:trPr>
        <w:tc>
          <w:tcPr>
            <w:tcW w:w="51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Weighted average shares - diluted</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178" w:lineRule="exact"/>
              <w:rPr>
                <w:sz w:val="20"/>
                <w:szCs w:val="20"/>
                <w:color w:val="auto"/>
              </w:rPr>
            </w:pPr>
            <w:r>
              <w:rPr>
                <w:rFonts w:ascii="Arial" w:cs="Arial" w:eastAsia="Arial" w:hAnsi="Arial"/>
                <w:sz w:val="16"/>
                <w:szCs w:val="16"/>
                <w:color w:val="auto"/>
              </w:rPr>
              <w:t>82.8</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178" w:lineRule="exact"/>
              <w:rPr>
                <w:sz w:val="20"/>
                <w:szCs w:val="20"/>
                <w:color w:val="auto"/>
              </w:rPr>
            </w:pPr>
            <w:r>
              <w:rPr>
                <w:rFonts w:ascii="Arial" w:cs="Arial" w:eastAsia="Arial" w:hAnsi="Arial"/>
                <w:sz w:val="16"/>
                <w:szCs w:val="16"/>
                <w:color w:val="auto"/>
              </w:rPr>
              <w:t>81.0</w:t>
            </w:r>
          </w:p>
        </w:tc>
        <w:tc>
          <w:tcPr>
            <w:tcW w:w="138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2.3%</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78" w:lineRule="exact"/>
        <w:rPr>
          <w:sz w:val="20"/>
          <w:szCs w:val="20"/>
          <w:color w:val="auto"/>
        </w:rPr>
      </w:pPr>
    </w:p>
    <w:p>
      <w:pPr>
        <w:ind w:left="5" w:right="400" w:hanging="5"/>
        <w:spacing w:after="0" w:line="259" w:lineRule="auto"/>
        <w:tabs>
          <w:tab w:leader="none" w:pos="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$25.2 million and $23.6 million for the years ended December 31, 2011 and 2010, respectively. These fees are primarily based on revenues by the franchise offices, which were $1,075.2 million and $968.0 million for the years ended December 31, 2011 and 2010,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321945</wp:posOffset>
            </wp:positionV>
            <wp:extent cx="726821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5"/>
          </w:cols>
          <w:pgMar w:left="235" w:top="548" w:right="219" w:bottom="1440" w:gutter="0" w:footer="0" w:header="0"/>
        </w:sectPr>
      </w:pPr>
    </w:p>
    <w:bookmarkStart w:id="8" w:name="page9"/>
    <w:bookmarkEnd w:id="8"/>
    <w:p>
      <w:pPr>
        <w:jc w:val="center"/>
        <w:ind w:right="135"/>
        <w:spacing w:after="0"/>
        <w:rPr>
          <w:sz w:val="20"/>
          <w:szCs w:val="20"/>
          <w:color w:val="auto"/>
        </w:rPr>
      </w:pPr>
      <w:r>
        <w:rPr>
          <w:rFonts w:ascii="Arial" w:cs="Arial" w:eastAsia="Arial" w:hAnsi="Arial"/>
          <w:sz w:val="19"/>
          <w:szCs w:val="19"/>
          <w:color w:val="auto"/>
        </w:rPr>
        <w:t>ManpowerGroup</w:t>
      </w:r>
    </w:p>
    <w:p>
      <w:pPr>
        <w:spacing w:after="0" w:line="16" w:lineRule="exact"/>
        <w:rPr>
          <w:sz w:val="20"/>
          <w:szCs w:val="20"/>
          <w:color w:val="auto"/>
        </w:rPr>
      </w:pPr>
    </w:p>
    <w:p>
      <w:pPr>
        <w:jc w:val="center"/>
        <w:ind w:right="135"/>
        <w:spacing w:after="0"/>
        <w:rPr>
          <w:sz w:val="20"/>
          <w:szCs w:val="20"/>
          <w:color w:val="auto"/>
        </w:rPr>
      </w:pPr>
      <w:r>
        <w:rPr>
          <w:rFonts w:ascii="Arial" w:cs="Arial" w:eastAsia="Arial" w:hAnsi="Arial"/>
          <w:sz w:val="16"/>
          <w:szCs w:val="16"/>
          <w:color w:val="auto"/>
        </w:rPr>
        <w:t>Operating Unit Results</w:t>
      </w:r>
    </w:p>
    <w:p>
      <w:pPr>
        <w:spacing w:after="0" w:line="3" w:lineRule="exact"/>
        <w:rPr>
          <w:sz w:val="20"/>
          <w:szCs w:val="20"/>
          <w:color w:val="auto"/>
        </w:rPr>
      </w:pPr>
    </w:p>
    <w:p>
      <w:pPr>
        <w:jc w:val="center"/>
        <w:ind w:right="135"/>
        <w:spacing w:after="0"/>
        <w:rPr>
          <w:sz w:val="20"/>
          <w:szCs w:val="20"/>
          <w:color w:val="auto"/>
        </w:rPr>
      </w:pPr>
      <w:r>
        <w:rPr>
          <w:rFonts w:ascii="Arial" w:cs="Arial" w:eastAsia="Arial" w:hAnsi="Arial"/>
          <w:sz w:val="16"/>
          <w:szCs w:val="16"/>
          <w:color w:val="auto"/>
        </w:rPr>
        <w:t>(In millions)</w:t>
      </w:r>
    </w:p>
    <w:p>
      <w:pPr>
        <w:spacing w:after="0" w:line="182"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4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6"/>
                <w:szCs w:val="16"/>
                <w:b w:val="1"/>
                <w:bCs w:val="1"/>
                <w:color w:val="auto"/>
                <w:w w:val="96"/>
              </w:rPr>
              <w:t>Year Ended December 31</w:t>
            </w:r>
          </w:p>
        </w:tc>
        <w:tc>
          <w:tcPr>
            <w:tcW w:w="11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4"/>
        </w:trPr>
        <w:tc>
          <w:tcPr>
            <w:tcW w:w="46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tcBorders>
              <w:bottom w:val="single" w:sz="8" w:color="auto"/>
            </w:tcBorders>
            <w:gridSpan w:val="3"/>
          </w:tcPr>
          <w:p>
            <w:pPr>
              <w:ind w:left="860"/>
              <w:spacing w:after="0"/>
              <w:rPr>
                <w:sz w:val="20"/>
                <w:szCs w:val="20"/>
                <w:color w:val="auto"/>
              </w:rPr>
            </w:pPr>
            <w:r>
              <w:rPr>
                <w:rFonts w:ascii="Arial" w:cs="Arial" w:eastAsia="Arial" w:hAnsi="Arial"/>
                <w:sz w:val="16"/>
                <w:szCs w:val="16"/>
                <w:b w:val="1"/>
                <w:bCs w:val="1"/>
                <w:color w:val="auto"/>
              </w:rPr>
              <w:t>% Variance</w:t>
            </w:r>
          </w:p>
        </w:tc>
        <w:tc>
          <w:tcPr>
            <w:tcW w:w="140" w:type="dxa"/>
            <w:vAlign w:val="bottom"/>
          </w:tcPr>
          <w:p>
            <w:pPr>
              <w:spacing w:after="0"/>
              <w:rPr>
                <w:sz w:val="16"/>
                <w:szCs w:val="16"/>
                <w:color w:val="auto"/>
              </w:rPr>
            </w:pPr>
          </w:p>
        </w:tc>
      </w:tr>
      <w:tr>
        <w:trPr>
          <w:trHeight w:val="174"/>
        </w:trPr>
        <w:tc>
          <w:tcPr>
            <w:tcW w:w="46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260"/>
              <w:spacing w:after="0" w:line="174" w:lineRule="exact"/>
              <w:rPr>
                <w:sz w:val="20"/>
                <w:szCs w:val="20"/>
                <w:color w:val="auto"/>
              </w:rPr>
            </w:pPr>
            <w:r>
              <w:rPr>
                <w:rFonts w:ascii="Arial" w:cs="Arial" w:eastAsia="Arial" w:hAnsi="Arial"/>
                <w:sz w:val="16"/>
                <w:szCs w:val="16"/>
                <w:b w:val="1"/>
                <w:bCs w:val="1"/>
                <w:color w:val="auto"/>
                <w:w w:val="92"/>
              </w:rPr>
              <w:t>Amount</w:t>
            </w:r>
          </w:p>
        </w:tc>
        <w:tc>
          <w:tcPr>
            <w:tcW w:w="1140" w:type="dxa"/>
            <w:vAlign w:val="bottom"/>
          </w:tcPr>
          <w:p>
            <w:pPr>
              <w:jc w:val="right"/>
              <w:ind w:right="181"/>
              <w:spacing w:after="0" w:line="174" w:lineRule="exact"/>
              <w:rPr>
                <w:sz w:val="20"/>
                <w:szCs w:val="20"/>
                <w:color w:val="auto"/>
              </w:rPr>
            </w:pPr>
            <w:r>
              <w:rPr>
                <w:rFonts w:ascii="Arial" w:cs="Arial" w:eastAsia="Arial" w:hAnsi="Arial"/>
                <w:sz w:val="16"/>
                <w:szCs w:val="16"/>
                <w:b w:val="1"/>
                <w:bCs w:val="1"/>
                <w:color w:val="auto"/>
              </w:rPr>
              <w:t>Constant</w:t>
            </w:r>
          </w:p>
        </w:tc>
        <w:tc>
          <w:tcPr>
            <w:tcW w:w="140" w:type="dxa"/>
            <w:vAlign w:val="bottom"/>
          </w:tcPr>
          <w:p>
            <w:pPr>
              <w:spacing w:after="0"/>
              <w:rPr>
                <w:sz w:val="15"/>
                <w:szCs w:val="15"/>
                <w:color w:val="auto"/>
              </w:rPr>
            </w:pPr>
          </w:p>
        </w:tc>
      </w:tr>
      <w:tr>
        <w:trPr>
          <w:trHeight w:val="211"/>
        </w:trPr>
        <w:tc>
          <w:tcPr>
            <w:tcW w:w="4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2010</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Reported</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Currency</w:t>
            </w:r>
          </w:p>
        </w:tc>
        <w:tc>
          <w:tcPr>
            <w:tcW w:w="140" w:type="dxa"/>
            <w:vAlign w:val="bottom"/>
          </w:tcPr>
          <w:p>
            <w:pPr>
              <w:spacing w:after="0"/>
              <w:rPr>
                <w:sz w:val="18"/>
                <w:szCs w:val="18"/>
                <w:color w:val="auto"/>
              </w:rPr>
            </w:pPr>
          </w:p>
        </w:tc>
      </w:tr>
      <w:tr>
        <w:trPr>
          <w:trHeight w:val="190"/>
        </w:trPr>
        <w:tc>
          <w:tcPr>
            <w:tcW w:w="46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0"/>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0"/>
        </w:trPr>
        <w:tc>
          <w:tcPr>
            <w:tcW w:w="4620" w:type="dxa"/>
            <w:vAlign w:val="bottom"/>
          </w:tcPr>
          <w:p>
            <w:pPr>
              <w:ind w:left="60"/>
              <w:spacing w:after="0"/>
              <w:rPr>
                <w:sz w:val="20"/>
                <w:szCs w:val="20"/>
                <w:color w:val="auto"/>
              </w:rPr>
            </w:pPr>
            <w:r>
              <w:rPr>
                <w:rFonts w:ascii="Arial" w:cs="Arial" w:eastAsia="Arial" w:hAnsi="Arial"/>
                <w:sz w:val="16"/>
                <w:szCs w:val="16"/>
                <w:color w:val="auto"/>
              </w:rPr>
              <w:t>Americas:</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0"/>
        </w:trPr>
        <w:tc>
          <w:tcPr>
            <w:tcW w:w="4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United States (b)</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3,137.3</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2,783.4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12.7%</w:t>
            </w:r>
          </w:p>
        </w:tc>
      </w:tr>
      <w:tr>
        <w:trPr>
          <w:trHeight w:val="190"/>
        </w:trPr>
        <w:tc>
          <w:tcPr>
            <w:tcW w:w="4620" w:type="dxa"/>
            <w:vAlign w:val="bottom"/>
          </w:tcPr>
          <w:p>
            <w:pPr>
              <w:ind w:left="240"/>
              <w:spacing w:after="0"/>
              <w:rPr>
                <w:sz w:val="20"/>
                <w:szCs w:val="20"/>
                <w:color w:val="auto"/>
              </w:rPr>
            </w:pPr>
            <w:r>
              <w:rPr>
                <w:rFonts w:ascii="Arial" w:cs="Arial" w:eastAsia="Arial" w:hAnsi="Arial"/>
                <w:sz w:val="16"/>
                <w:szCs w:val="16"/>
                <w:color w:val="auto"/>
              </w:rPr>
              <w:t>Other Americas</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1,512.1</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1,265.5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19.5%</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18.4%</w:t>
            </w:r>
          </w:p>
        </w:tc>
      </w:tr>
      <w:tr>
        <w:trPr>
          <w:trHeight w:val="24"/>
        </w:trPr>
        <w:tc>
          <w:tcPr>
            <w:tcW w:w="4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4"/>
        </w:trPr>
        <w:tc>
          <w:tcPr>
            <w:tcW w:w="46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4,649.4</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4,048.9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14.5%</w:t>
            </w:r>
          </w:p>
        </w:tc>
      </w:tr>
      <w:tr>
        <w:trPr>
          <w:trHeight w:val="190"/>
        </w:trPr>
        <w:tc>
          <w:tcPr>
            <w:tcW w:w="4620" w:type="dxa"/>
            <w:vAlign w:val="bottom"/>
            <w:tcBorders>
              <w:top w:val="single" w:sz="8" w:color="CCEEFF"/>
            </w:tcBorders>
          </w:tcPr>
          <w:p>
            <w:pPr>
              <w:ind w:left="80"/>
              <w:spacing w:after="0"/>
              <w:rPr>
                <w:sz w:val="20"/>
                <w:szCs w:val="20"/>
                <w:color w:val="auto"/>
              </w:rPr>
            </w:pPr>
            <w:r>
              <w:rPr>
                <w:rFonts w:ascii="Arial" w:cs="Arial" w:eastAsia="Arial" w:hAnsi="Arial"/>
                <w:sz w:val="16"/>
                <w:szCs w:val="16"/>
                <w:color w:val="auto"/>
              </w:rPr>
              <w:t>Southern Europe:</w:t>
            </w:r>
          </w:p>
        </w:tc>
        <w:tc>
          <w:tcPr>
            <w:tcW w:w="146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190"/>
        </w:trPr>
        <w:tc>
          <w:tcPr>
            <w:tcW w:w="4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France</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6,179.1</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5,208.6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12.6%</w:t>
            </w:r>
          </w:p>
        </w:tc>
      </w:tr>
      <w:tr>
        <w:trPr>
          <w:trHeight w:val="190"/>
        </w:trPr>
        <w:tc>
          <w:tcPr>
            <w:tcW w:w="4620" w:type="dxa"/>
            <w:vAlign w:val="bottom"/>
          </w:tcPr>
          <w:p>
            <w:pPr>
              <w:ind w:left="240"/>
              <w:spacing w:after="0"/>
              <w:rPr>
                <w:sz w:val="20"/>
                <w:szCs w:val="20"/>
                <w:color w:val="auto"/>
              </w:rPr>
            </w:pPr>
            <w:r>
              <w:rPr>
                <w:rFonts w:ascii="Arial" w:cs="Arial" w:eastAsia="Arial" w:hAnsi="Arial"/>
                <w:sz w:val="16"/>
                <w:szCs w:val="16"/>
                <w:color w:val="auto"/>
              </w:rPr>
              <w:t>Italy</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1,255.8</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1,044.2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20.3%</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14.2%</w:t>
            </w:r>
          </w:p>
        </w:tc>
      </w:tr>
      <w:tr>
        <w:trPr>
          <w:trHeight w:val="190"/>
        </w:trPr>
        <w:tc>
          <w:tcPr>
            <w:tcW w:w="4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Southern Europe</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776.9</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698.9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r>
      <w:tr>
        <w:trPr>
          <w:trHeight w:val="24"/>
        </w:trPr>
        <w:tc>
          <w:tcPr>
            <w:tcW w:w="46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94"/>
        </w:trPr>
        <w:tc>
          <w:tcPr>
            <w:tcW w:w="46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8,211.8</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6,951.7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18.1%</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12.3%</w:t>
            </w:r>
          </w:p>
        </w:tc>
      </w:tr>
      <w:tr>
        <w:trPr>
          <w:trHeight w:val="190"/>
        </w:trPr>
        <w:tc>
          <w:tcPr>
            <w:tcW w:w="46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0"/>
        </w:trPr>
        <w:tc>
          <w:tcPr>
            <w:tcW w:w="4620" w:type="dxa"/>
            <w:vAlign w:val="bottom"/>
          </w:tcPr>
          <w:p>
            <w:pPr>
              <w:ind w:left="80"/>
              <w:spacing w:after="0"/>
              <w:rPr>
                <w:sz w:val="20"/>
                <w:szCs w:val="20"/>
                <w:color w:val="auto"/>
              </w:rPr>
            </w:pPr>
            <w:r>
              <w:rPr>
                <w:rFonts w:ascii="Arial" w:cs="Arial" w:eastAsia="Arial" w:hAnsi="Arial"/>
                <w:sz w:val="16"/>
                <w:szCs w:val="16"/>
                <w:color w:val="auto"/>
              </w:rPr>
              <w:t>Northern Europe</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6,159.4</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5,344.1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15.3%</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9.3%</w:t>
            </w:r>
          </w:p>
        </w:tc>
      </w:tr>
      <w:tr>
        <w:trPr>
          <w:trHeight w:val="190"/>
        </w:trPr>
        <w:tc>
          <w:tcPr>
            <w:tcW w:w="46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APME</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2,661.7</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2,147.2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14.2%</w:t>
            </w:r>
          </w:p>
        </w:tc>
      </w:tr>
      <w:tr>
        <w:trPr>
          <w:trHeight w:val="190"/>
        </w:trPr>
        <w:tc>
          <w:tcPr>
            <w:tcW w:w="4620" w:type="dxa"/>
            <w:vAlign w:val="bottom"/>
          </w:tcPr>
          <w:p>
            <w:pPr>
              <w:ind w:left="80"/>
              <w:spacing w:after="0"/>
              <w:rPr>
                <w:sz w:val="20"/>
                <w:szCs w:val="20"/>
                <w:color w:val="auto"/>
              </w:rPr>
            </w:pPr>
            <w:r>
              <w:rPr>
                <w:rFonts w:ascii="Arial" w:cs="Arial" w:eastAsia="Arial" w:hAnsi="Arial"/>
                <w:sz w:val="16"/>
                <w:szCs w:val="16"/>
                <w:color w:val="auto"/>
              </w:rPr>
              <w:t>Right Management</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323.7</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374.6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-13.6%</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-16.6%</w:t>
            </w:r>
          </w:p>
        </w:tc>
      </w:tr>
      <w:tr>
        <w:trPr>
          <w:trHeight w:val="24"/>
        </w:trPr>
        <w:tc>
          <w:tcPr>
            <w:tcW w:w="4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0"/>
        </w:trPr>
        <w:tc>
          <w:tcPr>
            <w:tcW w:w="46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22,006.0</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18,866.5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11.6%</w:t>
            </w:r>
          </w:p>
        </w:tc>
      </w:tr>
      <w:tr>
        <w:trPr>
          <w:trHeight w:val="178"/>
        </w:trPr>
        <w:tc>
          <w:tcPr>
            <w:tcW w:w="462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r>
      <w:tr>
        <w:trPr>
          <w:trHeight w:val="190"/>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Operating Unit Profit (Loss): (a)</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0"/>
        </w:trPr>
        <w:tc>
          <w:tcPr>
            <w:tcW w:w="4620" w:type="dxa"/>
            <w:vAlign w:val="bottom"/>
          </w:tcPr>
          <w:p>
            <w:pPr>
              <w:ind w:left="60"/>
              <w:spacing w:after="0"/>
              <w:rPr>
                <w:sz w:val="20"/>
                <w:szCs w:val="20"/>
                <w:color w:val="auto"/>
              </w:rPr>
            </w:pPr>
            <w:r>
              <w:rPr>
                <w:rFonts w:ascii="Arial" w:cs="Arial" w:eastAsia="Arial" w:hAnsi="Arial"/>
                <w:sz w:val="16"/>
                <w:szCs w:val="16"/>
                <w:color w:val="auto"/>
              </w:rPr>
              <w:t>Americas:</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0"/>
        </w:trPr>
        <w:tc>
          <w:tcPr>
            <w:tcW w:w="4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United States</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94.1</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119.8%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119.8%</w:t>
            </w:r>
          </w:p>
        </w:tc>
      </w:tr>
      <w:tr>
        <w:trPr>
          <w:trHeight w:val="190"/>
        </w:trPr>
        <w:tc>
          <w:tcPr>
            <w:tcW w:w="4620" w:type="dxa"/>
            <w:vAlign w:val="bottom"/>
          </w:tcPr>
          <w:p>
            <w:pPr>
              <w:ind w:left="240"/>
              <w:spacing w:after="0"/>
              <w:rPr>
                <w:sz w:val="20"/>
                <w:szCs w:val="20"/>
                <w:color w:val="auto"/>
              </w:rPr>
            </w:pPr>
            <w:r>
              <w:rPr>
                <w:rFonts w:ascii="Arial" w:cs="Arial" w:eastAsia="Arial" w:hAnsi="Arial"/>
                <w:sz w:val="16"/>
                <w:szCs w:val="16"/>
                <w:color w:val="auto"/>
              </w:rPr>
              <w:t>Other Americas</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47.8</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36.5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31.2%</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30.7%</w:t>
            </w:r>
          </w:p>
        </w:tc>
      </w:tr>
      <w:tr>
        <w:trPr>
          <w:trHeight w:val="24"/>
        </w:trPr>
        <w:tc>
          <w:tcPr>
            <w:tcW w:w="4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4"/>
        </w:trPr>
        <w:tc>
          <w:tcPr>
            <w:tcW w:w="46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141.9</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79.3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79.0%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78.8%</w:t>
            </w:r>
          </w:p>
        </w:tc>
      </w:tr>
      <w:tr>
        <w:trPr>
          <w:trHeight w:val="190"/>
        </w:trPr>
        <w:tc>
          <w:tcPr>
            <w:tcW w:w="4620" w:type="dxa"/>
            <w:vAlign w:val="bottom"/>
            <w:tcBorders>
              <w:top w:val="single" w:sz="8" w:color="CCEEFF"/>
            </w:tcBorders>
          </w:tcPr>
          <w:p>
            <w:pPr>
              <w:ind w:left="80"/>
              <w:spacing w:after="0"/>
              <w:rPr>
                <w:sz w:val="20"/>
                <w:szCs w:val="20"/>
                <w:color w:val="auto"/>
              </w:rPr>
            </w:pPr>
            <w:r>
              <w:rPr>
                <w:rFonts w:ascii="Arial" w:cs="Arial" w:eastAsia="Arial" w:hAnsi="Arial"/>
                <w:sz w:val="16"/>
                <w:szCs w:val="16"/>
                <w:color w:val="auto"/>
              </w:rPr>
              <w:t>Southern Europe:</w:t>
            </w:r>
          </w:p>
        </w:tc>
        <w:tc>
          <w:tcPr>
            <w:tcW w:w="146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190"/>
        </w:trPr>
        <w:tc>
          <w:tcPr>
            <w:tcW w:w="4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France</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85.2</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69.4%</w:t>
            </w:r>
          </w:p>
        </w:tc>
      </w:tr>
      <w:tr>
        <w:trPr>
          <w:trHeight w:val="190"/>
        </w:trPr>
        <w:tc>
          <w:tcPr>
            <w:tcW w:w="4620" w:type="dxa"/>
            <w:vAlign w:val="bottom"/>
          </w:tcPr>
          <w:p>
            <w:pPr>
              <w:ind w:left="240"/>
              <w:spacing w:after="0"/>
              <w:rPr>
                <w:sz w:val="20"/>
                <w:szCs w:val="20"/>
                <w:color w:val="auto"/>
              </w:rPr>
            </w:pPr>
            <w:r>
              <w:rPr>
                <w:rFonts w:ascii="Arial" w:cs="Arial" w:eastAsia="Arial" w:hAnsi="Arial"/>
                <w:sz w:val="16"/>
                <w:szCs w:val="16"/>
                <w:color w:val="auto"/>
              </w:rPr>
              <w:t>Italy</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74.1</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47.5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55.9%</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47.2%</w:t>
            </w:r>
          </w:p>
        </w:tc>
      </w:tr>
      <w:tr>
        <w:trPr>
          <w:trHeight w:val="190"/>
        </w:trPr>
        <w:tc>
          <w:tcPr>
            <w:tcW w:w="4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Southern Europe</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10.8</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47.5%</w:t>
            </w:r>
          </w:p>
        </w:tc>
      </w:tr>
      <w:tr>
        <w:trPr>
          <w:trHeight w:val="24"/>
        </w:trPr>
        <w:tc>
          <w:tcPr>
            <w:tcW w:w="46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94"/>
        </w:trPr>
        <w:tc>
          <w:tcPr>
            <w:tcW w:w="46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170.1</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101.8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67.1%</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57.5%</w:t>
            </w:r>
          </w:p>
        </w:tc>
      </w:tr>
      <w:tr>
        <w:trPr>
          <w:trHeight w:val="190"/>
        </w:trPr>
        <w:tc>
          <w:tcPr>
            <w:tcW w:w="46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0"/>
        </w:trPr>
        <w:tc>
          <w:tcPr>
            <w:tcW w:w="4620" w:type="dxa"/>
            <w:vAlign w:val="bottom"/>
          </w:tcPr>
          <w:p>
            <w:pPr>
              <w:ind w:left="80"/>
              <w:spacing w:after="0"/>
              <w:rPr>
                <w:sz w:val="20"/>
                <w:szCs w:val="20"/>
                <w:color w:val="auto"/>
              </w:rPr>
            </w:pPr>
            <w:r>
              <w:rPr>
                <w:rFonts w:ascii="Arial" w:cs="Arial" w:eastAsia="Arial" w:hAnsi="Arial"/>
                <w:sz w:val="16"/>
                <w:szCs w:val="16"/>
                <w:color w:val="auto"/>
              </w:rPr>
              <w:t>Northern Europe</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212.6</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150.2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41.5%</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32.8%</w:t>
            </w:r>
          </w:p>
        </w:tc>
      </w:tr>
      <w:tr>
        <w:trPr>
          <w:trHeight w:val="190"/>
        </w:trPr>
        <w:tc>
          <w:tcPr>
            <w:tcW w:w="46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APME</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78.8</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54.8%</w:t>
            </w:r>
          </w:p>
        </w:tc>
      </w:tr>
      <w:tr>
        <w:trPr>
          <w:trHeight w:val="190"/>
        </w:trPr>
        <w:tc>
          <w:tcPr>
            <w:tcW w:w="4620" w:type="dxa"/>
            <w:vAlign w:val="bottom"/>
          </w:tcPr>
          <w:p>
            <w:pPr>
              <w:ind w:left="80"/>
              <w:spacing w:after="0"/>
              <w:rPr>
                <w:sz w:val="20"/>
                <w:szCs w:val="20"/>
                <w:color w:val="auto"/>
              </w:rPr>
            </w:pPr>
            <w:r>
              <w:rPr>
                <w:rFonts w:ascii="Arial" w:cs="Arial" w:eastAsia="Arial" w:hAnsi="Arial"/>
                <w:sz w:val="16"/>
                <w:szCs w:val="16"/>
                <w:color w:val="auto"/>
              </w:rPr>
              <w:t>Right Management</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3.5</w:t>
            </w:r>
          </w:p>
        </w:tc>
        <w:tc>
          <w:tcPr>
            <w:tcW w:w="138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N/A</w:t>
            </w:r>
          </w:p>
        </w:tc>
      </w:tr>
      <w:tr>
        <w:trPr>
          <w:trHeight w:val="24"/>
        </w:trPr>
        <w:tc>
          <w:tcPr>
            <w:tcW w:w="4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0"/>
        </w:trPr>
        <w:tc>
          <w:tcPr>
            <w:tcW w:w="46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602.0</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382.0</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0"/>
        </w:trPr>
        <w:tc>
          <w:tcPr>
            <w:tcW w:w="4620" w:type="dxa"/>
            <w:vAlign w:val="bottom"/>
          </w:tcPr>
          <w:p>
            <w:pPr>
              <w:spacing w:after="0"/>
              <w:rPr>
                <w:sz w:val="20"/>
                <w:szCs w:val="20"/>
                <w:color w:val="auto"/>
              </w:rPr>
            </w:pPr>
            <w:r>
              <w:rPr>
                <w:rFonts w:ascii="Arial" w:cs="Arial" w:eastAsia="Arial" w:hAnsi="Arial"/>
                <w:sz w:val="16"/>
                <w:szCs w:val="16"/>
                <w:color w:val="auto"/>
              </w:rPr>
              <w:t>Corporate expenses</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(123.1)</w:t>
            </w: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(101.2)</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0"/>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Goodwill and intangible asset impairment charges</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(428.8)</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0"/>
        </w:trPr>
        <w:tc>
          <w:tcPr>
            <w:tcW w:w="4620" w:type="dxa"/>
            <w:vAlign w:val="bottom"/>
          </w:tcPr>
          <w:p>
            <w:pPr>
              <w:spacing w:after="0"/>
              <w:rPr>
                <w:sz w:val="20"/>
                <w:szCs w:val="20"/>
                <w:color w:val="auto"/>
              </w:rPr>
            </w:pPr>
            <w:r>
              <w:rPr>
                <w:rFonts w:ascii="Arial" w:cs="Arial" w:eastAsia="Arial" w:hAnsi="Arial"/>
                <w:sz w:val="16"/>
                <w:szCs w:val="16"/>
                <w:color w:val="auto"/>
              </w:rPr>
              <w:t>Intangible asset amortization expense</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(38.9)</w:t>
            </w: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(39.3)</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0"/>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Reclassification of French business tax</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84.2</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65.3</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4"/>
        </w:trPr>
        <w:tc>
          <w:tcPr>
            <w:tcW w:w="46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90"/>
        </w:trPr>
        <w:tc>
          <w:tcPr>
            <w:tcW w:w="4620" w:type="dxa"/>
            <w:vAlign w:val="bottom"/>
          </w:tcPr>
          <w:p>
            <w:pPr>
              <w:ind w:left="160"/>
              <w:spacing w:after="0"/>
              <w:rPr>
                <w:sz w:val="20"/>
                <w:szCs w:val="20"/>
                <w:color w:val="auto"/>
              </w:rPr>
            </w:pPr>
            <w:r>
              <w:rPr>
                <w:rFonts w:ascii="Arial" w:cs="Arial" w:eastAsia="Arial" w:hAnsi="Arial"/>
                <w:sz w:val="16"/>
                <w:szCs w:val="16"/>
                <w:color w:val="auto"/>
              </w:rPr>
              <w:t>Operating profit (loss)</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524.2</w:t>
            </w: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(122.0)</w:t>
            </w:r>
          </w:p>
        </w:tc>
        <w:tc>
          <w:tcPr>
            <w:tcW w:w="138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N/A</w:t>
            </w:r>
          </w:p>
        </w:tc>
      </w:tr>
      <w:tr>
        <w:trPr>
          <w:trHeight w:val="190"/>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Interest and other expenses (c)</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(44.3)</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(43.2)</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4"/>
        </w:trPr>
        <w:tc>
          <w:tcPr>
            <w:tcW w:w="46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90"/>
        </w:trPr>
        <w:tc>
          <w:tcPr>
            <w:tcW w:w="4620" w:type="dxa"/>
            <w:vAlign w:val="bottom"/>
          </w:tcPr>
          <w:p>
            <w:pPr>
              <w:ind w:left="160"/>
              <w:spacing w:after="0"/>
              <w:rPr>
                <w:sz w:val="20"/>
                <w:szCs w:val="20"/>
                <w:color w:val="auto"/>
              </w:rPr>
            </w:pPr>
            <w:r>
              <w:rPr>
                <w:rFonts w:ascii="Arial" w:cs="Arial" w:eastAsia="Arial" w:hAnsi="Arial"/>
                <w:sz w:val="16"/>
                <w:szCs w:val="16"/>
                <w:color w:val="auto"/>
              </w:rPr>
              <w:t>Earnings (loss) before income taxes</w:t>
            </w: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479.9</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(165.2)</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
        </w:trPr>
        <w:tc>
          <w:tcPr>
            <w:tcW w:w="4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8"/>
        </w:trPr>
        <w:tc>
          <w:tcPr>
            <w:tcW w:w="46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bl>
    <w:p>
      <w:pPr>
        <w:spacing w:after="0" w:line="178" w:lineRule="exact"/>
        <w:rPr>
          <w:sz w:val="20"/>
          <w:szCs w:val="20"/>
          <w:color w:val="auto"/>
        </w:rPr>
      </w:pPr>
    </w:p>
    <w:p>
      <w:pPr>
        <w:ind w:left="5" w:right="160" w:hanging="5"/>
        <w:spacing w:after="0" w:line="278" w:lineRule="auto"/>
        <w:tabs>
          <w:tab w:leader="none" w:pos="220" w:val="left"/>
        </w:tabs>
        <w:numPr>
          <w:ilvl w:val="0"/>
          <w:numId w:val="4"/>
        </w:numPr>
        <w:rPr>
          <w:rFonts w:ascii="Arial" w:cs="Arial" w:eastAsia="Arial" w:hAnsi="Arial"/>
          <w:sz w:val="15"/>
          <w:szCs w:val="15"/>
          <w:color w:val="auto"/>
        </w:rPr>
      </w:pPr>
      <w:r>
        <w:rPr>
          <w:rFonts w:ascii="Arial" w:cs="Arial" w:eastAsia="Arial" w:hAnsi="Arial"/>
          <w:sz w:val="15"/>
          <w:szCs w:val="15"/>
          <w:color w:val="auto"/>
        </w:rPr>
        <w:t>Effective January 1, 2011, we created a new organizational structure in Europe in order to elevate our service quality throughout Europe, Middle East and Africa. Other Southern Europe and Northern Europe, previously reported in Other EMEA, are now separate reportable segments. France, Italy, and Other Southern Europe are aggregated into our Southern Europe reportable segment. All previously reported results have been restated to conform to the current year presentation. Additionally, we changed the name of our Asia Pacific reportable segment to APME; the results of this reportable segment have not been restated as only the name has changed.</w:t>
      </w:r>
    </w:p>
    <w:p>
      <w:pPr>
        <w:spacing w:after="0" w:line="151" w:lineRule="exact"/>
        <w:rPr>
          <w:rFonts w:ascii="Arial" w:cs="Arial" w:eastAsia="Arial" w:hAnsi="Arial"/>
          <w:sz w:val="15"/>
          <w:szCs w:val="15"/>
          <w:color w:val="auto"/>
        </w:rPr>
      </w:pPr>
    </w:p>
    <w:p>
      <w:pPr>
        <w:jc w:val="both"/>
        <w:ind w:left="5" w:right="320" w:hanging="5"/>
        <w:spacing w:after="0" w:line="259" w:lineRule="auto"/>
        <w:tabs>
          <w:tab w:leader="none" w:pos="229"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$13.6 million and $13.7 million for the years ended December 31, 2011 and 2010. These fees are primarily based on revenues generated by the franchise offices, which were $646.1 million and $622.0 million for the years ended December 31, 2011 and 2010, respectively.</w:t>
      </w:r>
    </w:p>
    <w:p>
      <w:pPr>
        <w:spacing w:after="0" w:line="165" w:lineRule="exact"/>
        <w:rPr>
          <w:rFonts w:ascii="Arial" w:cs="Arial" w:eastAsia="Arial" w:hAnsi="Arial"/>
          <w:sz w:val="16"/>
          <w:szCs w:val="16"/>
          <w:color w:val="auto"/>
        </w:rPr>
      </w:pPr>
    </w:p>
    <w:p>
      <w:pPr>
        <w:ind w:left="245" w:hanging="245"/>
        <w:spacing w:after="0"/>
        <w:tabs>
          <w:tab w:leader="none" w:pos="24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17" w:lineRule="exact"/>
        <w:rPr>
          <w:sz w:val="20"/>
          <w:szCs w:val="20"/>
          <w:color w:val="auto"/>
        </w:rPr>
      </w:pPr>
    </w:p>
    <w:tbl>
      <w:tblPr>
        <w:tblLayout w:type="fixed"/>
        <w:tblInd w:w="5" w:type="dxa"/>
        <w:tblCellMar>
          <w:top w:w="0" w:type="dxa"/>
          <w:left w:w="0" w:type="dxa"/>
          <w:bottom w:w="0" w:type="dxa"/>
          <w:right w:w="0" w:type="dxa"/>
        </w:tblCellMar>
      </w:tblPr>
      <w:tr>
        <w:trPr>
          <w:trHeight w:val="196"/>
        </w:trPr>
        <w:tc>
          <w:tcPr>
            <w:tcW w:w="4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3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2010</w:t>
            </w:r>
          </w:p>
        </w:tc>
        <w:tc>
          <w:tcPr>
            <w:tcW w:w="2880" w:type="dxa"/>
            <w:vAlign w:val="bottom"/>
          </w:tcPr>
          <w:p>
            <w:pPr>
              <w:spacing w:after="0"/>
              <w:rPr>
                <w:sz w:val="17"/>
                <w:szCs w:val="17"/>
                <w:color w:val="auto"/>
              </w:rPr>
            </w:pPr>
          </w:p>
        </w:tc>
      </w:tr>
      <w:tr>
        <w:trPr>
          <w:trHeight w:val="190"/>
        </w:trPr>
        <w:tc>
          <w:tcPr>
            <w:tcW w:w="4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2800" w:type="dxa"/>
            <w:vAlign w:val="bottom"/>
            <w:gridSpan w:val="2"/>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6"/>
              </w:rPr>
              <w:t>42.8</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374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43.7</w:t>
            </w:r>
          </w:p>
        </w:tc>
      </w:tr>
      <w:tr>
        <w:trPr>
          <w:trHeight w:val="190"/>
        </w:trPr>
        <w:tc>
          <w:tcPr>
            <w:tcW w:w="410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1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(7.3)</w:t>
            </w:r>
          </w:p>
        </w:tc>
        <w:tc>
          <w:tcPr>
            <w:tcW w:w="260" w:type="dxa"/>
            <w:vAlign w:val="bottom"/>
          </w:tcPr>
          <w:p>
            <w:pPr>
              <w:spacing w:after="0"/>
              <w:rPr>
                <w:sz w:val="16"/>
                <w:szCs w:val="16"/>
                <w:color w:val="auto"/>
              </w:rPr>
            </w:pPr>
          </w:p>
        </w:tc>
        <w:tc>
          <w:tcPr>
            <w:tcW w:w="3740" w:type="dxa"/>
            <w:vAlign w:val="bottom"/>
            <w:gridSpan w:val="2"/>
          </w:tcPr>
          <w:p>
            <w:pPr>
              <w:jc w:val="right"/>
              <w:ind w:right="2820"/>
              <w:spacing w:after="0"/>
              <w:rPr>
                <w:sz w:val="20"/>
                <w:szCs w:val="20"/>
                <w:color w:val="auto"/>
              </w:rPr>
            </w:pPr>
            <w:r>
              <w:rPr>
                <w:rFonts w:ascii="Arial" w:cs="Arial" w:eastAsia="Arial" w:hAnsi="Arial"/>
                <w:sz w:val="16"/>
                <w:szCs w:val="16"/>
                <w:color w:val="auto"/>
              </w:rPr>
              <w:t>(6.2)</w:t>
            </w:r>
          </w:p>
        </w:tc>
      </w:tr>
      <w:tr>
        <w:trPr>
          <w:trHeight w:val="190"/>
        </w:trPr>
        <w:tc>
          <w:tcPr>
            <w:tcW w:w="4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exchange losses</w:t>
            </w:r>
          </w:p>
        </w:tc>
        <w:tc>
          <w:tcPr>
            <w:tcW w:w="19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w:t>
            </w:r>
          </w:p>
        </w:tc>
        <w:tc>
          <w:tcPr>
            <w:tcW w:w="260" w:type="dxa"/>
            <w:vAlign w:val="bottom"/>
            <w:shd w:val="clear" w:color="auto" w:fill="CCEEFF"/>
          </w:tcPr>
          <w:p>
            <w:pPr>
              <w:spacing w:after="0"/>
              <w:rPr>
                <w:sz w:val="16"/>
                <w:szCs w:val="16"/>
                <w:color w:val="auto"/>
              </w:rPr>
            </w:pPr>
          </w:p>
        </w:tc>
        <w:tc>
          <w:tcPr>
            <w:tcW w:w="374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3.3</w:t>
            </w:r>
          </w:p>
        </w:tc>
      </w:tr>
      <w:tr>
        <w:trPr>
          <w:trHeight w:val="190"/>
        </w:trPr>
        <w:tc>
          <w:tcPr>
            <w:tcW w:w="4100" w:type="dxa"/>
            <w:vAlign w:val="bottom"/>
          </w:tcPr>
          <w:p>
            <w:pPr>
              <w:ind w:left="320"/>
              <w:spacing w:after="0"/>
              <w:rPr>
                <w:sz w:val="20"/>
                <w:szCs w:val="20"/>
                <w:color w:val="auto"/>
              </w:rPr>
            </w:pPr>
            <w:r>
              <w:rPr>
                <w:rFonts w:ascii="Arial" w:cs="Arial" w:eastAsia="Arial" w:hAnsi="Arial"/>
                <w:sz w:val="16"/>
                <w:szCs w:val="16"/>
                <w:color w:val="auto"/>
              </w:rPr>
              <w:t>Miscellaneous expenses, net</w:t>
            </w:r>
          </w:p>
        </w:tc>
        <w:tc>
          <w:tcPr>
            <w:tcW w:w="1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6.0</w:t>
            </w:r>
          </w:p>
        </w:tc>
        <w:tc>
          <w:tcPr>
            <w:tcW w:w="260" w:type="dxa"/>
            <w:vAlign w:val="bottom"/>
          </w:tcPr>
          <w:p>
            <w:pPr>
              <w:spacing w:after="0"/>
              <w:rPr>
                <w:sz w:val="16"/>
                <w:szCs w:val="16"/>
                <w:color w:val="auto"/>
              </w:rPr>
            </w:pPr>
          </w:p>
        </w:tc>
        <w:tc>
          <w:tcPr>
            <w:tcW w:w="3740" w:type="dxa"/>
            <w:vAlign w:val="bottom"/>
            <w:gridSpan w:val="2"/>
          </w:tcPr>
          <w:p>
            <w:pPr>
              <w:jc w:val="right"/>
              <w:ind w:right="2880"/>
              <w:spacing w:after="0"/>
              <w:rPr>
                <w:sz w:val="20"/>
                <w:szCs w:val="20"/>
                <w:color w:val="auto"/>
              </w:rPr>
            </w:pPr>
            <w:r>
              <w:rPr>
                <w:rFonts w:ascii="Arial" w:cs="Arial" w:eastAsia="Arial" w:hAnsi="Arial"/>
                <w:sz w:val="16"/>
                <w:szCs w:val="16"/>
                <w:color w:val="auto"/>
              </w:rPr>
              <w:t>2.4</w:t>
            </w:r>
          </w:p>
        </w:tc>
      </w:tr>
      <w:tr>
        <w:trPr>
          <w:trHeight w:val="24"/>
        </w:trPr>
        <w:tc>
          <w:tcPr>
            <w:tcW w:w="4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230"/>
        </w:trPr>
        <w:tc>
          <w:tcPr>
            <w:tcW w:w="4100" w:type="dxa"/>
            <w:vAlign w:val="bottom"/>
            <w:shd w:val="clear" w:color="auto" w:fill="CCEEFF"/>
          </w:tcPr>
          <w:p>
            <w:pPr>
              <w:spacing w:after="0"/>
              <w:rPr>
                <w:sz w:val="20"/>
                <w:szCs w:val="20"/>
                <w:color w:val="auto"/>
              </w:rPr>
            </w:pPr>
          </w:p>
        </w:tc>
        <w:tc>
          <w:tcPr>
            <w:tcW w:w="2800" w:type="dxa"/>
            <w:vAlign w:val="bottom"/>
            <w:gridSpan w:val="2"/>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6"/>
              </w:rPr>
              <w:t>44.3</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374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43.2</w:t>
            </w:r>
          </w:p>
        </w:tc>
      </w:tr>
      <w:tr>
        <w:trPr>
          <w:trHeight w:val="519"/>
        </w:trPr>
        <w:tc>
          <w:tcPr>
            <w:tcW w:w="4100" w:type="dxa"/>
            <w:vAlign w:val="bottom"/>
            <w:tcBorders>
              <w:top w:val="single" w:sz="8" w:color="CCEEFF"/>
              <w:bottom w:val="single" w:sz="8" w:color="808080"/>
            </w:tcBorders>
          </w:tcPr>
          <w:p>
            <w:pPr>
              <w:spacing w:after="0"/>
              <w:rPr>
                <w:sz w:val="24"/>
                <w:szCs w:val="24"/>
                <w:color w:val="auto"/>
              </w:rPr>
            </w:pPr>
          </w:p>
        </w:tc>
        <w:tc>
          <w:tcPr>
            <w:tcW w:w="1980" w:type="dxa"/>
            <w:vAlign w:val="bottom"/>
            <w:tcBorders>
              <w:top w:val="single" w:sz="8" w:color="CCEEFF"/>
              <w:bottom w:val="single" w:sz="8" w:color="808080"/>
            </w:tcBorders>
          </w:tcPr>
          <w:p>
            <w:pPr>
              <w:spacing w:after="0"/>
              <w:rPr>
                <w:sz w:val="24"/>
                <w:szCs w:val="24"/>
                <w:color w:val="auto"/>
              </w:rPr>
            </w:pPr>
          </w:p>
        </w:tc>
        <w:tc>
          <w:tcPr>
            <w:tcW w:w="820" w:type="dxa"/>
            <w:vAlign w:val="bottom"/>
            <w:tcBorders>
              <w:top w:val="single" w:sz="8" w:color="auto"/>
              <w:bottom w:val="single" w:sz="8" w:color="808080"/>
            </w:tcBorders>
          </w:tcPr>
          <w:p>
            <w:pPr>
              <w:spacing w:after="0"/>
              <w:rPr>
                <w:sz w:val="24"/>
                <w:szCs w:val="24"/>
                <w:color w:val="auto"/>
              </w:rPr>
            </w:pPr>
          </w:p>
        </w:tc>
        <w:tc>
          <w:tcPr>
            <w:tcW w:w="32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260" w:type="dxa"/>
            <w:vAlign w:val="bottom"/>
            <w:tcBorders>
              <w:top w:val="single" w:sz="8" w:color="auto"/>
              <w:bottom w:val="single" w:sz="8" w:color="808080"/>
            </w:tcBorders>
          </w:tcPr>
          <w:p>
            <w:pPr>
              <w:spacing w:after="0"/>
              <w:rPr>
                <w:sz w:val="24"/>
                <w:szCs w:val="24"/>
                <w:color w:val="auto"/>
              </w:rPr>
            </w:pPr>
          </w:p>
        </w:tc>
        <w:tc>
          <w:tcPr>
            <w:tcW w:w="860" w:type="dxa"/>
            <w:vAlign w:val="bottom"/>
            <w:tcBorders>
              <w:top w:val="single" w:sz="8" w:color="auto"/>
              <w:bottom w:val="single" w:sz="8" w:color="808080"/>
            </w:tcBorders>
          </w:tcPr>
          <w:p>
            <w:pPr>
              <w:spacing w:after="0"/>
              <w:rPr>
                <w:sz w:val="24"/>
                <w:szCs w:val="24"/>
                <w:color w:val="auto"/>
              </w:rPr>
            </w:pPr>
          </w:p>
        </w:tc>
        <w:tc>
          <w:tcPr>
            <w:tcW w:w="288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-13335</wp:posOffset>
            </wp:positionV>
            <wp:extent cx="127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5"/>
          </w:cols>
          <w:pgMar w:left="235" w:top="548" w:right="219" w:bottom="1440" w:gutter="0" w:footer="0" w:header="0"/>
        </w:sectPr>
      </w:pPr>
    </w:p>
    <w:bookmarkStart w:id="9" w:name="page10"/>
    <w:bookmarkEnd w:id="9"/>
    <w:p>
      <w:pPr>
        <w:jc w:val="center"/>
        <w:ind w:right="120"/>
        <w:spacing w:after="0"/>
        <w:rPr>
          <w:sz w:val="20"/>
          <w:szCs w:val="20"/>
          <w:color w:val="auto"/>
        </w:rPr>
      </w:pPr>
      <w:r>
        <w:rPr>
          <w:rFonts w:ascii="Arial" w:cs="Arial" w:eastAsia="Arial" w:hAnsi="Arial"/>
          <w:sz w:val="19"/>
          <w:szCs w:val="19"/>
          <w:color w:val="auto"/>
        </w:rPr>
        <w:t>ManpowerGroup</w:t>
      </w:r>
    </w:p>
    <w:p>
      <w:pPr>
        <w:spacing w:after="0" w:line="16"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Balance Sheets</w:t>
      </w:r>
    </w:p>
    <w:p>
      <w:pPr>
        <w:spacing w:after="0" w:line="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Dec. 31</w:t>
            </w:r>
          </w:p>
        </w:tc>
        <w:tc>
          <w:tcPr>
            <w:tcW w:w="280" w:type="dxa"/>
            <w:vAlign w:val="bottom"/>
          </w:tcPr>
          <w:p>
            <w:pPr>
              <w:spacing w:after="0"/>
              <w:rPr>
                <w:sz w:val="16"/>
                <w:szCs w:val="16"/>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89"/>
              </w:rPr>
              <w:t>Dec. 31</w:t>
            </w:r>
          </w:p>
        </w:tc>
      </w:tr>
      <w:tr>
        <w:trPr>
          <w:trHeight w:val="211"/>
        </w:trPr>
        <w:tc>
          <w:tcPr>
            <w:tcW w:w="8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8"/>
                <w:szCs w:val="18"/>
                <w:color w:val="auto"/>
              </w:rPr>
            </w:pPr>
          </w:p>
        </w:tc>
      </w:tr>
      <w:tr>
        <w:trPr>
          <w:trHeight w:val="190"/>
        </w:trPr>
        <w:tc>
          <w:tcPr>
            <w:tcW w:w="8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(Unaudited)</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8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0"/>
        </w:trPr>
        <w:tc>
          <w:tcPr>
            <w:tcW w:w="882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580.5</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772.6</w:t>
            </w:r>
          </w:p>
        </w:tc>
      </w:tr>
      <w:tr>
        <w:trPr>
          <w:trHeight w:val="190"/>
        </w:trPr>
        <w:tc>
          <w:tcPr>
            <w:tcW w:w="8820" w:type="dxa"/>
            <w:vAlign w:val="bottom"/>
          </w:tcPr>
          <w:p>
            <w:pPr>
              <w:ind w:left="60"/>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4,181.3</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3,844.1</w:t>
            </w:r>
          </w:p>
        </w:tc>
        <w:tc>
          <w:tcPr>
            <w:tcW w:w="120" w:type="dxa"/>
            <w:vAlign w:val="bottom"/>
          </w:tcPr>
          <w:p>
            <w:pPr>
              <w:spacing w:after="0"/>
              <w:rPr>
                <w:sz w:val="16"/>
                <w:szCs w:val="16"/>
                <w:color w:val="auto"/>
              </w:rPr>
            </w:pPr>
          </w:p>
        </w:tc>
      </w:tr>
      <w:tr>
        <w:trPr>
          <w:trHeight w:val="190"/>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176.3</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197.6</w:t>
            </w:r>
          </w:p>
        </w:tc>
      </w:tr>
      <w:tr>
        <w:trPr>
          <w:trHeight w:val="194"/>
        </w:trPr>
        <w:tc>
          <w:tcPr>
            <w:tcW w:w="8820" w:type="dxa"/>
            <w:vAlign w:val="bottom"/>
          </w:tcPr>
          <w:p>
            <w:pPr>
              <w:ind w:left="80"/>
              <w:spacing w:after="0"/>
              <w:rPr>
                <w:sz w:val="20"/>
                <w:szCs w:val="20"/>
                <w:color w:val="auto"/>
              </w:rPr>
            </w:pPr>
            <w:r>
              <w:rPr>
                <w:rFonts w:ascii="Arial" w:cs="Arial" w:eastAsia="Arial" w:hAnsi="Arial"/>
                <w:sz w:val="16"/>
                <w:szCs w:val="16"/>
                <w:color w:val="auto"/>
              </w:rPr>
              <w:t>Future income tax benefits</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52.4</w:t>
            </w: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59.7</w:t>
            </w:r>
          </w:p>
        </w:tc>
      </w:tr>
      <w:tr>
        <w:trPr>
          <w:trHeight w:val="190"/>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assets</w:t>
            </w: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4,990.5</w:t>
            </w:r>
          </w:p>
        </w:tc>
        <w:tc>
          <w:tcPr>
            <w:tcW w:w="2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4,874.0</w:t>
            </w:r>
          </w:p>
        </w:tc>
        <w:tc>
          <w:tcPr>
            <w:tcW w:w="120" w:type="dxa"/>
            <w:vAlign w:val="bottom"/>
            <w:shd w:val="clear" w:color="auto" w:fill="CCEEFF"/>
          </w:tcPr>
          <w:p>
            <w:pPr>
              <w:spacing w:after="0"/>
              <w:rPr>
                <w:sz w:val="16"/>
                <w:szCs w:val="16"/>
                <w:color w:val="auto"/>
              </w:rPr>
            </w:pPr>
          </w:p>
        </w:tc>
      </w:tr>
      <w:tr>
        <w:trPr>
          <w:trHeight w:val="190"/>
        </w:trPr>
        <w:tc>
          <w:tcPr>
            <w:tcW w:w="8820" w:type="dxa"/>
            <w:vAlign w:val="bottom"/>
          </w:tcPr>
          <w:p>
            <w:pPr>
              <w:spacing w:after="0"/>
              <w:rPr>
                <w:sz w:val="20"/>
                <w:szCs w:val="20"/>
                <w:color w:val="auto"/>
              </w:rPr>
            </w:pPr>
            <w:r>
              <w:rPr>
                <w:rFonts w:ascii="Arial" w:cs="Arial" w:eastAsia="Arial" w:hAnsi="Arial"/>
                <w:sz w:val="16"/>
                <w:szCs w:val="16"/>
                <w:b w:val="1"/>
                <w:bCs w:val="1"/>
                <w:color w:val="auto"/>
              </w:rPr>
              <w:t>Other assets: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Goodwill and other intangible assets, net</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1,339.6</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1,330.3</w:t>
            </w:r>
          </w:p>
        </w:tc>
        <w:tc>
          <w:tcPr>
            <w:tcW w:w="120" w:type="dxa"/>
            <w:vAlign w:val="bottom"/>
            <w:shd w:val="clear" w:color="auto" w:fill="CCEEFF"/>
          </w:tcPr>
          <w:p>
            <w:pPr>
              <w:spacing w:after="0"/>
              <w:rPr>
                <w:sz w:val="16"/>
                <w:szCs w:val="16"/>
                <w:color w:val="auto"/>
              </w:rPr>
            </w:pPr>
          </w:p>
        </w:tc>
      </w:tr>
      <w:tr>
        <w:trPr>
          <w:trHeight w:val="194"/>
        </w:trPr>
        <w:tc>
          <w:tcPr>
            <w:tcW w:w="8820" w:type="dxa"/>
            <w:vAlign w:val="bottom"/>
          </w:tcPr>
          <w:p>
            <w:pPr>
              <w:ind w:left="8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395.1</w:t>
            </w: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355.1</w:t>
            </w:r>
          </w:p>
        </w:tc>
      </w:tr>
      <w:tr>
        <w:trPr>
          <w:trHeight w:val="190"/>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other assets</w:t>
            </w: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1,734.7</w:t>
            </w:r>
          </w:p>
        </w:tc>
        <w:tc>
          <w:tcPr>
            <w:tcW w:w="2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1,685.4</w:t>
            </w:r>
          </w:p>
        </w:tc>
        <w:tc>
          <w:tcPr>
            <w:tcW w:w="120" w:type="dxa"/>
            <w:vAlign w:val="bottom"/>
            <w:shd w:val="clear" w:color="auto" w:fill="CCEEFF"/>
          </w:tcPr>
          <w:p>
            <w:pPr>
              <w:spacing w:after="0"/>
              <w:rPr>
                <w:sz w:val="16"/>
                <w:szCs w:val="16"/>
                <w:color w:val="auto"/>
              </w:rPr>
            </w:pPr>
          </w:p>
        </w:tc>
      </w:tr>
      <w:tr>
        <w:trPr>
          <w:trHeight w:val="190"/>
        </w:trPr>
        <w:tc>
          <w:tcPr>
            <w:tcW w:w="8820" w:type="dxa"/>
            <w:vAlign w:val="bottom"/>
          </w:tcPr>
          <w:p>
            <w:pPr>
              <w:spacing w:after="0"/>
              <w:rPr>
                <w:sz w:val="20"/>
                <w:szCs w:val="20"/>
                <w:color w:val="auto"/>
              </w:rPr>
            </w:pPr>
            <w:r>
              <w:rPr>
                <w:rFonts w:ascii="Arial" w:cs="Arial" w:eastAsia="Arial" w:hAnsi="Arial"/>
                <w:sz w:val="16"/>
                <w:szCs w:val="16"/>
                <w:b w:val="1"/>
                <w:bCs w:val="1"/>
                <w:color w:val="auto"/>
              </w:rPr>
              <w:t>Property and equipment:</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Land, buildings, leasehold improvements and equipment</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685.6</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688.8</w:t>
            </w:r>
          </w:p>
        </w:tc>
      </w:tr>
      <w:tr>
        <w:trPr>
          <w:trHeight w:val="190"/>
        </w:trPr>
        <w:tc>
          <w:tcPr>
            <w:tcW w:w="8820" w:type="dxa"/>
            <w:vAlign w:val="bottom"/>
          </w:tcPr>
          <w:p>
            <w:pPr>
              <w:ind w:left="80"/>
              <w:spacing w:after="0"/>
              <w:rPr>
                <w:sz w:val="20"/>
                <w:szCs w:val="20"/>
                <w:color w:val="auto"/>
              </w:rPr>
            </w:pPr>
            <w:r>
              <w:rPr>
                <w:rFonts w:ascii="Arial" w:cs="Arial" w:eastAsia="Arial" w:hAnsi="Arial"/>
                <w:sz w:val="16"/>
                <w:szCs w:val="16"/>
                <w:color w:val="auto"/>
              </w:rPr>
              <w:t>Less: accumulated depreciation and amortization</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511.1</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518.5</w:t>
            </w:r>
          </w:p>
        </w:tc>
      </w:tr>
      <w:tr>
        <w:trPr>
          <w:trHeight w:val="24"/>
        </w:trPr>
        <w:tc>
          <w:tcPr>
            <w:tcW w:w="8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4"/>
        </w:trPr>
        <w:tc>
          <w:tcPr>
            <w:tcW w:w="8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property and equipment</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170.3</w:t>
            </w:r>
          </w:p>
        </w:tc>
      </w:tr>
      <w:tr>
        <w:trPr>
          <w:trHeight w:val="190"/>
        </w:trPr>
        <w:tc>
          <w:tcPr>
            <w:tcW w:w="8820" w:type="dxa"/>
            <w:vAlign w:val="bottom"/>
            <w:tcBorders>
              <w:top w:val="single" w:sz="8" w:color="CCEEFF"/>
            </w:tcBorders>
          </w:tcPr>
          <w:p>
            <w:pPr>
              <w:ind w:left="300"/>
              <w:spacing w:after="0"/>
              <w:rPr>
                <w:sz w:val="20"/>
                <w:szCs w:val="20"/>
                <w:color w:val="auto"/>
              </w:rPr>
            </w:pPr>
            <w:r>
              <w:rPr>
                <w:rFonts w:ascii="Arial" w:cs="Arial" w:eastAsia="Arial" w:hAnsi="Arial"/>
                <w:sz w:val="16"/>
                <w:szCs w:val="16"/>
                <w:color w:val="auto"/>
              </w:rPr>
              <w:t>Total assets</w:t>
            </w: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6,899.7</w:t>
            </w:r>
          </w:p>
        </w:tc>
        <w:tc>
          <w:tcPr>
            <w:tcW w:w="220" w:type="dxa"/>
            <w:vAlign w:val="bottom"/>
            <w:tcBorders>
              <w:top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6,729.7</w:t>
            </w:r>
          </w:p>
        </w:tc>
        <w:tc>
          <w:tcPr>
            <w:tcW w:w="120" w:type="dxa"/>
            <w:vAlign w:val="bottom"/>
            <w:tcBorders>
              <w:top w:val="single" w:sz="8" w:color="CCEEFF"/>
            </w:tcBorders>
          </w:tcPr>
          <w:p>
            <w:pPr>
              <w:spacing w:after="0"/>
              <w:rPr>
                <w:sz w:val="16"/>
                <w:szCs w:val="16"/>
                <w:color w:val="auto"/>
              </w:rPr>
            </w:pPr>
          </w:p>
        </w:tc>
      </w:tr>
      <w:tr>
        <w:trPr>
          <w:trHeight w:val="20"/>
        </w:trPr>
        <w:tc>
          <w:tcPr>
            <w:tcW w:w="8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8"/>
        </w:trPr>
        <w:tc>
          <w:tcPr>
            <w:tcW w:w="8820" w:type="dxa"/>
            <w:vAlign w:val="bottom"/>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0"/>
        </w:trPr>
        <w:tc>
          <w:tcPr>
            <w:tcW w:w="882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88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1,370.6</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1,313.9</w:t>
            </w:r>
          </w:p>
        </w:tc>
        <w:tc>
          <w:tcPr>
            <w:tcW w:w="120" w:type="dxa"/>
            <w:vAlign w:val="bottom"/>
            <w:shd w:val="clear" w:color="auto" w:fill="CCEEFF"/>
          </w:tcPr>
          <w:p>
            <w:pPr>
              <w:spacing w:after="0"/>
              <w:rPr>
                <w:sz w:val="16"/>
                <w:szCs w:val="16"/>
                <w:color w:val="auto"/>
              </w:rPr>
            </w:pPr>
          </w:p>
        </w:tc>
      </w:tr>
      <w:tr>
        <w:trPr>
          <w:trHeight w:val="190"/>
        </w:trPr>
        <w:tc>
          <w:tcPr>
            <w:tcW w:w="8820" w:type="dxa"/>
            <w:vAlign w:val="bottom"/>
          </w:tcPr>
          <w:p>
            <w:pPr>
              <w:ind w:left="80"/>
              <w:spacing w:after="0"/>
              <w:rPr>
                <w:sz w:val="20"/>
                <w:szCs w:val="20"/>
                <w:color w:val="auto"/>
              </w:rPr>
            </w:pPr>
            <w:r>
              <w:rPr>
                <w:rFonts w:ascii="Arial" w:cs="Arial" w:eastAsia="Arial" w:hAnsi="Arial"/>
                <w:sz w:val="16"/>
                <w:szCs w:val="16"/>
                <w:color w:val="auto"/>
              </w:rPr>
              <w:t>Employee compensation payable</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221.9</w:t>
            </w: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240.2</w:t>
            </w:r>
          </w:p>
        </w:tc>
      </w:tr>
      <w:tr>
        <w:trPr>
          <w:trHeight w:val="190"/>
        </w:trPr>
        <w:tc>
          <w:tcPr>
            <w:tcW w:w="88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Accrued liabilities</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520.8</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547.4</w:t>
            </w:r>
          </w:p>
        </w:tc>
      </w:tr>
      <w:tr>
        <w:trPr>
          <w:trHeight w:val="190"/>
        </w:trPr>
        <w:tc>
          <w:tcPr>
            <w:tcW w:w="8820" w:type="dxa"/>
            <w:vAlign w:val="bottom"/>
          </w:tcPr>
          <w:p>
            <w:pPr>
              <w:ind w:left="60"/>
              <w:spacing w:after="0"/>
              <w:rPr>
                <w:sz w:val="20"/>
                <w:szCs w:val="20"/>
                <w:color w:val="auto"/>
              </w:rPr>
            </w:pPr>
            <w:r>
              <w:rPr>
                <w:rFonts w:ascii="Arial" w:cs="Arial" w:eastAsia="Arial" w:hAnsi="Arial"/>
                <w:sz w:val="16"/>
                <w:szCs w:val="16"/>
                <w:color w:val="auto"/>
              </w:rPr>
              <w:t>Accrued payroll taxes and insurance</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712.4</w:t>
            </w: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677.7</w:t>
            </w:r>
          </w:p>
        </w:tc>
      </w:tr>
      <w:tr>
        <w:trPr>
          <w:trHeight w:val="190"/>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Value added taxes payable</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502.3</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482.2</w:t>
            </w:r>
          </w:p>
        </w:tc>
      </w:tr>
      <w:tr>
        <w:trPr>
          <w:trHeight w:val="194"/>
        </w:trPr>
        <w:tc>
          <w:tcPr>
            <w:tcW w:w="8820" w:type="dxa"/>
            <w:vAlign w:val="bottom"/>
          </w:tcPr>
          <w:p>
            <w:pPr>
              <w:ind w:left="80"/>
              <w:spacing w:after="0"/>
              <w:rPr>
                <w:sz w:val="20"/>
                <w:szCs w:val="20"/>
                <w:color w:val="auto"/>
              </w:rPr>
            </w:pPr>
            <w:r>
              <w:rPr>
                <w:rFonts w:ascii="Arial" w:cs="Arial" w:eastAsia="Arial" w:hAnsi="Arial"/>
                <w:sz w:val="16"/>
                <w:szCs w:val="16"/>
                <w:color w:val="auto"/>
              </w:rPr>
              <w:t>Short-term borrowings and current maturities of long-term debt</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434.2</w:t>
            </w: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28.7</w:t>
            </w:r>
          </w:p>
        </w:tc>
      </w:tr>
      <w:tr>
        <w:trPr>
          <w:trHeight w:val="190"/>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3,762.2</w:t>
            </w:r>
          </w:p>
        </w:tc>
        <w:tc>
          <w:tcPr>
            <w:tcW w:w="2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3,290.1</w:t>
            </w:r>
          </w:p>
        </w:tc>
        <w:tc>
          <w:tcPr>
            <w:tcW w:w="120" w:type="dxa"/>
            <w:vAlign w:val="bottom"/>
            <w:shd w:val="clear" w:color="auto" w:fill="CCEEFF"/>
          </w:tcPr>
          <w:p>
            <w:pPr>
              <w:spacing w:after="0"/>
              <w:rPr>
                <w:sz w:val="16"/>
                <w:szCs w:val="16"/>
                <w:color w:val="auto"/>
              </w:rPr>
            </w:pPr>
          </w:p>
        </w:tc>
      </w:tr>
      <w:tr>
        <w:trPr>
          <w:trHeight w:val="190"/>
        </w:trPr>
        <w:tc>
          <w:tcPr>
            <w:tcW w:w="8820" w:type="dxa"/>
            <w:vAlign w:val="bottom"/>
          </w:tcPr>
          <w:p>
            <w:pPr>
              <w:spacing w:after="0"/>
              <w:rPr>
                <w:sz w:val="20"/>
                <w:szCs w:val="20"/>
                <w:color w:val="auto"/>
              </w:rPr>
            </w:pPr>
            <w:r>
              <w:rPr>
                <w:rFonts w:ascii="Arial" w:cs="Arial" w:eastAsia="Arial" w:hAnsi="Arial"/>
                <w:sz w:val="16"/>
                <w:szCs w:val="16"/>
                <w:b w:val="1"/>
                <w:bCs w:val="1"/>
                <w:color w:val="auto"/>
              </w:rPr>
              <w:t>Other liabilities: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Long-term debt</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266.0</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669.3</w:t>
            </w:r>
          </w:p>
        </w:tc>
      </w:tr>
      <w:tr>
        <w:trPr>
          <w:trHeight w:val="194"/>
        </w:trPr>
        <w:tc>
          <w:tcPr>
            <w:tcW w:w="8820" w:type="dxa"/>
            <w:vAlign w:val="bottom"/>
          </w:tcPr>
          <w:p>
            <w:pPr>
              <w:ind w:left="80"/>
              <w:spacing w:after="0"/>
              <w:rPr>
                <w:sz w:val="20"/>
                <w:szCs w:val="20"/>
                <w:color w:val="auto"/>
              </w:rPr>
            </w:pPr>
            <w:r>
              <w:rPr>
                <w:rFonts w:ascii="Arial" w:cs="Arial" w:eastAsia="Arial" w:hAnsi="Arial"/>
                <w:sz w:val="16"/>
                <w:szCs w:val="16"/>
                <w:color w:val="auto"/>
              </w:rPr>
              <w:t>Other long-term liabilities</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388.1</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373.1</w:t>
            </w:r>
          </w:p>
        </w:tc>
      </w:tr>
      <w:tr>
        <w:trPr>
          <w:trHeight w:val="190"/>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other liabilities</w:t>
            </w: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654.1</w:t>
            </w:r>
          </w:p>
        </w:tc>
        <w:tc>
          <w:tcPr>
            <w:tcW w:w="2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1,042.4</w:t>
            </w:r>
          </w:p>
        </w:tc>
        <w:tc>
          <w:tcPr>
            <w:tcW w:w="120" w:type="dxa"/>
            <w:vAlign w:val="bottom"/>
            <w:shd w:val="clear" w:color="auto" w:fill="CCEEFF"/>
          </w:tcPr>
          <w:p>
            <w:pPr>
              <w:spacing w:after="0"/>
              <w:rPr>
                <w:sz w:val="16"/>
                <w:szCs w:val="16"/>
                <w:color w:val="auto"/>
              </w:rPr>
            </w:pPr>
          </w:p>
        </w:tc>
      </w:tr>
      <w:tr>
        <w:trPr>
          <w:trHeight w:val="190"/>
        </w:trPr>
        <w:tc>
          <w:tcPr>
            <w:tcW w:w="882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Common stock</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r>
      <w:tr>
        <w:trPr>
          <w:trHeight w:val="190"/>
        </w:trPr>
        <w:tc>
          <w:tcPr>
            <w:tcW w:w="8820" w:type="dxa"/>
            <w:vAlign w:val="bottom"/>
          </w:tcPr>
          <w:p>
            <w:pPr>
              <w:ind w:left="80"/>
              <w:spacing w:after="0"/>
              <w:rPr>
                <w:sz w:val="20"/>
                <w:szCs w:val="20"/>
                <w:color w:val="auto"/>
              </w:rPr>
            </w:pPr>
            <w:r>
              <w:rPr>
                <w:rFonts w:ascii="Arial" w:cs="Arial" w:eastAsia="Arial" w:hAnsi="Arial"/>
                <w:sz w:val="16"/>
                <w:szCs w:val="16"/>
                <w:color w:val="auto"/>
              </w:rPr>
              <w:t>Capital in excess of par value</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2,839.9</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2,781.7</w:t>
            </w:r>
          </w:p>
        </w:tc>
        <w:tc>
          <w:tcPr>
            <w:tcW w:w="120" w:type="dxa"/>
            <w:vAlign w:val="bottom"/>
          </w:tcPr>
          <w:p>
            <w:pPr>
              <w:spacing w:after="0"/>
              <w:rPr>
                <w:sz w:val="16"/>
                <w:szCs w:val="16"/>
                <w:color w:val="auto"/>
              </w:rPr>
            </w:pPr>
          </w:p>
        </w:tc>
      </w:tr>
      <w:tr>
        <w:trPr>
          <w:trHeight w:val="190"/>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971.7</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785.2</w:t>
            </w:r>
          </w:p>
        </w:tc>
      </w:tr>
      <w:tr>
        <w:trPr>
          <w:trHeight w:val="190"/>
        </w:trPr>
        <w:tc>
          <w:tcPr>
            <w:tcW w:w="8820" w:type="dxa"/>
            <w:vAlign w:val="bottom"/>
          </w:tcPr>
          <w:p>
            <w:pPr>
              <w:ind w:left="6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35.3</w:t>
            </w: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87.0</w:t>
            </w:r>
          </w:p>
        </w:tc>
      </w:tr>
      <w:tr>
        <w:trPr>
          <w:trHeight w:val="194"/>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Treasury stock, at cost</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(1,364.6)</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(1,257.8)</w:t>
            </w:r>
          </w:p>
        </w:tc>
      </w:tr>
      <w:tr>
        <w:trPr>
          <w:trHeight w:val="194"/>
        </w:trPr>
        <w:tc>
          <w:tcPr>
            <w:tcW w:w="8820" w:type="dxa"/>
            <w:vAlign w:val="bottom"/>
            <w:tcBorders>
              <w:top w:val="single" w:sz="8" w:color="CCEEFF"/>
            </w:tcBorders>
          </w:tcPr>
          <w:p>
            <w:pPr>
              <w:ind w:left="240"/>
              <w:spacing w:after="0"/>
              <w:rPr>
                <w:sz w:val="20"/>
                <w:szCs w:val="20"/>
                <w:color w:val="auto"/>
              </w:rPr>
            </w:pPr>
            <w:r>
              <w:rPr>
                <w:rFonts w:ascii="Arial" w:cs="Arial" w:eastAsia="Arial" w:hAnsi="Arial"/>
                <w:sz w:val="16"/>
                <w:szCs w:val="16"/>
                <w:color w:val="auto"/>
              </w:rPr>
              <w:t>Total shareholders' equity</w:t>
            </w:r>
          </w:p>
        </w:tc>
        <w:tc>
          <w:tcPr>
            <w:tcW w:w="2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2,483.4</w:t>
            </w:r>
          </w:p>
        </w:tc>
        <w:tc>
          <w:tcPr>
            <w:tcW w:w="220" w:type="dxa"/>
            <w:vAlign w:val="bottom"/>
            <w:tcBorders>
              <w:top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2,397.2</w:t>
            </w:r>
          </w:p>
        </w:tc>
        <w:tc>
          <w:tcPr>
            <w:tcW w:w="120" w:type="dxa"/>
            <w:vAlign w:val="bottom"/>
            <w:tcBorders>
              <w:top w:val="single" w:sz="8" w:color="CCEEFF"/>
            </w:tcBorders>
          </w:tcPr>
          <w:p>
            <w:pPr>
              <w:spacing w:after="0"/>
              <w:rPr>
                <w:sz w:val="16"/>
                <w:szCs w:val="16"/>
                <w:color w:val="auto"/>
              </w:rPr>
            </w:pPr>
          </w:p>
        </w:tc>
      </w:tr>
      <w:tr>
        <w:trPr>
          <w:trHeight w:val="230"/>
        </w:trPr>
        <w:tc>
          <w:tcPr>
            <w:tcW w:w="8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liabilities and shareholders' equity</w:t>
            </w: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6,899.7</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6,729.7</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519"/>
        </w:trPr>
        <w:tc>
          <w:tcPr>
            <w:tcW w:w="88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548" w:right="219" w:bottom="1440" w:gutter="0" w:footer="0" w:header="0"/>
        </w:sectPr>
      </w:pPr>
    </w:p>
    <w:bookmarkStart w:id="10" w:name="page11"/>
    <w:bookmarkEnd w:id="10"/>
    <w:p>
      <w:pPr>
        <w:jc w:val="center"/>
        <w:ind w:right="120"/>
        <w:spacing w:after="0"/>
        <w:rPr>
          <w:sz w:val="20"/>
          <w:szCs w:val="20"/>
          <w:color w:val="auto"/>
        </w:rPr>
      </w:pPr>
      <w:r>
        <w:rPr>
          <w:rFonts w:ascii="Arial" w:cs="Arial" w:eastAsia="Arial" w:hAnsi="Arial"/>
          <w:sz w:val="19"/>
          <w:szCs w:val="19"/>
          <w:color w:val="auto"/>
        </w:rPr>
        <w:t>ManpowerGroup</w:t>
      </w:r>
    </w:p>
    <w:p>
      <w:pPr>
        <w:spacing w:after="0" w:line="16"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Statements of Cash Flows</w:t>
      </w:r>
    </w:p>
    <w:p>
      <w:pPr>
        <w:spacing w:after="0" w:line="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820" w:type="dxa"/>
            <w:vAlign w:val="bottom"/>
          </w:tcPr>
          <w:p>
            <w:pPr>
              <w:spacing w:after="0"/>
              <w:rPr>
                <w:sz w:val="18"/>
                <w:szCs w:val="18"/>
                <w:color w:val="auto"/>
              </w:rPr>
            </w:pPr>
          </w:p>
        </w:tc>
        <w:tc>
          <w:tcPr>
            <w:tcW w:w="2620" w:type="dxa"/>
            <w:vAlign w:val="bottom"/>
            <w:gridSpan w:val="6"/>
          </w:tcPr>
          <w:p>
            <w:pPr>
              <w:jc w:val="right"/>
              <w:ind w:right="500"/>
              <w:spacing w:after="0"/>
              <w:rPr>
                <w:sz w:val="20"/>
                <w:szCs w:val="20"/>
                <w:color w:val="auto"/>
              </w:rPr>
            </w:pPr>
            <w:r>
              <w:rPr>
                <w:rFonts w:ascii="Arial" w:cs="Arial" w:eastAsia="Arial" w:hAnsi="Arial"/>
                <w:sz w:val="16"/>
                <w:szCs w:val="16"/>
                <w:b w:val="1"/>
                <w:bCs w:val="1"/>
                <w:color w:val="auto"/>
              </w:rPr>
              <w:t>Year Ended December 31</w:t>
            </w:r>
          </w:p>
        </w:tc>
      </w:tr>
      <w:tr>
        <w:trPr>
          <w:trHeight w:val="194"/>
        </w:trPr>
        <w:tc>
          <w:tcPr>
            <w:tcW w:w="882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4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6"/>
                <w:szCs w:val="16"/>
                <w:color w:val="auto"/>
              </w:rPr>
            </w:pPr>
          </w:p>
        </w:tc>
      </w:tr>
      <w:tr>
        <w:trPr>
          <w:trHeight w:val="190"/>
        </w:trPr>
        <w:tc>
          <w:tcPr>
            <w:tcW w:w="8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(Unaudited)</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8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0"/>
        </w:trPr>
        <w:tc>
          <w:tcPr>
            <w:tcW w:w="8820" w:type="dxa"/>
            <w:vAlign w:val="bottom"/>
          </w:tcPr>
          <w:p>
            <w:pPr>
              <w:ind w:left="80"/>
              <w:spacing w:after="0"/>
              <w:rPr>
                <w:sz w:val="20"/>
                <w:szCs w:val="20"/>
                <w:color w:val="auto"/>
              </w:rPr>
            </w:pPr>
            <w:r>
              <w:rPr>
                <w:rFonts w:ascii="Arial" w:cs="Arial" w:eastAsia="Arial" w:hAnsi="Arial"/>
                <w:sz w:val="16"/>
                <w:szCs w:val="16"/>
                <w:color w:val="auto"/>
              </w:rPr>
              <w:t>Net earnings (loss)</w:t>
            </w:r>
          </w:p>
        </w:tc>
        <w:tc>
          <w:tcPr>
            <w:tcW w:w="740" w:type="dxa"/>
            <w:vAlign w:val="bottom"/>
          </w:tcPr>
          <w:p>
            <w:pPr>
              <w:jc w:val="right"/>
              <w:ind w:right="584"/>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9"/>
              </w:rPr>
              <w:t>251.6</w:t>
            </w:r>
          </w:p>
        </w:tc>
        <w:tc>
          <w:tcPr>
            <w:tcW w:w="220" w:type="dxa"/>
            <w:vAlign w:val="bottom"/>
          </w:tcPr>
          <w:p>
            <w:pPr>
              <w:spacing w:after="0"/>
              <w:rPr>
                <w:sz w:val="16"/>
                <w:szCs w:val="16"/>
                <w:color w:val="auto"/>
              </w:rPr>
            </w:pP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(263.6)</w:t>
            </w:r>
          </w:p>
        </w:tc>
      </w:tr>
      <w:tr>
        <w:trPr>
          <w:trHeight w:val="190"/>
        </w:trPr>
        <w:tc>
          <w:tcPr>
            <w:tcW w:w="88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Adjustments to reconcile net earnings (loss) to net cash used in operating activities:</w:t>
            </w: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0"/>
        </w:trPr>
        <w:tc>
          <w:tcPr>
            <w:tcW w:w="882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104.4</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110.1</w:t>
            </w:r>
          </w:p>
        </w:tc>
      </w:tr>
      <w:tr>
        <w:trPr>
          <w:trHeight w:val="190"/>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Non-cash goodwill and intangible asset impairment charges</w:t>
            </w: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428.8</w:t>
            </w:r>
          </w:p>
        </w:tc>
      </w:tr>
      <w:tr>
        <w:trPr>
          <w:trHeight w:val="190"/>
        </w:trPr>
        <w:tc>
          <w:tcPr>
            <w:tcW w:w="8820" w:type="dxa"/>
            <w:vAlign w:val="bottom"/>
          </w:tcPr>
          <w:p>
            <w:pPr>
              <w:ind w:left="240"/>
              <w:spacing w:after="0"/>
              <w:rPr>
                <w:sz w:val="20"/>
                <w:szCs w:val="20"/>
                <w:color w:val="auto"/>
              </w:rPr>
            </w:pPr>
            <w:r>
              <w:rPr>
                <w:rFonts w:ascii="Arial" w:cs="Arial" w:eastAsia="Arial" w:hAnsi="Arial"/>
                <w:sz w:val="16"/>
                <w:szCs w:val="16"/>
                <w:color w:val="auto"/>
              </w:rPr>
              <w:t>Deferred income taxes</w:t>
            </w: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24.8</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(68.5)</w:t>
            </w:r>
          </w:p>
        </w:tc>
      </w:tr>
      <w:tr>
        <w:trPr>
          <w:trHeight w:val="190"/>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Provision for doubtful accounts</w:t>
            </w: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28.9</w:t>
            </w:r>
          </w:p>
        </w:tc>
      </w:tr>
      <w:tr>
        <w:trPr>
          <w:trHeight w:val="190"/>
        </w:trPr>
        <w:tc>
          <w:tcPr>
            <w:tcW w:w="8820" w:type="dxa"/>
            <w:vAlign w:val="bottom"/>
          </w:tcPr>
          <w:p>
            <w:pPr>
              <w:ind w:left="240"/>
              <w:spacing w:after="0"/>
              <w:rPr>
                <w:sz w:val="20"/>
                <w:szCs w:val="20"/>
                <w:color w:val="auto"/>
              </w:rPr>
            </w:pPr>
            <w:r>
              <w:rPr>
                <w:rFonts w:ascii="Arial" w:cs="Arial" w:eastAsia="Arial" w:hAnsi="Arial"/>
                <w:sz w:val="16"/>
                <w:szCs w:val="16"/>
                <w:color w:val="auto"/>
              </w:rPr>
              <w:t>Share-based compensation</w:t>
            </w: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31.4</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24.1</w:t>
            </w:r>
          </w:p>
        </w:tc>
      </w:tr>
      <w:tr>
        <w:trPr>
          <w:trHeight w:val="190"/>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Excess tax benefit on exercise of share-based awards</w:t>
            </w: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w:t>
            </w: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w:t>
            </w:r>
          </w:p>
        </w:tc>
      </w:tr>
      <w:tr>
        <w:trPr>
          <w:trHeight w:val="190"/>
        </w:trPr>
        <w:tc>
          <w:tcPr>
            <w:tcW w:w="8820" w:type="dxa"/>
            <w:vAlign w:val="bottom"/>
          </w:tcPr>
          <w:p>
            <w:pPr>
              <w:ind w:left="80"/>
              <w:spacing w:after="0"/>
              <w:rPr>
                <w:sz w:val="20"/>
                <w:szCs w:val="20"/>
                <w:color w:val="auto"/>
              </w:rPr>
            </w:pPr>
            <w:r>
              <w:rPr>
                <w:rFonts w:ascii="Arial" w:cs="Arial" w:eastAsia="Arial" w:hAnsi="Arial"/>
                <w:sz w:val="16"/>
                <w:szCs w:val="16"/>
                <w:color w:val="auto"/>
              </w:rPr>
              <w:t>Changes in operating assets and liabilities, excluding the impact of acquisitions:</w:t>
            </w: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8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Accounts receivable</w:t>
            </w: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6"/>
              </w:rPr>
              <w:t>(417.1)</w:t>
            </w: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(708.1)</w:t>
            </w:r>
          </w:p>
        </w:tc>
      </w:tr>
      <w:tr>
        <w:trPr>
          <w:trHeight w:val="190"/>
        </w:trPr>
        <w:tc>
          <w:tcPr>
            <w:tcW w:w="8820" w:type="dxa"/>
            <w:vAlign w:val="bottom"/>
          </w:tcPr>
          <w:p>
            <w:pPr>
              <w:ind w:left="240"/>
              <w:spacing w:after="0"/>
              <w:rPr>
                <w:sz w:val="20"/>
                <w:szCs w:val="20"/>
                <w:color w:val="auto"/>
              </w:rPr>
            </w:pPr>
            <w:r>
              <w:rPr>
                <w:rFonts w:ascii="Arial" w:cs="Arial" w:eastAsia="Arial" w:hAnsi="Arial"/>
                <w:sz w:val="16"/>
                <w:szCs w:val="16"/>
                <w:color w:val="auto"/>
              </w:rPr>
              <w:t>Other assets</w:t>
            </w:r>
          </w:p>
        </w:tc>
        <w:tc>
          <w:tcPr>
            <w:tcW w:w="7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(48.2)</w:t>
            </w: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9.9</w:t>
            </w:r>
          </w:p>
        </w:tc>
      </w:tr>
      <w:tr>
        <w:trPr>
          <w:trHeight w:val="190"/>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liabilities</w:t>
            </w: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621.8</w:t>
            </w:r>
          </w:p>
        </w:tc>
      </w:tr>
      <w:tr>
        <w:trPr>
          <w:trHeight w:val="24"/>
        </w:trPr>
        <w:tc>
          <w:tcPr>
            <w:tcW w:w="88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4"/>
        </w:trPr>
        <w:tc>
          <w:tcPr>
            <w:tcW w:w="8820" w:type="dxa"/>
            <w:vAlign w:val="bottom"/>
          </w:tcPr>
          <w:p>
            <w:pPr>
              <w:ind w:left="480"/>
              <w:spacing w:after="0"/>
              <w:rPr>
                <w:sz w:val="20"/>
                <w:szCs w:val="20"/>
                <w:color w:val="auto"/>
              </w:rPr>
            </w:pPr>
            <w:r>
              <w:rPr>
                <w:rFonts w:ascii="Arial" w:cs="Arial" w:eastAsia="Arial" w:hAnsi="Arial"/>
                <w:sz w:val="16"/>
                <w:szCs w:val="16"/>
                <w:color w:val="auto"/>
              </w:rPr>
              <w:t>Cash provided by operating activities</w:t>
            </w: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69.2</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182.1</w:t>
            </w:r>
          </w:p>
        </w:tc>
      </w:tr>
      <w:tr>
        <w:trPr>
          <w:trHeight w:val="190"/>
        </w:trPr>
        <w:tc>
          <w:tcPr>
            <w:tcW w:w="8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7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0"/>
        </w:trPr>
        <w:tc>
          <w:tcPr>
            <w:tcW w:w="8820" w:type="dxa"/>
            <w:vAlign w:val="bottom"/>
          </w:tcPr>
          <w:p>
            <w:pPr>
              <w:ind w:left="80"/>
              <w:spacing w:after="0"/>
              <w:rPr>
                <w:sz w:val="20"/>
                <w:szCs w:val="20"/>
                <w:color w:val="auto"/>
              </w:rPr>
            </w:pPr>
            <w:r>
              <w:rPr>
                <w:rFonts w:ascii="Arial" w:cs="Arial" w:eastAsia="Arial" w:hAnsi="Arial"/>
                <w:sz w:val="16"/>
                <w:szCs w:val="16"/>
                <w:color w:val="auto"/>
              </w:rPr>
              <w:t>Capital expenditures</w:t>
            </w:r>
          </w:p>
        </w:tc>
        <w:tc>
          <w:tcPr>
            <w:tcW w:w="7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(64.9)</w:t>
            </w: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(58.5)</w:t>
            </w:r>
          </w:p>
        </w:tc>
      </w:tr>
      <w:tr>
        <w:trPr>
          <w:trHeight w:val="190"/>
        </w:trPr>
        <w:tc>
          <w:tcPr>
            <w:tcW w:w="88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Acquisitions of businesses, net of cash acquired</w:t>
            </w: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(49.0)</w:t>
            </w: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(270.0)</w:t>
            </w:r>
          </w:p>
        </w:tc>
      </w:tr>
      <w:tr>
        <w:trPr>
          <w:trHeight w:val="190"/>
        </w:trPr>
        <w:tc>
          <w:tcPr>
            <w:tcW w:w="8820" w:type="dxa"/>
            <w:vAlign w:val="bottom"/>
          </w:tcPr>
          <w:p>
            <w:pPr>
              <w:ind w:left="80"/>
              <w:spacing w:after="0"/>
              <w:rPr>
                <w:sz w:val="20"/>
                <w:szCs w:val="20"/>
                <w:color w:val="auto"/>
              </w:rPr>
            </w:pPr>
            <w:r>
              <w:rPr>
                <w:rFonts w:ascii="Arial" w:cs="Arial" w:eastAsia="Arial" w:hAnsi="Arial"/>
                <w:sz w:val="16"/>
                <w:szCs w:val="16"/>
                <w:color w:val="auto"/>
              </w:rPr>
              <w:t>Proceeds from sales of property and equipment</w:t>
            </w: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4.9</w:t>
            </w:r>
          </w:p>
        </w:tc>
      </w:tr>
      <w:tr>
        <w:trPr>
          <w:trHeight w:val="24"/>
        </w:trPr>
        <w:tc>
          <w:tcPr>
            <w:tcW w:w="88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4"/>
        </w:trPr>
        <w:tc>
          <w:tcPr>
            <w:tcW w:w="88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Cash used in investing activities</w:t>
            </w: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6"/>
              </w:rPr>
              <w:t>(109.5)</w:t>
            </w: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(323.6)</w:t>
            </w:r>
          </w:p>
        </w:tc>
      </w:tr>
      <w:tr>
        <w:trPr>
          <w:trHeight w:val="190"/>
        </w:trPr>
        <w:tc>
          <w:tcPr>
            <w:tcW w:w="882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7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190"/>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change in short-term borrowings</w:t>
            </w: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(15.6)</w:t>
            </w:r>
          </w:p>
        </w:tc>
      </w:tr>
      <w:tr>
        <w:trPr>
          <w:trHeight w:val="190"/>
        </w:trPr>
        <w:tc>
          <w:tcPr>
            <w:tcW w:w="8820" w:type="dxa"/>
            <w:vAlign w:val="bottom"/>
          </w:tcPr>
          <w:p>
            <w:pPr>
              <w:ind w:left="80"/>
              <w:spacing w:after="0"/>
              <w:rPr>
                <w:sz w:val="20"/>
                <w:szCs w:val="20"/>
                <w:color w:val="auto"/>
              </w:rPr>
            </w:pPr>
            <w:r>
              <w:rPr>
                <w:rFonts w:ascii="Arial" w:cs="Arial" w:eastAsia="Arial" w:hAnsi="Arial"/>
                <w:sz w:val="16"/>
                <w:szCs w:val="16"/>
                <w:color w:val="auto"/>
              </w:rPr>
              <w:t>Proceeds from long-term debt</w:t>
            </w: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0.8</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1.8</w:t>
            </w:r>
          </w:p>
        </w:tc>
      </w:tr>
      <w:tr>
        <w:trPr>
          <w:trHeight w:val="190"/>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Repayments of long-term debt</w:t>
            </w: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w:t>
            </w: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w:t>
            </w:r>
          </w:p>
        </w:tc>
      </w:tr>
      <w:tr>
        <w:trPr>
          <w:trHeight w:val="190"/>
        </w:trPr>
        <w:tc>
          <w:tcPr>
            <w:tcW w:w="8820" w:type="dxa"/>
            <w:vAlign w:val="bottom"/>
          </w:tcPr>
          <w:p>
            <w:pPr>
              <w:ind w:left="80"/>
              <w:spacing w:after="0"/>
              <w:rPr>
                <w:sz w:val="20"/>
                <w:szCs w:val="20"/>
                <w:color w:val="auto"/>
              </w:rPr>
            </w:pPr>
            <w:r>
              <w:rPr>
                <w:rFonts w:ascii="Arial" w:cs="Arial" w:eastAsia="Arial" w:hAnsi="Arial"/>
                <w:sz w:val="16"/>
                <w:szCs w:val="16"/>
                <w:color w:val="auto"/>
              </w:rPr>
              <w:t>Proceeds from share-based awards</w:t>
            </w: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29.5</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27.1</w:t>
            </w:r>
          </w:p>
        </w:tc>
      </w:tr>
      <w:tr>
        <w:trPr>
          <w:trHeight w:val="190"/>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Excess tax benefit on exercise of share-based awards</w:t>
            </w: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r>
      <w:tr>
        <w:trPr>
          <w:trHeight w:val="190"/>
        </w:trPr>
        <w:tc>
          <w:tcPr>
            <w:tcW w:w="8820" w:type="dxa"/>
            <w:vAlign w:val="bottom"/>
          </w:tcPr>
          <w:p>
            <w:pPr>
              <w:ind w:left="80"/>
              <w:spacing w:after="0"/>
              <w:rPr>
                <w:sz w:val="20"/>
                <w:szCs w:val="20"/>
                <w:color w:val="auto"/>
              </w:rPr>
            </w:pPr>
            <w:r>
              <w:rPr>
                <w:rFonts w:ascii="Arial" w:cs="Arial" w:eastAsia="Arial" w:hAnsi="Arial"/>
                <w:sz w:val="16"/>
                <w:szCs w:val="16"/>
                <w:color w:val="auto"/>
              </w:rPr>
              <w:t>Repurchases of common stock</w:t>
            </w:r>
          </w:p>
        </w:tc>
        <w:tc>
          <w:tcPr>
            <w:tcW w:w="7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w w:val="86"/>
              </w:rPr>
              <w:t>(104.5)</w:t>
            </w: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(34.8)</w:t>
            </w:r>
          </w:p>
        </w:tc>
      </w:tr>
      <w:tr>
        <w:trPr>
          <w:trHeight w:val="190"/>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Dividends paid</w:t>
            </w: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(65.1)</w:t>
            </w: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(60.8)</w:t>
            </w:r>
          </w:p>
        </w:tc>
      </w:tr>
      <w:tr>
        <w:trPr>
          <w:trHeight w:val="24"/>
        </w:trPr>
        <w:tc>
          <w:tcPr>
            <w:tcW w:w="88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0"/>
        </w:trPr>
        <w:tc>
          <w:tcPr>
            <w:tcW w:w="8820" w:type="dxa"/>
            <w:vAlign w:val="bottom"/>
          </w:tcPr>
          <w:p>
            <w:pPr>
              <w:ind w:left="480"/>
              <w:spacing w:after="0"/>
              <w:rPr>
                <w:sz w:val="20"/>
                <w:szCs w:val="20"/>
                <w:color w:val="auto"/>
              </w:rPr>
            </w:pPr>
            <w:r>
              <w:rPr>
                <w:rFonts w:ascii="Arial" w:cs="Arial" w:eastAsia="Arial" w:hAnsi="Arial"/>
                <w:sz w:val="16"/>
                <w:szCs w:val="16"/>
                <w:color w:val="auto"/>
              </w:rPr>
              <w:t>Cash used in financing activities</w:t>
            </w:r>
          </w:p>
        </w:tc>
        <w:tc>
          <w:tcPr>
            <w:tcW w:w="7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w w:val="86"/>
              </w:rPr>
              <w:t>(123.5)</w:t>
            </w: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(82.1)</w:t>
            </w:r>
          </w:p>
        </w:tc>
      </w:tr>
      <w:tr>
        <w:trPr>
          <w:trHeight w:val="24"/>
        </w:trPr>
        <w:tc>
          <w:tcPr>
            <w:tcW w:w="88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0"/>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w:t>
            </w: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(28.3)</w:t>
            </w: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(18.4)</w:t>
            </w:r>
          </w:p>
        </w:tc>
      </w:tr>
      <w:tr>
        <w:trPr>
          <w:trHeight w:val="24"/>
        </w:trPr>
        <w:tc>
          <w:tcPr>
            <w:tcW w:w="88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0"/>
        </w:trPr>
        <w:tc>
          <w:tcPr>
            <w:tcW w:w="8820" w:type="dxa"/>
            <w:vAlign w:val="bottom"/>
          </w:tcPr>
          <w:p>
            <w:pPr>
              <w:spacing w:after="0"/>
              <w:rPr>
                <w:sz w:val="20"/>
                <w:szCs w:val="20"/>
                <w:color w:val="auto"/>
              </w:rPr>
            </w:pPr>
            <w:r>
              <w:rPr>
                <w:rFonts w:ascii="Arial" w:cs="Arial" w:eastAsia="Arial" w:hAnsi="Arial"/>
                <w:sz w:val="16"/>
                <w:szCs w:val="16"/>
                <w:color w:val="auto"/>
              </w:rPr>
              <w:t>Change in cash and cash equivalents</w:t>
            </w:r>
          </w:p>
        </w:tc>
        <w:tc>
          <w:tcPr>
            <w:tcW w:w="7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w w:val="86"/>
              </w:rPr>
              <w:t>(192.1)</w:t>
            </w: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(242.0)</w:t>
            </w:r>
          </w:p>
        </w:tc>
      </w:tr>
      <w:tr>
        <w:trPr>
          <w:trHeight w:val="194"/>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beginning of period</w:t>
            </w:r>
          </w:p>
        </w:tc>
        <w:tc>
          <w:tcPr>
            <w:tcW w:w="7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772.6</w:t>
            </w: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1,014.6</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90"/>
        </w:trPr>
        <w:tc>
          <w:tcPr>
            <w:tcW w:w="882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740" w:type="dxa"/>
            <w:vAlign w:val="bottom"/>
          </w:tcPr>
          <w:p>
            <w:pPr>
              <w:jc w:val="right"/>
              <w:ind w:right="584"/>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9"/>
              </w:rPr>
              <w:t>580.5</w:t>
            </w:r>
          </w:p>
        </w:tc>
        <w:tc>
          <w:tcPr>
            <w:tcW w:w="220" w:type="dxa"/>
            <w:vAlign w:val="bottom"/>
          </w:tcPr>
          <w:p>
            <w:pPr>
              <w:spacing w:after="0"/>
              <w:rPr>
                <w:sz w:val="16"/>
                <w:szCs w:val="16"/>
                <w:color w:val="auto"/>
              </w:rPr>
            </w:pP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772.6</w:t>
            </w:r>
          </w:p>
        </w:tc>
      </w:tr>
      <w:tr>
        <w:trPr>
          <w:trHeight w:val="20"/>
        </w:trPr>
        <w:tc>
          <w:tcPr>
            <w:tcW w:w="8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440"/>
          </w:cols>
          <w:pgMar w:left="240" w:top="548" w:right="219" w:bottom="1440" w:gutter="0" w:footer="0" w:header="0"/>
        </w:sectPr>
      </w:pPr>
    </w:p>
    <w:bookmarkStart w:id="11" w:name="page12"/>
    <w:bookmarkEnd w:id="11"/>
    <w:p>
      <w:pPr>
        <w:jc w:val="right"/>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148590</wp:posOffset>
            </wp:positionV>
            <wp:extent cx="7247890" cy="543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51"/>
          <w:szCs w:val="51"/>
          <w:color w:val="498BB8"/>
        </w:rPr>
        <w:t>ManpowerGroup</w:t>
      </w:r>
    </w:p>
    <w:p>
      <w:pPr>
        <w:spacing w:after="0" w:line="50" w:lineRule="exact"/>
        <w:rPr>
          <w:sz w:val="20"/>
          <w:szCs w:val="20"/>
          <w:color w:val="auto"/>
        </w:rPr>
      </w:pPr>
    </w:p>
    <w:p>
      <w:pPr>
        <w:spacing w:after="0"/>
        <w:rPr>
          <w:sz w:val="20"/>
          <w:szCs w:val="20"/>
          <w:color w:val="auto"/>
        </w:rPr>
      </w:pPr>
      <w:r>
        <w:rPr>
          <w:rFonts w:ascii="Arial" w:cs="Arial" w:eastAsia="Arial" w:hAnsi="Arial"/>
          <w:sz w:val="38"/>
          <w:szCs w:val="38"/>
          <w:color w:val="498BB8"/>
        </w:rPr>
        <w:t>4</w:t>
      </w:r>
      <w:r>
        <w:rPr>
          <w:rFonts w:ascii="Arial" w:cs="Arial" w:eastAsia="Arial" w:hAnsi="Arial"/>
          <w:sz w:val="53"/>
          <w:szCs w:val="53"/>
          <w:color w:val="498BB8"/>
          <w:vertAlign w:val="superscript"/>
        </w:rPr>
        <w:t>th</w:t>
      </w:r>
      <w:r>
        <w:rPr>
          <w:rFonts w:ascii="Arial" w:cs="Arial" w:eastAsia="Arial" w:hAnsi="Arial"/>
          <w:sz w:val="38"/>
          <w:szCs w:val="38"/>
          <w:color w:val="498BB8"/>
        </w:rPr>
        <w:t xml:space="preserve"> Quarter</w:t>
      </w:r>
    </w:p>
    <w:p>
      <w:pPr>
        <w:spacing w:after="0"/>
        <w:rPr>
          <w:sz w:val="20"/>
          <w:szCs w:val="20"/>
          <w:color w:val="auto"/>
        </w:rPr>
      </w:pPr>
      <w:r>
        <w:rPr>
          <w:rFonts w:ascii="Arial" w:cs="Arial" w:eastAsia="Arial" w:hAnsi="Arial"/>
          <w:sz w:val="38"/>
          <w:szCs w:val="38"/>
          <w:color w:val="498BB8"/>
        </w:rPr>
        <w:t>February 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-741680</wp:posOffset>
            </wp:positionH>
            <wp:positionV relativeFrom="paragraph">
              <wp:posOffset>799465</wp:posOffset>
            </wp:positionV>
            <wp:extent cx="726821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280"/>
          </w:cols>
          <w:pgMar w:left="1400" w:top="116" w:right="219" w:bottom="1440" w:gutter="0" w:footer="0" w:header="0"/>
        </w:sectPr>
      </w:pPr>
    </w:p>
    <w:bookmarkStart w:id="12" w:name="page13"/>
    <w:bookmarkEnd w:id="12"/>
    <w:p>
      <w:pPr>
        <w:ind w:right="3260"/>
        <w:spacing w:after="0" w:line="289" w:lineRule="auto"/>
        <w:rPr>
          <w:sz w:val="20"/>
          <w:szCs w:val="20"/>
          <w:color w:val="auto"/>
        </w:rPr>
      </w:pPr>
      <w:r>
        <w:rPr>
          <w:rFonts w:ascii="Arial" w:cs="Arial" w:eastAsia="Arial" w:hAnsi="Arial"/>
          <w:sz w:val="25"/>
          <w:szCs w:val="25"/>
          <w:b w:val="1"/>
          <w:bCs w:val="1"/>
          <w:color w:val="FFFFFF"/>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2011 4</w:t>
      </w:r>
      <w:r>
        <w:rPr>
          <w:rFonts w:ascii="Arial" w:cs="Arial" w:eastAsia="Arial" w:hAnsi="Arial"/>
          <w:sz w:val="17"/>
          <w:szCs w:val="17"/>
          <w:b w:val="1"/>
          <w:bCs w:val="1"/>
          <w:color w:val="FFFFFF"/>
        </w:rPr>
        <w:t>th</w:t>
      </w:r>
      <w:r>
        <w:rPr>
          <w:rFonts w:ascii="Arial" w:cs="Arial" w:eastAsia="Arial" w:hAnsi="Arial"/>
          <w:sz w:val="25"/>
          <w:szCs w:val="25"/>
          <w:b w:val="1"/>
          <w:bCs w:val="1"/>
          <w:color w:val="FFFFFF"/>
        </w:rPr>
        <w:t xml:space="preserve"> Quarter Results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February</w:t>
      </w:r>
    </w:p>
    <w:p>
      <w:pPr>
        <w:spacing w:after="0" w:line="451" w:lineRule="exact"/>
        <w:rPr>
          <w:sz w:val="20"/>
          <w:szCs w:val="20"/>
          <w:color w:val="auto"/>
        </w:rPr>
      </w:pPr>
    </w:p>
    <w:p>
      <w:pPr>
        <w:sectPr>
          <w:pgSz w:w="11900" w:h="16838" w:orient="portrait"/>
          <w:cols w:equalWidth="0" w:num="2">
            <w:col w:w="8340" w:space="720"/>
            <w:col w:w="1080"/>
          </w:cols>
          <w:pgMar w:left="680" w:top="449" w:right="1079" w:bottom="1440" w:gutter="0" w:footer="0" w:header="0"/>
        </w:sectPr>
      </w:pPr>
    </w:p>
    <w:p>
      <w:pPr>
        <w:ind w:left="140"/>
        <w:spacing w:after="0"/>
        <w:rPr>
          <w:sz w:val="20"/>
          <w:szCs w:val="20"/>
          <w:color w:val="auto"/>
        </w:rPr>
      </w:pPr>
      <w:r>
        <w:rPr>
          <w:rFonts w:ascii="Arial" w:cs="Arial" w:eastAsia="Arial" w:hAnsi="Arial"/>
          <w:sz w:val="51"/>
          <w:szCs w:val="51"/>
          <w:color w:val="5F81AA"/>
        </w:rPr>
        <w:t>Forward-Looking Statement</w:t>
      </w:r>
    </w:p>
    <w:p>
      <w:pPr>
        <w:spacing w:after="0" w:line="200" w:lineRule="exact"/>
        <w:rPr>
          <w:sz w:val="20"/>
          <w:szCs w:val="20"/>
          <w:color w:val="auto"/>
        </w:rPr>
      </w:pPr>
    </w:p>
    <w:p>
      <w:pPr>
        <w:spacing w:after="0" w:line="277" w:lineRule="exact"/>
        <w:rPr>
          <w:sz w:val="20"/>
          <w:szCs w:val="20"/>
          <w:color w:val="auto"/>
        </w:rPr>
      </w:pPr>
    </w:p>
    <w:p>
      <w:pPr>
        <w:ind w:left="140" w:right="2920"/>
        <w:spacing w:after="0" w:line="249" w:lineRule="auto"/>
        <w:rPr>
          <w:sz w:val="20"/>
          <w:szCs w:val="20"/>
          <w:color w:val="auto"/>
        </w:rPr>
      </w:pPr>
      <w:r>
        <w:rPr>
          <w:rFonts w:ascii="Arial" w:cs="Arial" w:eastAsia="Arial" w:hAnsi="Arial"/>
          <w:sz w:val="25"/>
          <w:szCs w:val="25"/>
          <w:color w:val="67696F"/>
        </w:rPr>
        <w:t>This presentation includes forward-looking statements, including earnings projections which are subject to risks and uncertainties. Actual results might differ materially from those projected in the forward-looking statements. Additional information concerning factors that could cause actual results to materially differ from those in the forward-looking statements is contained in the Manpower Inc. Annual Report on Form 10-K dated December 31, 2010, which information is incorporated herein by reference, and such other factors as may be described from time to time in the Company’s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2507615</wp:posOffset>
            </wp:positionV>
            <wp:extent cx="726821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140"/>
          </w:cols>
          <w:pgMar w:left="680" w:top="449" w:right="1079" w:bottom="1440" w:gutter="0" w:footer="0" w:header="0"/>
          <w:type w:val="continuous"/>
        </w:sectPr>
      </w:pPr>
    </w:p>
    <w:bookmarkStart w:id="13" w:name="page14"/>
    <w:bookmarkEnd w:id="13"/>
    <w:tbl>
      <w:tblPr>
        <w:tblLayout w:type="fixed"/>
        <w:tblInd w:w="440" w:type="dxa"/>
        <w:tblCellMar>
          <w:top w:w="0" w:type="dxa"/>
          <w:left w:w="0" w:type="dxa"/>
          <w:bottom w:w="0" w:type="dxa"/>
          <w:right w:w="0" w:type="dxa"/>
        </w:tblCellMar>
      </w:tblPr>
      <w:tr>
        <w:trPr>
          <w:trHeight w:val="297"/>
        </w:trPr>
        <w:tc>
          <w:tcPr>
            <w:tcW w:w="8120" w:type="dxa"/>
            <w:vAlign w:val="bottom"/>
            <w:gridSpan w:val="6"/>
          </w:tcPr>
          <w:p>
            <w:pPr>
              <w:spacing w:after="0"/>
              <w:rPr>
                <w:sz w:val="20"/>
                <w:szCs w:val="20"/>
                <w:color w:val="auto"/>
              </w:rPr>
            </w:pPr>
            <w:r>
              <w:rPr>
                <w:rFonts w:ascii="Arial" w:cs="Arial" w:eastAsia="Arial" w:hAnsi="Arial"/>
                <w:sz w:val="25"/>
                <w:szCs w:val="25"/>
                <w:b w:val="1"/>
                <w:bCs w:val="1"/>
                <w:color w:val="FFFFFF"/>
              </w:rPr>
              <w:t>ManpowerGroup 2011 4</w:t>
            </w:r>
            <w:r>
              <w:rPr>
                <w:rFonts w:ascii="Arial" w:cs="Arial" w:eastAsia="Arial" w:hAnsi="Arial"/>
                <w:sz w:val="17"/>
                <w:szCs w:val="17"/>
                <w:b w:val="1"/>
                <w:bCs w:val="1"/>
                <w:color w:val="FFFFFF"/>
              </w:rPr>
              <w:t>th</w:t>
            </w:r>
            <w:r>
              <w:rPr>
                <w:rFonts w:ascii="Arial" w:cs="Arial" w:eastAsia="Arial" w:hAnsi="Arial"/>
                <w:sz w:val="25"/>
                <w:szCs w:val="25"/>
                <w:b w:val="1"/>
                <w:bCs w:val="1"/>
                <w:color w:val="FFFFFF"/>
              </w:rPr>
              <w:t xml:space="preserve"> Quarter Results</w:t>
            </w:r>
          </w:p>
        </w:tc>
        <w:tc>
          <w:tcPr>
            <w:tcW w:w="2020" w:type="dxa"/>
            <w:vAlign w:val="bottom"/>
          </w:tcPr>
          <w:p>
            <w:pPr>
              <w:ind w:left="940"/>
              <w:spacing w:after="0"/>
              <w:rPr>
                <w:sz w:val="20"/>
                <w:szCs w:val="20"/>
                <w:color w:val="auto"/>
              </w:rPr>
            </w:pPr>
            <w:r>
              <w:rPr>
                <w:rFonts w:ascii="Arial" w:cs="Arial" w:eastAsia="Arial" w:hAnsi="Arial"/>
                <w:sz w:val="25"/>
                <w:szCs w:val="25"/>
                <w:b w:val="1"/>
                <w:bCs w:val="1"/>
                <w:color w:val="FFFFFF"/>
                <w:w w:val="99"/>
              </w:rPr>
              <w:t>February</w:t>
            </w:r>
          </w:p>
        </w:tc>
        <w:tc>
          <w:tcPr>
            <w:tcW w:w="0" w:type="dxa"/>
            <w:vAlign w:val="bottom"/>
          </w:tcPr>
          <w:p>
            <w:pPr>
              <w:spacing w:after="0"/>
              <w:rPr>
                <w:sz w:val="1"/>
                <w:szCs w:val="1"/>
                <w:color w:val="auto"/>
              </w:rPr>
            </w:pPr>
          </w:p>
        </w:tc>
      </w:tr>
      <w:tr>
        <w:trPr>
          <w:trHeight w:val="288"/>
        </w:trPr>
        <w:tc>
          <w:tcPr>
            <w:tcW w:w="2340" w:type="dxa"/>
            <w:vAlign w:val="bottom"/>
            <w:gridSpan w:val="2"/>
          </w:tcPr>
          <w:p>
            <w:pPr>
              <w:spacing w:after="0"/>
              <w:rPr>
                <w:sz w:val="20"/>
                <w:szCs w:val="20"/>
                <w:color w:val="auto"/>
              </w:rPr>
            </w:pPr>
            <w:r>
              <w:rPr>
                <w:rFonts w:ascii="Arial" w:cs="Arial" w:eastAsia="Arial" w:hAnsi="Arial"/>
                <w:sz w:val="25"/>
                <w:szCs w:val="25"/>
                <w:b w:val="1"/>
                <w:bCs w:val="1"/>
                <w:color w:val="FFFFFF"/>
              </w:rPr>
              <w:t>2012</w:t>
            </w:r>
          </w:p>
        </w:tc>
        <w:tc>
          <w:tcPr>
            <w:tcW w:w="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3"/>
        </w:trPr>
        <w:tc>
          <w:tcPr>
            <w:tcW w:w="8120" w:type="dxa"/>
            <w:vAlign w:val="bottom"/>
            <w:gridSpan w:val="6"/>
          </w:tcPr>
          <w:p>
            <w:pPr>
              <w:ind w:left="40"/>
              <w:spacing w:after="0"/>
              <w:rPr>
                <w:sz w:val="20"/>
                <w:szCs w:val="20"/>
                <w:color w:val="auto"/>
              </w:rPr>
            </w:pPr>
            <w:r>
              <w:rPr>
                <w:rFonts w:ascii="Arial" w:cs="Arial" w:eastAsia="Arial" w:hAnsi="Arial"/>
                <w:sz w:val="51"/>
                <w:szCs w:val="51"/>
                <w:color w:val="5F81AA"/>
              </w:rPr>
              <w:t>Consolidated Financial Highlights</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20" w:type="dxa"/>
            <w:vAlign w:val="bottom"/>
          </w:tcPr>
          <w:p>
            <w:pPr>
              <w:spacing w:after="0"/>
              <w:rPr>
                <w:sz w:val="24"/>
                <w:szCs w:val="24"/>
                <w:color w:val="auto"/>
              </w:rPr>
            </w:pPr>
          </w:p>
        </w:tc>
        <w:tc>
          <w:tcPr>
            <w:tcW w:w="2020" w:type="dxa"/>
            <w:vAlign w:val="bottom"/>
            <w:vMerge w:val="restart"/>
          </w:tcPr>
          <w:p>
            <w:pPr>
              <w:jc w:val="center"/>
              <w:spacing w:after="0"/>
              <w:rPr>
                <w:sz w:val="20"/>
                <w:szCs w:val="20"/>
                <w:color w:val="auto"/>
              </w:rPr>
            </w:pPr>
            <w:r>
              <w:rPr>
                <w:rFonts w:ascii="Arial" w:cs="Arial" w:eastAsia="Arial" w:hAnsi="Arial"/>
                <w:sz w:val="25"/>
                <w:szCs w:val="25"/>
                <w:b w:val="1"/>
                <w:bCs w:val="1"/>
                <w:color w:val="282A32"/>
              </w:rPr>
              <w:t>As</w:t>
            </w:r>
          </w:p>
        </w:tc>
        <w:tc>
          <w:tcPr>
            <w:tcW w:w="40" w:type="dxa"/>
            <w:vAlign w:val="bottom"/>
          </w:tcPr>
          <w:p>
            <w:pPr>
              <w:spacing w:after="0"/>
              <w:rPr>
                <w:sz w:val="24"/>
                <w:szCs w:val="24"/>
                <w:color w:val="auto"/>
              </w:rPr>
            </w:pPr>
          </w:p>
        </w:tc>
        <w:tc>
          <w:tcPr>
            <w:tcW w:w="2020" w:type="dxa"/>
            <w:vAlign w:val="bottom"/>
            <w:vMerge w:val="restart"/>
          </w:tcPr>
          <w:p>
            <w:pPr>
              <w:jc w:val="center"/>
              <w:spacing w:after="0"/>
              <w:rPr>
                <w:sz w:val="20"/>
                <w:szCs w:val="20"/>
                <w:color w:val="auto"/>
              </w:rPr>
            </w:pPr>
            <w:r>
              <w:rPr>
                <w:rFonts w:ascii="Arial" w:cs="Arial" w:eastAsia="Arial" w:hAnsi="Arial"/>
                <w:sz w:val="25"/>
                <w:szCs w:val="25"/>
                <w:b w:val="1"/>
                <w:bCs w:val="1"/>
                <w:color w:val="282A32"/>
              </w:rPr>
              <w:t>Excluding Non</w:t>
            </w:r>
          </w:p>
        </w:tc>
        <w:tc>
          <w:tcPr>
            <w:tcW w:w="40" w:type="dxa"/>
            <w:vAlign w:val="bottom"/>
          </w:tcPr>
          <w:p>
            <w:pPr>
              <w:spacing w:after="0"/>
              <w:rPr>
                <w:sz w:val="24"/>
                <w:szCs w:val="24"/>
                <w:color w:val="auto"/>
              </w:rPr>
            </w:pPr>
          </w:p>
        </w:tc>
        <w:tc>
          <w:tcPr>
            <w:tcW w:w="5700" w:type="dxa"/>
            <w:vAlign w:val="bottom"/>
            <w:gridSpan w:val="2"/>
            <w:vMerge w:val="restart"/>
          </w:tcPr>
          <w:p>
            <w:pPr>
              <w:ind w:left="340"/>
              <w:spacing w:after="0"/>
              <w:rPr>
                <w:sz w:val="20"/>
                <w:szCs w:val="20"/>
                <w:color w:val="auto"/>
              </w:rPr>
            </w:pPr>
            <w:r>
              <w:rPr>
                <w:rFonts w:ascii="Arial" w:cs="Arial" w:eastAsia="Arial" w:hAnsi="Arial"/>
                <w:sz w:val="41"/>
                <w:szCs w:val="41"/>
                <w:b w:val="1"/>
                <w:bCs w:val="1"/>
                <w:color w:val="auto"/>
              </w:rPr>
              <w:t>Q4 Financial Highlights</w:t>
            </w:r>
          </w:p>
        </w:tc>
        <w:tc>
          <w:tcPr>
            <w:tcW w:w="0" w:type="dxa"/>
            <w:vAlign w:val="bottom"/>
          </w:tcPr>
          <w:p>
            <w:pPr>
              <w:spacing w:after="0"/>
              <w:rPr>
                <w:sz w:val="1"/>
                <w:szCs w:val="1"/>
                <w:color w:val="auto"/>
              </w:rPr>
            </w:pPr>
          </w:p>
        </w:tc>
      </w:tr>
      <w:tr>
        <w:trPr>
          <w:trHeight w:val="262"/>
        </w:trPr>
        <w:tc>
          <w:tcPr>
            <w:tcW w:w="320" w:type="dxa"/>
            <w:vAlign w:val="bottom"/>
          </w:tcPr>
          <w:p>
            <w:pPr>
              <w:spacing w:after="0"/>
              <w:rPr>
                <w:sz w:val="22"/>
                <w:szCs w:val="22"/>
                <w:color w:val="auto"/>
              </w:rPr>
            </w:pPr>
          </w:p>
        </w:tc>
        <w:tc>
          <w:tcPr>
            <w:tcW w:w="2020" w:type="dxa"/>
            <w:vAlign w:val="bottom"/>
            <w:vMerge w:val="continue"/>
          </w:tcPr>
          <w:p>
            <w:pPr>
              <w:spacing w:after="0"/>
              <w:rPr>
                <w:sz w:val="22"/>
                <w:szCs w:val="22"/>
                <w:color w:val="auto"/>
              </w:rPr>
            </w:pPr>
          </w:p>
        </w:tc>
        <w:tc>
          <w:tcPr>
            <w:tcW w:w="40" w:type="dxa"/>
            <w:vAlign w:val="bottom"/>
            <w:shd w:val="clear" w:color="auto" w:fill="D47C18"/>
          </w:tcPr>
          <w:p>
            <w:pPr>
              <w:spacing w:after="0"/>
              <w:rPr>
                <w:sz w:val="22"/>
                <w:szCs w:val="22"/>
                <w:color w:val="auto"/>
              </w:rPr>
            </w:pPr>
          </w:p>
        </w:tc>
        <w:tc>
          <w:tcPr>
            <w:tcW w:w="2020" w:type="dxa"/>
            <w:vAlign w:val="bottom"/>
            <w:vMerge w:val="continue"/>
          </w:tcPr>
          <w:p>
            <w:pPr>
              <w:spacing w:after="0"/>
              <w:rPr>
                <w:sz w:val="22"/>
                <w:szCs w:val="22"/>
                <w:color w:val="auto"/>
              </w:rPr>
            </w:pPr>
          </w:p>
        </w:tc>
        <w:tc>
          <w:tcPr>
            <w:tcW w:w="40" w:type="dxa"/>
            <w:vAlign w:val="bottom"/>
            <w:shd w:val="clear" w:color="auto" w:fill="D47C18"/>
          </w:tcPr>
          <w:p>
            <w:pPr>
              <w:spacing w:after="0"/>
              <w:rPr>
                <w:sz w:val="22"/>
                <w:szCs w:val="22"/>
                <w:color w:val="auto"/>
              </w:rPr>
            </w:pPr>
          </w:p>
        </w:tc>
        <w:tc>
          <w:tcPr>
            <w:tcW w:w="57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69"/>
        </w:trPr>
        <w:tc>
          <w:tcPr>
            <w:tcW w:w="3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25"/>
                <w:szCs w:val="25"/>
                <w:b w:val="1"/>
                <w:bCs w:val="1"/>
                <w:color w:val="282A32"/>
              </w:rPr>
              <w:t>Reported</w:t>
            </w:r>
          </w:p>
        </w:tc>
        <w:tc>
          <w:tcPr>
            <w:tcW w:w="40" w:type="dxa"/>
            <w:vAlign w:val="bottom"/>
            <w:shd w:val="clear" w:color="auto" w:fill="D47C18"/>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25"/>
                <w:szCs w:val="25"/>
                <w:b w:val="1"/>
                <w:bCs w:val="1"/>
                <w:color w:val="282A32"/>
              </w:rPr>
              <w:t>-recurring</w:t>
            </w:r>
          </w:p>
        </w:tc>
        <w:tc>
          <w:tcPr>
            <w:tcW w:w="40" w:type="dxa"/>
            <w:vAlign w:val="bottom"/>
            <w:shd w:val="clear" w:color="auto" w:fill="D47C18"/>
          </w:tcPr>
          <w:p>
            <w:pPr>
              <w:spacing w:after="0"/>
              <w:rPr>
                <w:sz w:val="24"/>
                <w:szCs w:val="24"/>
                <w:color w:val="auto"/>
              </w:rPr>
            </w:pPr>
          </w:p>
        </w:tc>
        <w:tc>
          <w:tcPr>
            <w:tcW w:w="57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20" w:type="dxa"/>
            <w:vAlign w:val="bottom"/>
          </w:tcPr>
          <w:p>
            <w:pPr>
              <w:spacing w:after="0"/>
              <w:rPr>
                <w:sz w:val="24"/>
                <w:szCs w:val="24"/>
                <w:color w:val="auto"/>
              </w:rPr>
            </w:pPr>
          </w:p>
        </w:tc>
        <w:tc>
          <w:tcPr>
            <w:tcW w:w="2020" w:type="dxa"/>
            <w:vAlign w:val="bottom"/>
            <w:tcBorders>
              <w:bottom w:val="single" w:sz="8" w:color="D47C18"/>
            </w:tcBorders>
          </w:tcPr>
          <w:p>
            <w:pPr>
              <w:spacing w:after="0"/>
              <w:rPr>
                <w:sz w:val="24"/>
                <w:szCs w:val="24"/>
                <w:color w:val="auto"/>
              </w:rPr>
            </w:pPr>
          </w:p>
        </w:tc>
        <w:tc>
          <w:tcPr>
            <w:tcW w:w="40" w:type="dxa"/>
            <w:vAlign w:val="bottom"/>
            <w:tcBorders>
              <w:bottom w:val="single" w:sz="8" w:color="D47C18"/>
            </w:tcBorders>
            <w:shd w:val="clear" w:color="auto" w:fill="D47C18"/>
          </w:tcPr>
          <w:p>
            <w:pPr>
              <w:spacing w:after="0"/>
              <w:rPr>
                <w:sz w:val="24"/>
                <w:szCs w:val="24"/>
                <w:color w:val="auto"/>
              </w:rPr>
            </w:pPr>
          </w:p>
        </w:tc>
        <w:tc>
          <w:tcPr>
            <w:tcW w:w="2020" w:type="dxa"/>
            <w:vAlign w:val="bottom"/>
            <w:tcBorders>
              <w:bottom w:val="single" w:sz="8" w:color="D47C18"/>
            </w:tcBorders>
          </w:tcPr>
          <w:p>
            <w:pPr>
              <w:ind w:left="700"/>
              <w:spacing w:after="0"/>
              <w:rPr>
                <w:sz w:val="20"/>
                <w:szCs w:val="20"/>
                <w:color w:val="auto"/>
              </w:rPr>
            </w:pPr>
            <w:r>
              <w:rPr>
                <w:rFonts w:ascii="Arial" w:cs="Arial" w:eastAsia="Arial" w:hAnsi="Arial"/>
                <w:sz w:val="25"/>
                <w:szCs w:val="25"/>
                <w:b w:val="1"/>
                <w:bCs w:val="1"/>
                <w:color w:val="282A32"/>
              </w:rPr>
              <w:t xml:space="preserve">Items </w:t>
            </w:r>
            <w:r>
              <w:rPr>
                <w:rFonts w:ascii="Arial" w:cs="Arial" w:eastAsia="Arial" w:hAnsi="Arial"/>
                <w:sz w:val="17"/>
                <w:szCs w:val="17"/>
                <w:b w:val="1"/>
                <w:bCs w:val="1"/>
                <w:color w:val="C46D24"/>
              </w:rPr>
              <w:t>(1)</w:t>
            </w:r>
          </w:p>
        </w:tc>
        <w:tc>
          <w:tcPr>
            <w:tcW w:w="40" w:type="dxa"/>
            <w:vAlign w:val="bottom"/>
            <w:tcBorders>
              <w:bottom w:val="single" w:sz="8" w:color="D47C18"/>
            </w:tcBorders>
            <w:shd w:val="clear" w:color="auto" w:fill="D47C18"/>
          </w:tcPr>
          <w:p>
            <w:pPr>
              <w:spacing w:after="0"/>
              <w:rPr>
                <w:sz w:val="24"/>
                <w:szCs w:val="24"/>
                <w:color w:val="auto"/>
              </w:rPr>
            </w:pPr>
          </w:p>
        </w:tc>
        <w:tc>
          <w:tcPr>
            <w:tcW w:w="3680" w:type="dxa"/>
            <w:vAlign w:val="bottom"/>
            <w:tcBorders>
              <w:bottom w:val="single" w:sz="8" w:color="D47C18"/>
            </w:tcBorders>
          </w:tcPr>
          <w:p>
            <w:pPr>
              <w:spacing w:after="0"/>
              <w:rPr>
                <w:sz w:val="24"/>
                <w:szCs w:val="24"/>
                <w:color w:val="auto"/>
              </w:rPr>
            </w:pPr>
          </w:p>
        </w:tc>
        <w:tc>
          <w:tcPr>
            <w:tcW w:w="2020" w:type="dxa"/>
            <w:vAlign w:val="bottom"/>
            <w:tcBorders>
              <w:bottom w:val="single" w:sz="8" w:color="D47C18"/>
            </w:tcBorders>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2340" w:type="dxa"/>
            <w:vAlign w:val="bottom"/>
            <w:gridSpan w:val="2"/>
          </w:tcPr>
          <w:p>
            <w:pPr>
              <w:jc w:val="center"/>
              <w:ind w:left="510"/>
              <w:spacing w:after="0"/>
              <w:rPr>
                <w:sz w:val="20"/>
                <w:szCs w:val="20"/>
                <w:color w:val="auto"/>
              </w:rPr>
            </w:pPr>
            <w:r>
              <w:rPr>
                <w:rFonts w:ascii="Arial" w:cs="Arial" w:eastAsia="Arial" w:hAnsi="Arial"/>
                <w:sz w:val="35"/>
                <w:szCs w:val="35"/>
                <w:color w:val="auto"/>
                <w:w w:val="98"/>
              </w:rPr>
              <w:t>5%</w:t>
            </w:r>
          </w:p>
        </w:tc>
        <w:tc>
          <w:tcPr>
            <w:tcW w:w="40" w:type="dxa"/>
            <w:vAlign w:val="bottom"/>
            <w:shd w:val="clear" w:color="auto" w:fill="D47C18"/>
          </w:tcPr>
          <w:p>
            <w:pPr>
              <w:spacing w:after="0"/>
              <w:rPr>
                <w:sz w:val="24"/>
                <w:szCs w:val="24"/>
                <w:color w:val="auto"/>
              </w:rPr>
            </w:pPr>
          </w:p>
        </w:tc>
        <w:tc>
          <w:tcPr>
            <w:tcW w:w="2020" w:type="dxa"/>
            <w:vAlign w:val="bottom"/>
          </w:tcPr>
          <w:p>
            <w:pPr>
              <w:jc w:val="center"/>
              <w:ind w:left="199"/>
              <w:spacing w:after="0"/>
              <w:rPr>
                <w:sz w:val="20"/>
                <w:szCs w:val="20"/>
                <w:color w:val="auto"/>
              </w:rPr>
            </w:pPr>
            <w:r>
              <w:rPr>
                <w:rFonts w:ascii="Arial" w:cs="Arial" w:eastAsia="Arial" w:hAnsi="Arial"/>
                <w:sz w:val="35"/>
                <w:szCs w:val="35"/>
                <w:color w:val="auto"/>
                <w:w w:val="98"/>
              </w:rPr>
              <w:t>5%</w:t>
            </w:r>
          </w:p>
        </w:tc>
        <w:tc>
          <w:tcPr>
            <w:tcW w:w="40" w:type="dxa"/>
            <w:vAlign w:val="bottom"/>
            <w:shd w:val="clear" w:color="auto" w:fill="D47C18"/>
          </w:tcPr>
          <w:p>
            <w:pPr>
              <w:spacing w:after="0"/>
              <w:rPr>
                <w:sz w:val="24"/>
                <w:szCs w:val="24"/>
                <w:color w:val="auto"/>
              </w:rPr>
            </w:pPr>
          </w:p>
        </w:tc>
        <w:tc>
          <w:tcPr>
            <w:tcW w:w="3680" w:type="dxa"/>
            <w:vAlign w:val="bottom"/>
            <w:tcBorders>
              <w:left w:val="single" w:sz="8" w:color="D47C18"/>
            </w:tcBorders>
            <w:vMerge w:val="restart"/>
          </w:tcPr>
          <w:p>
            <w:pPr>
              <w:ind w:left="380"/>
              <w:spacing w:after="0"/>
              <w:rPr>
                <w:sz w:val="20"/>
                <w:szCs w:val="20"/>
                <w:color w:val="auto"/>
              </w:rPr>
            </w:pPr>
            <w:r>
              <w:rPr>
                <w:rFonts w:ascii="Arial" w:cs="Arial" w:eastAsia="Arial" w:hAnsi="Arial"/>
                <w:sz w:val="41"/>
                <w:szCs w:val="41"/>
                <w:b w:val="1"/>
                <w:bCs w:val="1"/>
                <w:color w:val="auto"/>
              </w:rPr>
              <w:t xml:space="preserve">Revenue </w:t>
            </w:r>
            <w:r>
              <w:rPr>
                <w:rFonts w:ascii="Arial" w:cs="Arial" w:eastAsia="Arial" w:hAnsi="Arial"/>
                <w:sz w:val="44"/>
                <w:szCs w:val="44"/>
                <w:b w:val="1"/>
                <w:bCs w:val="1"/>
                <w:color w:val="5F81AA"/>
              </w:rPr>
              <w:t>$5.5B</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20" w:type="dxa"/>
            <w:vAlign w:val="bottom"/>
          </w:tcPr>
          <w:p>
            <w:pPr>
              <w:spacing w:after="0"/>
              <w:rPr>
                <w:sz w:val="23"/>
                <w:szCs w:val="23"/>
                <w:color w:val="auto"/>
              </w:rPr>
            </w:pPr>
          </w:p>
        </w:tc>
        <w:tc>
          <w:tcPr>
            <w:tcW w:w="2020" w:type="dxa"/>
            <w:vAlign w:val="bottom"/>
            <w:vMerge w:val="restart"/>
          </w:tcPr>
          <w:p>
            <w:pPr>
              <w:jc w:val="center"/>
              <w:ind w:left="196"/>
              <w:spacing w:after="0"/>
              <w:rPr>
                <w:sz w:val="20"/>
                <w:szCs w:val="20"/>
                <w:color w:val="auto"/>
              </w:rPr>
            </w:pPr>
            <w:r>
              <w:rPr>
                <w:rFonts w:ascii="Arial" w:cs="Arial" w:eastAsia="Arial" w:hAnsi="Arial"/>
                <w:sz w:val="35"/>
                <w:szCs w:val="35"/>
                <w:color w:val="auto"/>
                <w:w w:val="99"/>
              </w:rPr>
              <w:t>6% CC</w:t>
            </w:r>
          </w:p>
        </w:tc>
        <w:tc>
          <w:tcPr>
            <w:tcW w:w="40" w:type="dxa"/>
            <w:vAlign w:val="bottom"/>
            <w:shd w:val="clear" w:color="auto" w:fill="D47C18"/>
          </w:tcPr>
          <w:p>
            <w:pPr>
              <w:spacing w:after="0"/>
              <w:rPr>
                <w:sz w:val="23"/>
                <w:szCs w:val="23"/>
                <w:color w:val="auto"/>
              </w:rPr>
            </w:pPr>
          </w:p>
        </w:tc>
        <w:tc>
          <w:tcPr>
            <w:tcW w:w="2020" w:type="dxa"/>
            <w:vAlign w:val="bottom"/>
            <w:vMerge w:val="restart"/>
          </w:tcPr>
          <w:p>
            <w:pPr>
              <w:jc w:val="center"/>
              <w:ind w:left="199"/>
              <w:spacing w:after="0"/>
              <w:rPr>
                <w:sz w:val="20"/>
                <w:szCs w:val="20"/>
                <w:color w:val="auto"/>
              </w:rPr>
            </w:pPr>
            <w:r>
              <w:rPr>
                <w:rFonts w:ascii="Arial" w:cs="Arial" w:eastAsia="Arial" w:hAnsi="Arial"/>
                <w:sz w:val="35"/>
                <w:szCs w:val="35"/>
                <w:color w:val="auto"/>
                <w:w w:val="99"/>
              </w:rPr>
              <w:t>6% CC</w:t>
            </w:r>
          </w:p>
        </w:tc>
        <w:tc>
          <w:tcPr>
            <w:tcW w:w="40" w:type="dxa"/>
            <w:vAlign w:val="bottom"/>
          </w:tcPr>
          <w:p>
            <w:pPr>
              <w:spacing w:after="0"/>
              <w:rPr>
                <w:sz w:val="23"/>
                <w:szCs w:val="23"/>
                <w:color w:val="auto"/>
              </w:rPr>
            </w:pPr>
          </w:p>
        </w:tc>
        <w:tc>
          <w:tcPr>
            <w:tcW w:w="3680" w:type="dxa"/>
            <w:vAlign w:val="bottom"/>
            <w:tcBorders>
              <w:left w:val="single" w:sz="8" w:color="D47C18"/>
            </w:tcBorders>
            <w:vMerge w:val="continue"/>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2020" w:type="dxa"/>
            <w:vAlign w:val="bottom"/>
            <w:vMerge w:val="continue"/>
          </w:tcPr>
          <w:p>
            <w:pPr>
              <w:spacing w:after="0"/>
              <w:rPr>
                <w:sz w:val="14"/>
                <w:szCs w:val="14"/>
                <w:color w:val="auto"/>
              </w:rPr>
            </w:pPr>
          </w:p>
        </w:tc>
        <w:tc>
          <w:tcPr>
            <w:tcW w:w="40" w:type="dxa"/>
            <w:vAlign w:val="bottom"/>
            <w:shd w:val="clear" w:color="auto" w:fill="D47C18"/>
          </w:tcPr>
          <w:p>
            <w:pPr>
              <w:spacing w:after="0"/>
              <w:rPr>
                <w:sz w:val="14"/>
                <w:szCs w:val="14"/>
                <w:color w:val="auto"/>
              </w:rPr>
            </w:pPr>
          </w:p>
        </w:tc>
        <w:tc>
          <w:tcPr>
            <w:tcW w:w="20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3680" w:type="dxa"/>
            <w:vAlign w:val="bottom"/>
            <w:tcBorders>
              <w:left w:val="single" w:sz="8" w:color="D47C18"/>
            </w:tcBorders>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320" w:type="dxa"/>
            <w:vAlign w:val="bottom"/>
          </w:tcPr>
          <w:p>
            <w:pPr>
              <w:spacing w:after="0"/>
              <w:rPr>
                <w:sz w:val="6"/>
                <w:szCs w:val="6"/>
                <w:color w:val="auto"/>
              </w:rPr>
            </w:pPr>
          </w:p>
        </w:tc>
        <w:tc>
          <w:tcPr>
            <w:tcW w:w="2020" w:type="dxa"/>
            <w:vAlign w:val="bottom"/>
            <w:tcBorders>
              <w:bottom w:val="single" w:sz="8" w:color="D47C18"/>
            </w:tcBorders>
          </w:tcPr>
          <w:p>
            <w:pPr>
              <w:spacing w:after="0"/>
              <w:rPr>
                <w:sz w:val="6"/>
                <w:szCs w:val="6"/>
                <w:color w:val="auto"/>
              </w:rPr>
            </w:pPr>
          </w:p>
        </w:tc>
        <w:tc>
          <w:tcPr>
            <w:tcW w:w="40" w:type="dxa"/>
            <w:vAlign w:val="bottom"/>
            <w:tcBorders>
              <w:bottom w:val="single" w:sz="8" w:color="D47C18"/>
            </w:tcBorders>
            <w:shd w:val="clear" w:color="auto" w:fill="D47C18"/>
          </w:tcPr>
          <w:p>
            <w:pPr>
              <w:spacing w:after="0"/>
              <w:rPr>
                <w:sz w:val="6"/>
                <w:szCs w:val="6"/>
                <w:color w:val="auto"/>
              </w:rPr>
            </w:pPr>
          </w:p>
        </w:tc>
        <w:tc>
          <w:tcPr>
            <w:tcW w:w="2020" w:type="dxa"/>
            <w:vAlign w:val="bottom"/>
            <w:tcBorders>
              <w:bottom w:val="single" w:sz="8" w:color="D47C18"/>
            </w:tcBorders>
          </w:tcPr>
          <w:p>
            <w:pPr>
              <w:spacing w:after="0"/>
              <w:rPr>
                <w:sz w:val="6"/>
                <w:szCs w:val="6"/>
                <w:color w:val="auto"/>
              </w:rPr>
            </w:pPr>
          </w:p>
        </w:tc>
        <w:tc>
          <w:tcPr>
            <w:tcW w:w="40" w:type="dxa"/>
            <w:vAlign w:val="bottom"/>
            <w:tcBorders>
              <w:bottom w:val="single" w:sz="8" w:color="D47C18"/>
            </w:tcBorders>
          </w:tcPr>
          <w:p>
            <w:pPr>
              <w:spacing w:after="0"/>
              <w:rPr>
                <w:sz w:val="6"/>
                <w:szCs w:val="6"/>
                <w:color w:val="auto"/>
              </w:rPr>
            </w:pPr>
          </w:p>
        </w:tc>
        <w:tc>
          <w:tcPr>
            <w:tcW w:w="5700" w:type="dxa"/>
            <w:vAlign w:val="bottom"/>
            <w:tcBorders>
              <w:left w:val="single" w:sz="8" w:color="D47C18"/>
              <w:bottom w:val="single" w:sz="8" w:color="D47C18"/>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669"/>
        </w:trPr>
        <w:tc>
          <w:tcPr>
            <w:tcW w:w="320" w:type="dxa"/>
            <w:vAlign w:val="bottom"/>
          </w:tcPr>
          <w:p>
            <w:pPr>
              <w:spacing w:after="0"/>
              <w:rPr>
                <w:sz w:val="24"/>
                <w:szCs w:val="24"/>
                <w:color w:val="auto"/>
              </w:rPr>
            </w:pPr>
          </w:p>
        </w:tc>
        <w:tc>
          <w:tcPr>
            <w:tcW w:w="2020" w:type="dxa"/>
            <w:vAlign w:val="bottom"/>
          </w:tcPr>
          <w:p>
            <w:pPr>
              <w:jc w:val="center"/>
              <w:ind w:left="216"/>
              <w:spacing w:after="0"/>
              <w:rPr>
                <w:sz w:val="20"/>
                <w:szCs w:val="20"/>
                <w:color w:val="auto"/>
              </w:rPr>
            </w:pPr>
            <w:r>
              <w:rPr>
                <w:rFonts w:ascii="Arial" w:cs="Arial" w:eastAsia="Arial" w:hAnsi="Arial"/>
                <w:sz w:val="35"/>
                <w:szCs w:val="35"/>
                <w:color w:val="auto"/>
                <w:w w:val="98"/>
              </w:rPr>
              <w:t>30 bps</w:t>
            </w:r>
          </w:p>
        </w:tc>
        <w:tc>
          <w:tcPr>
            <w:tcW w:w="40" w:type="dxa"/>
            <w:vAlign w:val="bottom"/>
            <w:shd w:val="clear" w:color="auto" w:fill="D47C18"/>
          </w:tcPr>
          <w:p>
            <w:pPr>
              <w:spacing w:after="0"/>
              <w:rPr>
                <w:sz w:val="24"/>
                <w:szCs w:val="24"/>
                <w:color w:val="auto"/>
              </w:rPr>
            </w:pPr>
          </w:p>
        </w:tc>
        <w:tc>
          <w:tcPr>
            <w:tcW w:w="2020" w:type="dxa"/>
            <w:vAlign w:val="bottom"/>
          </w:tcPr>
          <w:p>
            <w:pPr>
              <w:jc w:val="center"/>
              <w:ind w:left="219"/>
              <w:spacing w:after="0"/>
              <w:rPr>
                <w:sz w:val="20"/>
                <w:szCs w:val="20"/>
                <w:color w:val="auto"/>
              </w:rPr>
            </w:pPr>
            <w:r>
              <w:rPr>
                <w:rFonts w:ascii="Arial" w:cs="Arial" w:eastAsia="Arial" w:hAnsi="Arial"/>
                <w:sz w:val="35"/>
                <w:szCs w:val="35"/>
                <w:color w:val="auto"/>
                <w:w w:val="98"/>
              </w:rPr>
              <w:t>30 bps</w:t>
            </w:r>
          </w:p>
        </w:tc>
        <w:tc>
          <w:tcPr>
            <w:tcW w:w="40" w:type="dxa"/>
            <w:vAlign w:val="bottom"/>
            <w:shd w:val="clear" w:color="auto" w:fill="D47C18"/>
          </w:tcPr>
          <w:p>
            <w:pPr>
              <w:spacing w:after="0"/>
              <w:rPr>
                <w:sz w:val="24"/>
                <w:szCs w:val="24"/>
                <w:color w:val="auto"/>
              </w:rPr>
            </w:pPr>
          </w:p>
        </w:tc>
        <w:tc>
          <w:tcPr>
            <w:tcW w:w="5700" w:type="dxa"/>
            <w:vAlign w:val="bottom"/>
            <w:gridSpan w:val="2"/>
          </w:tcPr>
          <w:p>
            <w:pPr>
              <w:ind w:left="340"/>
              <w:spacing w:after="0"/>
              <w:rPr>
                <w:sz w:val="20"/>
                <w:szCs w:val="20"/>
                <w:color w:val="auto"/>
              </w:rPr>
            </w:pPr>
            <w:r>
              <w:rPr>
                <w:rFonts w:ascii="Arial" w:cs="Arial" w:eastAsia="Arial" w:hAnsi="Arial"/>
                <w:sz w:val="41"/>
                <w:szCs w:val="41"/>
                <w:b w:val="1"/>
                <w:bCs w:val="1"/>
                <w:color w:val="auto"/>
              </w:rPr>
              <w:t xml:space="preserve">Gross Margin </w:t>
            </w:r>
            <w:r>
              <w:rPr>
                <w:rFonts w:ascii="Arial" w:cs="Arial" w:eastAsia="Arial" w:hAnsi="Arial"/>
                <w:sz w:val="44"/>
                <w:szCs w:val="44"/>
                <w:b w:val="1"/>
                <w:bCs w:val="1"/>
                <w:color w:val="5F81AA"/>
              </w:rPr>
              <w:t>17.1%</w:t>
            </w:r>
          </w:p>
        </w:tc>
        <w:tc>
          <w:tcPr>
            <w:tcW w:w="0" w:type="dxa"/>
            <w:vAlign w:val="bottom"/>
          </w:tcPr>
          <w:p>
            <w:pPr>
              <w:spacing w:after="0"/>
              <w:rPr>
                <w:sz w:val="1"/>
                <w:szCs w:val="1"/>
                <w:color w:val="auto"/>
              </w:rPr>
            </w:pPr>
          </w:p>
        </w:tc>
      </w:tr>
      <w:tr>
        <w:trPr>
          <w:trHeight w:val="108"/>
        </w:trPr>
        <w:tc>
          <w:tcPr>
            <w:tcW w:w="320" w:type="dxa"/>
            <w:vAlign w:val="bottom"/>
          </w:tcPr>
          <w:p>
            <w:pPr>
              <w:spacing w:after="0"/>
              <w:rPr>
                <w:sz w:val="9"/>
                <w:szCs w:val="9"/>
                <w:color w:val="auto"/>
              </w:rPr>
            </w:pPr>
          </w:p>
        </w:tc>
        <w:tc>
          <w:tcPr>
            <w:tcW w:w="2020" w:type="dxa"/>
            <w:vAlign w:val="bottom"/>
            <w:tcBorders>
              <w:bottom w:val="single" w:sz="8" w:color="D47C18"/>
            </w:tcBorders>
          </w:tcPr>
          <w:p>
            <w:pPr>
              <w:spacing w:after="0"/>
              <w:rPr>
                <w:sz w:val="9"/>
                <w:szCs w:val="9"/>
                <w:color w:val="auto"/>
              </w:rPr>
            </w:pPr>
          </w:p>
        </w:tc>
        <w:tc>
          <w:tcPr>
            <w:tcW w:w="40" w:type="dxa"/>
            <w:vAlign w:val="bottom"/>
            <w:tcBorders>
              <w:bottom w:val="single" w:sz="8" w:color="D47C18"/>
            </w:tcBorders>
            <w:shd w:val="clear" w:color="auto" w:fill="D47C18"/>
          </w:tcPr>
          <w:p>
            <w:pPr>
              <w:spacing w:after="0"/>
              <w:rPr>
                <w:sz w:val="9"/>
                <w:szCs w:val="9"/>
                <w:color w:val="auto"/>
              </w:rPr>
            </w:pPr>
          </w:p>
        </w:tc>
        <w:tc>
          <w:tcPr>
            <w:tcW w:w="2020" w:type="dxa"/>
            <w:vAlign w:val="bottom"/>
            <w:tcBorders>
              <w:bottom w:val="single" w:sz="8" w:color="D47C18"/>
            </w:tcBorders>
          </w:tcPr>
          <w:p>
            <w:pPr>
              <w:spacing w:after="0"/>
              <w:rPr>
                <w:sz w:val="9"/>
                <w:szCs w:val="9"/>
                <w:color w:val="auto"/>
              </w:rPr>
            </w:pPr>
          </w:p>
        </w:tc>
        <w:tc>
          <w:tcPr>
            <w:tcW w:w="40" w:type="dxa"/>
            <w:vAlign w:val="bottom"/>
            <w:tcBorders>
              <w:bottom w:val="single" w:sz="8" w:color="D47C18"/>
            </w:tcBorders>
            <w:shd w:val="clear" w:color="auto" w:fill="D47C18"/>
          </w:tcPr>
          <w:p>
            <w:pPr>
              <w:spacing w:after="0"/>
              <w:rPr>
                <w:sz w:val="9"/>
                <w:szCs w:val="9"/>
                <w:color w:val="auto"/>
              </w:rPr>
            </w:pPr>
          </w:p>
        </w:tc>
        <w:tc>
          <w:tcPr>
            <w:tcW w:w="3680" w:type="dxa"/>
            <w:vAlign w:val="bottom"/>
            <w:tcBorders>
              <w:bottom w:val="single" w:sz="8" w:color="D47C18"/>
            </w:tcBorders>
          </w:tcPr>
          <w:p>
            <w:pPr>
              <w:spacing w:after="0"/>
              <w:rPr>
                <w:sz w:val="9"/>
                <w:szCs w:val="9"/>
                <w:color w:val="auto"/>
              </w:rPr>
            </w:pPr>
          </w:p>
        </w:tc>
        <w:tc>
          <w:tcPr>
            <w:tcW w:w="2020" w:type="dxa"/>
            <w:vAlign w:val="bottom"/>
            <w:tcBorders>
              <w:bottom w:val="single" w:sz="8" w:color="D47C18"/>
            </w:tcBorders>
          </w:tcPr>
          <w:p>
            <w:pPr>
              <w:spacing w:after="0"/>
              <w:rPr>
                <w:sz w:val="9"/>
                <w:szCs w:val="9"/>
                <w:color w:val="auto"/>
              </w:rPr>
            </w:pPr>
          </w:p>
        </w:tc>
        <w:tc>
          <w:tcPr>
            <w:tcW w:w="0" w:type="dxa"/>
            <w:vAlign w:val="bottom"/>
          </w:tcPr>
          <w:p>
            <w:pPr>
              <w:spacing w:after="0"/>
              <w:rPr>
                <w:sz w:val="1"/>
                <w:szCs w:val="1"/>
                <w:color w:val="auto"/>
              </w:rPr>
            </w:pPr>
          </w:p>
        </w:tc>
      </w:tr>
      <w:tr>
        <w:trPr>
          <w:trHeight w:val="515"/>
        </w:trPr>
        <w:tc>
          <w:tcPr>
            <w:tcW w:w="3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35"/>
                <w:szCs w:val="35"/>
                <w:color w:val="auto"/>
                <w:w w:val="99"/>
              </w:rPr>
              <w:t>N/A</w:t>
            </w:r>
          </w:p>
        </w:tc>
        <w:tc>
          <w:tcPr>
            <w:tcW w:w="40" w:type="dxa"/>
            <w:vAlign w:val="bottom"/>
            <w:tcBorders>
              <w:bottom w:val="single" w:sz="8" w:color="D47C18"/>
            </w:tcBorders>
            <w:shd w:val="clear" w:color="auto" w:fill="D47C18"/>
          </w:tcPr>
          <w:p>
            <w:pPr>
              <w:spacing w:after="0"/>
              <w:rPr>
                <w:sz w:val="24"/>
                <w:szCs w:val="24"/>
                <w:color w:val="auto"/>
              </w:rPr>
            </w:pPr>
          </w:p>
        </w:tc>
        <w:tc>
          <w:tcPr>
            <w:tcW w:w="2020" w:type="dxa"/>
            <w:vAlign w:val="bottom"/>
          </w:tcPr>
          <w:p>
            <w:pPr>
              <w:jc w:val="center"/>
              <w:ind w:left="199"/>
              <w:spacing w:after="0"/>
              <w:rPr>
                <w:sz w:val="20"/>
                <w:szCs w:val="20"/>
                <w:color w:val="auto"/>
              </w:rPr>
            </w:pPr>
            <w:r>
              <w:rPr>
                <w:rFonts w:ascii="Arial" w:cs="Arial" w:eastAsia="Arial" w:hAnsi="Arial"/>
                <w:sz w:val="35"/>
                <w:szCs w:val="35"/>
                <w:color w:val="auto"/>
                <w:w w:val="99"/>
              </w:rPr>
              <w:t>29%</w:t>
            </w:r>
          </w:p>
        </w:tc>
        <w:tc>
          <w:tcPr>
            <w:tcW w:w="40" w:type="dxa"/>
            <w:vAlign w:val="bottom"/>
            <w:tcBorders>
              <w:bottom w:val="single" w:sz="8" w:color="D47C18"/>
            </w:tcBorders>
            <w:shd w:val="clear" w:color="auto" w:fill="D47C18"/>
          </w:tcPr>
          <w:p>
            <w:pPr>
              <w:spacing w:after="0"/>
              <w:rPr>
                <w:sz w:val="24"/>
                <w:szCs w:val="24"/>
                <w:color w:val="auto"/>
              </w:rPr>
            </w:pPr>
          </w:p>
        </w:tc>
        <w:tc>
          <w:tcPr>
            <w:tcW w:w="3680" w:type="dxa"/>
            <w:vAlign w:val="bottom"/>
            <w:tcBorders>
              <w:left w:val="single" w:sz="8" w:color="D47C18"/>
            </w:tcBorders>
            <w:vMerge w:val="restart"/>
          </w:tcPr>
          <w:p>
            <w:pPr>
              <w:ind w:left="380"/>
              <w:spacing w:after="0"/>
              <w:rPr>
                <w:sz w:val="20"/>
                <w:szCs w:val="20"/>
                <w:color w:val="auto"/>
              </w:rPr>
            </w:pPr>
            <w:r>
              <w:rPr>
                <w:rFonts w:ascii="Arial" w:cs="Arial" w:eastAsia="Arial" w:hAnsi="Arial"/>
                <w:sz w:val="41"/>
                <w:szCs w:val="41"/>
                <w:b w:val="1"/>
                <w:bCs w:val="1"/>
                <w:color w:val="auto"/>
              </w:rPr>
              <w:t>Operating Profit</w:t>
            </w:r>
          </w:p>
        </w:tc>
        <w:tc>
          <w:tcPr>
            <w:tcW w:w="2020" w:type="dxa"/>
            <w:vAlign w:val="bottom"/>
            <w:vMerge w:val="restart"/>
          </w:tcPr>
          <w:p>
            <w:pPr>
              <w:ind w:left="60"/>
              <w:spacing w:after="0"/>
              <w:rPr>
                <w:sz w:val="20"/>
                <w:szCs w:val="20"/>
                <w:color w:val="auto"/>
              </w:rPr>
            </w:pPr>
            <w:r>
              <w:rPr>
                <w:rFonts w:ascii="Arial" w:cs="Arial" w:eastAsia="Arial" w:hAnsi="Arial"/>
                <w:sz w:val="44"/>
                <w:szCs w:val="44"/>
                <w:b w:val="1"/>
                <w:bCs w:val="1"/>
                <w:color w:val="5F81AA"/>
              </w:rPr>
              <w:t>$130M</w:t>
            </w:r>
          </w:p>
        </w:tc>
        <w:tc>
          <w:tcPr>
            <w:tcW w:w="0" w:type="dxa"/>
            <w:vAlign w:val="bottom"/>
          </w:tcPr>
          <w:p>
            <w:pPr>
              <w:spacing w:after="0"/>
              <w:rPr>
                <w:sz w:val="1"/>
                <w:szCs w:val="1"/>
                <w:color w:val="auto"/>
              </w:rPr>
            </w:pPr>
          </w:p>
        </w:tc>
      </w:tr>
      <w:tr>
        <w:trPr>
          <w:trHeight w:val="265"/>
        </w:trPr>
        <w:tc>
          <w:tcPr>
            <w:tcW w:w="320" w:type="dxa"/>
            <w:vAlign w:val="bottom"/>
          </w:tcPr>
          <w:p>
            <w:pPr>
              <w:spacing w:after="0"/>
              <w:rPr>
                <w:sz w:val="23"/>
                <w:szCs w:val="23"/>
                <w:color w:val="auto"/>
              </w:rPr>
            </w:pPr>
          </w:p>
        </w:tc>
        <w:tc>
          <w:tcPr>
            <w:tcW w:w="2020" w:type="dxa"/>
            <w:vAlign w:val="bottom"/>
            <w:vMerge w:val="restart"/>
          </w:tcPr>
          <w:p>
            <w:pPr>
              <w:jc w:val="center"/>
              <w:spacing w:after="0"/>
              <w:rPr>
                <w:sz w:val="20"/>
                <w:szCs w:val="20"/>
                <w:color w:val="auto"/>
              </w:rPr>
            </w:pPr>
            <w:r>
              <w:rPr>
                <w:rFonts w:ascii="Arial" w:cs="Arial" w:eastAsia="Arial" w:hAnsi="Arial"/>
                <w:sz w:val="35"/>
                <w:szCs w:val="35"/>
                <w:color w:val="auto"/>
                <w:w w:val="99"/>
              </w:rPr>
              <w:t>N/A</w:t>
            </w:r>
          </w:p>
        </w:tc>
        <w:tc>
          <w:tcPr>
            <w:tcW w:w="40" w:type="dxa"/>
            <w:vAlign w:val="bottom"/>
            <w:shd w:val="clear" w:color="auto" w:fill="D47C18"/>
          </w:tcPr>
          <w:p>
            <w:pPr>
              <w:spacing w:after="0"/>
              <w:rPr>
                <w:sz w:val="23"/>
                <w:szCs w:val="23"/>
                <w:color w:val="auto"/>
              </w:rPr>
            </w:pPr>
          </w:p>
        </w:tc>
        <w:tc>
          <w:tcPr>
            <w:tcW w:w="2020" w:type="dxa"/>
            <w:vAlign w:val="bottom"/>
            <w:vMerge w:val="restart"/>
          </w:tcPr>
          <w:p>
            <w:pPr>
              <w:jc w:val="center"/>
              <w:ind w:left="199"/>
              <w:spacing w:after="0"/>
              <w:rPr>
                <w:sz w:val="20"/>
                <w:szCs w:val="20"/>
                <w:color w:val="auto"/>
              </w:rPr>
            </w:pPr>
            <w:r>
              <w:rPr>
                <w:rFonts w:ascii="Arial" w:cs="Arial" w:eastAsia="Arial" w:hAnsi="Arial"/>
                <w:sz w:val="35"/>
                <w:szCs w:val="35"/>
                <w:color w:val="auto"/>
                <w:w w:val="99"/>
              </w:rPr>
              <w:t>29% CC</w:t>
            </w:r>
          </w:p>
        </w:tc>
        <w:tc>
          <w:tcPr>
            <w:tcW w:w="40" w:type="dxa"/>
            <w:vAlign w:val="bottom"/>
          </w:tcPr>
          <w:p>
            <w:pPr>
              <w:spacing w:after="0"/>
              <w:rPr>
                <w:sz w:val="23"/>
                <w:szCs w:val="23"/>
                <w:color w:val="auto"/>
              </w:rPr>
            </w:pPr>
          </w:p>
        </w:tc>
        <w:tc>
          <w:tcPr>
            <w:tcW w:w="3680" w:type="dxa"/>
            <w:vAlign w:val="bottom"/>
            <w:tcBorders>
              <w:left w:val="single" w:sz="8" w:color="D47C18"/>
            </w:tcBorders>
            <w:vMerge w:val="continue"/>
          </w:tcPr>
          <w:p>
            <w:pPr>
              <w:spacing w:after="0"/>
              <w:rPr>
                <w:sz w:val="23"/>
                <w:szCs w:val="23"/>
                <w:color w:val="auto"/>
              </w:rPr>
            </w:pPr>
          </w:p>
        </w:tc>
        <w:tc>
          <w:tcPr>
            <w:tcW w:w="20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2020" w:type="dxa"/>
            <w:vAlign w:val="bottom"/>
            <w:vMerge w:val="continue"/>
          </w:tcPr>
          <w:p>
            <w:pPr>
              <w:spacing w:after="0"/>
              <w:rPr>
                <w:sz w:val="18"/>
                <w:szCs w:val="18"/>
                <w:color w:val="auto"/>
              </w:rPr>
            </w:pPr>
          </w:p>
        </w:tc>
        <w:tc>
          <w:tcPr>
            <w:tcW w:w="40" w:type="dxa"/>
            <w:vAlign w:val="bottom"/>
            <w:shd w:val="clear" w:color="auto" w:fill="D47C18"/>
          </w:tcPr>
          <w:p>
            <w:pPr>
              <w:spacing w:after="0"/>
              <w:rPr>
                <w:sz w:val="18"/>
                <w:szCs w:val="18"/>
                <w:color w:val="auto"/>
              </w:rPr>
            </w:pPr>
          </w:p>
        </w:tc>
        <w:tc>
          <w:tcPr>
            <w:tcW w:w="20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3680" w:type="dxa"/>
            <w:vAlign w:val="bottom"/>
            <w:tcBorders>
              <w:left w:val="single" w:sz="8" w:color="D47C18"/>
            </w:tcBorders>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320" w:type="dxa"/>
            <w:vAlign w:val="bottom"/>
          </w:tcPr>
          <w:p>
            <w:pPr>
              <w:spacing w:after="0"/>
              <w:rPr>
                <w:sz w:val="3"/>
                <w:szCs w:val="3"/>
                <w:color w:val="auto"/>
              </w:rPr>
            </w:pPr>
          </w:p>
        </w:tc>
        <w:tc>
          <w:tcPr>
            <w:tcW w:w="2020" w:type="dxa"/>
            <w:vAlign w:val="bottom"/>
            <w:tcBorders>
              <w:bottom w:val="single" w:sz="8" w:color="D47C18"/>
            </w:tcBorders>
          </w:tcPr>
          <w:p>
            <w:pPr>
              <w:spacing w:after="0"/>
              <w:rPr>
                <w:sz w:val="3"/>
                <w:szCs w:val="3"/>
                <w:color w:val="auto"/>
              </w:rPr>
            </w:pPr>
          </w:p>
        </w:tc>
        <w:tc>
          <w:tcPr>
            <w:tcW w:w="40" w:type="dxa"/>
            <w:vAlign w:val="bottom"/>
            <w:tcBorders>
              <w:bottom w:val="single" w:sz="8" w:color="D47C18"/>
            </w:tcBorders>
            <w:shd w:val="clear" w:color="auto" w:fill="D47C18"/>
          </w:tcPr>
          <w:p>
            <w:pPr>
              <w:spacing w:after="0"/>
              <w:rPr>
                <w:sz w:val="3"/>
                <w:szCs w:val="3"/>
                <w:color w:val="auto"/>
              </w:rPr>
            </w:pPr>
          </w:p>
        </w:tc>
        <w:tc>
          <w:tcPr>
            <w:tcW w:w="2020" w:type="dxa"/>
            <w:vAlign w:val="bottom"/>
            <w:tcBorders>
              <w:bottom w:val="single" w:sz="8" w:color="D47C18"/>
            </w:tcBorders>
          </w:tcPr>
          <w:p>
            <w:pPr>
              <w:spacing w:after="0"/>
              <w:rPr>
                <w:sz w:val="3"/>
                <w:szCs w:val="3"/>
                <w:color w:val="auto"/>
              </w:rPr>
            </w:pPr>
          </w:p>
        </w:tc>
        <w:tc>
          <w:tcPr>
            <w:tcW w:w="40" w:type="dxa"/>
            <w:vAlign w:val="bottom"/>
            <w:tcBorders>
              <w:bottom w:val="single" w:sz="8" w:color="D47C18"/>
            </w:tcBorders>
          </w:tcPr>
          <w:p>
            <w:pPr>
              <w:spacing w:after="0"/>
              <w:rPr>
                <w:sz w:val="3"/>
                <w:szCs w:val="3"/>
                <w:color w:val="auto"/>
              </w:rPr>
            </w:pPr>
          </w:p>
        </w:tc>
        <w:tc>
          <w:tcPr>
            <w:tcW w:w="3680" w:type="dxa"/>
            <w:vAlign w:val="bottom"/>
            <w:tcBorders>
              <w:left w:val="single" w:sz="8" w:color="D47C18"/>
              <w:bottom w:val="single" w:sz="8" w:color="D47C18"/>
            </w:tcBorders>
          </w:tcPr>
          <w:p>
            <w:pPr>
              <w:spacing w:after="0"/>
              <w:rPr>
                <w:sz w:val="3"/>
                <w:szCs w:val="3"/>
                <w:color w:val="auto"/>
              </w:rPr>
            </w:pPr>
          </w:p>
        </w:tc>
        <w:tc>
          <w:tcPr>
            <w:tcW w:w="2020" w:type="dxa"/>
            <w:vAlign w:val="bottom"/>
            <w:tcBorders>
              <w:bottom w:val="single" w:sz="8" w:color="D47C18"/>
            </w:tcBorders>
          </w:tcPr>
          <w:p>
            <w:pPr>
              <w:spacing w:after="0"/>
              <w:rPr>
                <w:sz w:val="3"/>
                <w:szCs w:val="3"/>
                <w:color w:val="auto"/>
              </w:rPr>
            </w:pPr>
          </w:p>
        </w:tc>
        <w:tc>
          <w:tcPr>
            <w:tcW w:w="0" w:type="dxa"/>
            <w:vAlign w:val="bottom"/>
          </w:tcPr>
          <w:p>
            <w:pPr>
              <w:spacing w:after="0"/>
              <w:rPr>
                <w:sz w:val="1"/>
                <w:szCs w:val="1"/>
                <w:color w:val="auto"/>
              </w:rPr>
            </w:pPr>
          </w:p>
        </w:tc>
      </w:tr>
      <w:tr>
        <w:trPr>
          <w:trHeight w:val="669"/>
        </w:trPr>
        <w:tc>
          <w:tcPr>
            <w:tcW w:w="320" w:type="dxa"/>
            <w:vAlign w:val="bottom"/>
          </w:tcPr>
          <w:p>
            <w:pPr>
              <w:spacing w:after="0"/>
              <w:rPr>
                <w:sz w:val="24"/>
                <w:szCs w:val="24"/>
                <w:color w:val="auto"/>
              </w:rPr>
            </w:pPr>
          </w:p>
        </w:tc>
        <w:tc>
          <w:tcPr>
            <w:tcW w:w="2020" w:type="dxa"/>
            <w:vAlign w:val="bottom"/>
          </w:tcPr>
          <w:p>
            <w:pPr>
              <w:jc w:val="center"/>
              <w:ind w:left="216"/>
              <w:spacing w:after="0"/>
              <w:rPr>
                <w:sz w:val="20"/>
                <w:szCs w:val="20"/>
                <w:color w:val="auto"/>
              </w:rPr>
            </w:pPr>
            <w:r>
              <w:rPr>
                <w:rFonts w:ascii="Arial" w:cs="Arial" w:eastAsia="Arial" w:hAnsi="Arial"/>
                <w:sz w:val="35"/>
                <w:szCs w:val="35"/>
                <w:color w:val="auto"/>
                <w:w w:val="99"/>
              </w:rPr>
              <w:t>900 bps</w:t>
            </w:r>
          </w:p>
        </w:tc>
        <w:tc>
          <w:tcPr>
            <w:tcW w:w="40" w:type="dxa"/>
            <w:vAlign w:val="bottom"/>
            <w:shd w:val="clear" w:color="auto" w:fill="D47C18"/>
          </w:tcPr>
          <w:p>
            <w:pPr>
              <w:spacing w:after="0"/>
              <w:rPr>
                <w:sz w:val="24"/>
                <w:szCs w:val="24"/>
                <w:color w:val="auto"/>
              </w:rPr>
            </w:pPr>
          </w:p>
        </w:tc>
        <w:tc>
          <w:tcPr>
            <w:tcW w:w="2020" w:type="dxa"/>
            <w:vAlign w:val="bottom"/>
          </w:tcPr>
          <w:p>
            <w:pPr>
              <w:jc w:val="center"/>
              <w:ind w:left="219"/>
              <w:spacing w:after="0"/>
              <w:rPr>
                <w:sz w:val="20"/>
                <w:szCs w:val="20"/>
                <w:color w:val="auto"/>
              </w:rPr>
            </w:pPr>
            <w:r>
              <w:rPr>
                <w:rFonts w:ascii="Arial" w:cs="Arial" w:eastAsia="Arial" w:hAnsi="Arial"/>
                <w:sz w:val="35"/>
                <w:szCs w:val="35"/>
                <w:color w:val="auto"/>
                <w:w w:val="98"/>
              </w:rPr>
              <w:t>50 bps</w:t>
            </w:r>
          </w:p>
        </w:tc>
        <w:tc>
          <w:tcPr>
            <w:tcW w:w="40" w:type="dxa"/>
            <w:vAlign w:val="bottom"/>
            <w:shd w:val="clear" w:color="auto" w:fill="D47C18"/>
          </w:tcPr>
          <w:p>
            <w:pPr>
              <w:spacing w:after="0"/>
              <w:rPr>
                <w:sz w:val="24"/>
                <w:szCs w:val="24"/>
                <w:color w:val="auto"/>
              </w:rPr>
            </w:pPr>
          </w:p>
        </w:tc>
        <w:tc>
          <w:tcPr>
            <w:tcW w:w="3680" w:type="dxa"/>
            <w:vAlign w:val="bottom"/>
          </w:tcPr>
          <w:p>
            <w:pPr>
              <w:ind w:left="340"/>
              <w:spacing w:after="0"/>
              <w:rPr>
                <w:sz w:val="20"/>
                <w:szCs w:val="20"/>
                <w:color w:val="auto"/>
              </w:rPr>
            </w:pPr>
            <w:r>
              <w:rPr>
                <w:rFonts w:ascii="Arial" w:cs="Arial" w:eastAsia="Arial" w:hAnsi="Arial"/>
                <w:sz w:val="41"/>
                <w:szCs w:val="41"/>
                <w:b w:val="1"/>
                <w:bCs w:val="1"/>
                <w:color w:val="auto"/>
              </w:rPr>
              <w:t xml:space="preserve">OP Margin </w:t>
            </w:r>
            <w:r>
              <w:rPr>
                <w:rFonts w:ascii="Arial" w:cs="Arial" w:eastAsia="Arial" w:hAnsi="Arial"/>
                <w:sz w:val="44"/>
                <w:szCs w:val="44"/>
                <w:b w:val="1"/>
                <w:bCs w:val="1"/>
                <w:color w:val="5F81AA"/>
              </w:rPr>
              <w:t>2.4%</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20" w:type="dxa"/>
            <w:vAlign w:val="bottom"/>
          </w:tcPr>
          <w:p>
            <w:pPr>
              <w:spacing w:after="0"/>
              <w:rPr>
                <w:sz w:val="9"/>
                <w:szCs w:val="9"/>
                <w:color w:val="auto"/>
              </w:rPr>
            </w:pPr>
          </w:p>
        </w:tc>
        <w:tc>
          <w:tcPr>
            <w:tcW w:w="2020" w:type="dxa"/>
            <w:vAlign w:val="bottom"/>
            <w:tcBorders>
              <w:bottom w:val="single" w:sz="8" w:color="D47C18"/>
            </w:tcBorders>
          </w:tcPr>
          <w:p>
            <w:pPr>
              <w:spacing w:after="0"/>
              <w:rPr>
                <w:sz w:val="9"/>
                <w:szCs w:val="9"/>
                <w:color w:val="auto"/>
              </w:rPr>
            </w:pPr>
          </w:p>
        </w:tc>
        <w:tc>
          <w:tcPr>
            <w:tcW w:w="40" w:type="dxa"/>
            <w:vAlign w:val="bottom"/>
            <w:tcBorders>
              <w:bottom w:val="single" w:sz="8" w:color="D47C18"/>
            </w:tcBorders>
            <w:shd w:val="clear" w:color="auto" w:fill="D47C18"/>
          </w:tcPr>
          <w:p>
            <w:pPr>
              <w:spacing w:after="0"/>
              <w:rPr>
                <w:sz w:val="9"/>
                <w:szCs w:val="9"/>
                <w:color w:val="auto"/>
              </w:rPr>
            </w:pPr>
          </w:p>
        </w:tc>
        <w:tc>
          <w:tcPr>
            <w:tcW w:w="2020" w:type="dxa"/>
            <w:vAlign w:val="bottom"/>
            <w:tcBorders>
              <w:bottom w:val="single" w:sz="8" w:color="D47C18"/>
            </w:tcBorders>
          </w:tcPr>
          <w:p>
            <w:pPr>
              <w:spacing w:after="0"/>
              <w:rPr>
                <w:sz w:val="9"/>
                <w:szCs w:val="9"/>
                <w:color w:val="auto"/>
              </w:rPr>
            </w:pPr>
          </w:p>
        </w:tc>
        <w:tc>
          <w:tcPr>
            <w:tcW w:w="40" w:type="dxa"/>
            <w:vAlign w:val="bottom"/>
            <w:tcBorders>
              <w:bottom w:val="single" w:sz="8" w:color="D47C18"/>
            </w:tcBorders>
            <w:shd w:val="clear" w:color="auto" w:fill="D47C18"/>
          </w:tcPr>
          <w:p>
            <w:pPr>
              <w:spacing w:after="0"/>
              <w:rPr>
                <w:sz w:val="9"/>
                <w:szCs w:val="9"/>
                <w:color w:val="auto"/>
              </w:rPr>
            </w:pPr>
          </w:p>
        </w:tc>
        <w:tc>
          <w:tcPr>
            <w:tcW w:w="3680" w:type="dxa"/>
            <w:vAlign w:val="bottom"/>
            <w:tcBorders>
              <w:bottom w:val="single" w:sz="8" w:color="D47C18"/>
            </w:tcBorders>
          </w:tcPr>
          <w:p>
            <w:pPr>
              <w:spacing w:after="0"/>
              <w:rPr>
                <w:sz w:val="9"/>
                <w:szCs w:val="9"/>
                <w:color w:val="auto"/>
              </w:rPr>
            </w:pPr>
          </w:p>
        </w:tc>
        <w:tc>
          <w:tcPr>
            <w:tcW w:w="2020" w:type="dxa"/>
            <w:vAlign w:val="bottom"/>
            <w:tcBorders>
              <w:bottom w:val="single" w:sz="8" w:color="D47C18"/>
            </w:tcBorders>
          </w:tcPr>
          <w:p>
            <w:pPr>
              <w:spacing w:after="0"/>
              <w:rPr>
                <w:sz w:val="9"/>
                <w:szCs w:val="9"/>
                <w:color w:val="auto"/>
              </w:rPr>
            </w:pPr>
          </w:p>
        </w:tc>
        <w:tc>
          <w:tcPr>
            <w:tcW w:w="0" w:type="dxa"/>
            <w:vAlign w:val="bottom"/>
          </w:tcPr>
          <w:p>
            <w:pPr>
              <w:spacing w:after="0"/>
              <w:rPr>
                <w:sz w:val="1"/>
                <w:szCs w:val="1"/>
                <w:color w:val="auto"/>
              </w:rPr>
            </w:pPr>
          </w:p>
        </w:tc>
      </w:tr>
      <w:tr>
        <w:trPr>
          <w:trHeight w:val="515"/>
        </w:trPr>
        <w:tc>
          <w:tcPr>
            <w:tcW w:w="3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35"/>
                <w:szCs w:val="35"/>
                <w:color w:val="auto"/>
                <w:w w:val="99"/>
              </w:rPr>
              <w:t>N/A</w:t>
            </w:r>
          </w:p>
        </w:tc>
        <w:tc>
          <w:tcPr>
            <w:tcW w:w="40" w:type="dxa"/>
            <w:vAlign w:val="bottom"/>
            <w:tcBorders>
              <w:bottom w:val="single" w:sz="8" w:color="D47C18"/>
            </w:tcBorders>
            <w:shd w:val="clear" w:color="auto" w:fill="D47C18"/>
          </w:tcPr>
          <w:p>
            <w:pPr>
              <w:spacing w:after="0"/>
              <w:rPr>
                <w:sz w:val="24"/>
                <w:szCs w:val="24"/>
                <w:color w:val="auto"/>
              </w:rPr>
            </w:pPr>
          </w:p>
        </w:tc>
        <w:tc>
          <w:tcPr>
            <w:tcW w:w="2020" w:type="dxa"/>
            <w:vAlign w:val="bottom"/>
          </w:tcPr>
          <w:p>
            <w:pPr>
              <w:jc w:val="center"/>
              <w:ind w:left="199"/>
              <w:spacing w:after="0"/>
              <w:rPr>
                <w:sz w:val="20"/>
                <w:szCs w:val="20"/>
                <w:color w:val="auto"/>
              </w:rPr>
            </w:pPr>
            <w:r>
              <w:rPr>
                <w:rFonts w:ascii="Arial" w:cs="Arial" w:eastAsia="Arial" w:hAnsi="Arial"/>
                <w:sz w:val="35"/>
                <w:szCs w:val="35"/>
                <w:color w:val="auto"/>
                <w:w w:val="99"/>
              </w:rPr>
              <w:t>48%</w:t>
            </w:r>
          </w:p>
        </w:tc>
        <w:tc>
          <w:tcPr>
            <w:tcW w:w="40" w:type="dxa"/>
            <w:vAlign w:val="bottom"/>
            <w:tcBorders>
              <w:bottom w:val="single" w:sz="8" w:color="C46D24"/>
            </w:tcBorders>
            <w:shd w:val="clear" w:color="auto" w:fill="C46D24"/>
          </w:tcPr>
          <w:p>
            <w:pPr>
              <w:spacing w:after="0"/>
              <w:rPr>
                <w:sz w:val="24"/>
                <w:szCs w:val="24"/>
                <w:color w:val="auto"/>
              </w:rPr>
            </w:pPr>
          </w:p>
        </w:tc>
        <w:tc>
          <w:tcPr>
            <w:tcW w:w="3680" w:type="dxa"/>
            <w:vAlign w:val="bottom"/>
            <w:tcBorders>
              <w:left w:val="single" w:sz="8" w:color="C46D24"/>
            </w:tcBorders>
            <w:vMerge w:val="restart"/>
          </w:tcPr>
          <w:p>
            <w:pPr>
              <w:ind w:left="380"/>
              <w:spacing w:after="0"/>
              <w:rPr>
                <w:sz w:val="20"/>
                <w:szCs w:val="20"/>
                <w:color w:val="auto"/>
              </w:rPr>
            </w:pPr>
            <w:r>
              <w:rPr>
                <w:rFonts w:ascii="Arial" w:cs="Arial" w:eastAsia="Arial" w:hAnsi="Arial"/>
                <w:sz w:val="41"/>
                <w:szCs w:val="41"/>
                <w:b w:val="1"/>
                <w:bCs w:val="1"/>
                <w:color w:val="auto"/>
              </w:rPr>
              <w:t xml:space="preserve">EPS </w:t>
            </w:r>
            <w:r>
              <w:rPr>
                <w:rFonts w:ascii="Arial" w:cs="Arial" w:eastAsia="Arial" w:hAnsi="Arial"/>
                <w:sz w:val="44"/>
                <w:szCs w:val="44"/>
                <w:b w:val="1"/>
                <w:bCs w:val="1"/>
                <w:color w:val="5F81AA"/>
              </w:rPr>
              <w:t>$.78</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320" w:type="dxa"/>
            <w:vAlign w:val="bottom"/>
          </w:tcPr>
          <w:p>
            <w:pPr>
              <w:spacing w:after="0"/>
              <w:rPr>
                <w:sz w:val="24"/>
                <w:szCs w:val="24"/>
                <w:color w:val="auto"/>
              </w:rPr>
            </w:pPr>
          </w:p>
        </w:tc>
        <w:tc>
          <w:tcPr>
            <w:tcW w:w="2020" w:type="dxa"/>
            <w:vAlign w:val="bottom"/>
            <w:vMerge w:val="restart"/>
          </w:tcPr>
          <w:p>
            <w:pPr>
              <w:jc w:val="center"/>
              <w:spacing w:after="0"/>
              <w:rPr>
                <w:sz w:val="20"/>
                <w:szCs w:val="20"/>
                <w:color w:val="auto"/>
              </w:rPr>
            </w:pPr>
            <w:r>
              <w:rPr>
                <w:rFonts w:ascii="Arial" w:cs="Arial" w:eastAsia="Arial" w:hAnsi="Arial"/>
                <w:sz w:val="35"/>
                <w:szCs w:val="35"/>
                <w:color w:val="auto"/>
                <w:w w:val="99"/>
              </w:rPr>
              <w:t>N/A</w:t>
            </w:r>
          </w:p>
        </w:tc>
        <w:tc>
          <w:tcPr>
            <w:tcW w:w="40" w:type="dxa"/>
            <w:vAlign w:val="bottom"/>
            <w:shd w:val="clear" w:color="auto" w:fill="C46D24"/>
          </w:tcPr>
          <w:p>
            <w:pPr>
              <w:spacing w:after="0"/>
              <w:rPr>
                <w:sz w:val="24"/>
                <w:szCs w:val="24"/>
                <w:color w:val="auto"/>
              </w:rPr>
            </w:pPr>
          </w:p>
        </w:tc>
        <w:tc>
          <w:tcPr>
            <w:tcW w:w="2020" w:type="dxa"/>
            <w:vAlign w:val="bottom"/>
            <w:vMerge w:val="restart"/>
          </w:tcPr>
          <w:p>
            <w:pPr>
              <w:jc w:val="center"/>
              <w:ind w:left="199"/>
              <w:spacing w:after="0"/>
              <w:rPr>
                <w:sz w:val="20"/>
                <w:szCs w:val="20"/>
                <w:color w:val="auto"/>
              </w:rPr>
            </w:pPr>
            <w:r>
              <w:rPr>
                <w:rFonts w:ascii="Arial" w:cs="Arial" w:eastAsia="Arial" w:hAnsi="Arial"/>
                <w:sz w:val="35"/>
                <w:szCs w:val="35"/>
                <w:color w:val="auto"/>
                <w:w w:val="99"/>
              </w:rPr>
              <w:t>48% CC</w:t>
            </w:r>
          </w:p>
        </w:tc>
        <w:tc>
          <w:tcPr>
            <w:tcW w:w="40" w:type="dxa"/>
            <w:vAlign w:val="bottom"/>
          </w:tcPr>
          <w:p>
            <w:pPr>
              <w:spacing w:after="0"/>
              <w:rPr>
                <w:sz w:val="24"/>
                <w:szCs w:val="24"/>
                <w:color w:val="auto"/>
              </w:rPr>
            </w:pPr>
          </w:p>
        </w:tc>
        <w:tc>
          <w:tcPr>
            <w:tcW w:w="3680" w:type="dxa"/>
            <w:vAlign w:val="bottom"/>
            <w:tcBorders>
              <w:left w:val="single" w:sz="8" w:color="C46D24"/>
            </w:tcBorders>
            <w:vMerge w:val="continue"/>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2020" w:type="dxa"/>
            <w:vAlign w:val="bottom"/>
            <w:vMerge w:val="continue"/>
          </w:tcPr>
          <w:p>
            <w:pPr>
              <w:spacing w:after="0"/>
              <w:rPr>
                <w:sz w:val="18"/>
                <w:szCs w:val="18"/>
                <w:color w:val="auto"/>
              </w:rPr>
            </w:pPr>
          </w:p>
        </w:tc>
        <w:tc>
          <w:tcPr>
            <w:tcW w:w="40" w:type="dxa"/>
            <w:vAlign w:val="bottom"/>
            <w:shd w:val="clear" w:color="auto" w:fill="C46D24"/>
          </w:tcPr>
          <w:p>
            <w:pPr>
              <w:spacing w:after="0"/>
              <w:rPr>
                <w:sz w:val="18"/>
                <w:szCs w:val="18"/>
                <w:color w:val="auto"/>
              </w:rPr>
            </w:pPr>
          </w:p>
        </w:tc>
        <w:tc>
          <w:tcPr>
            <w:tcW w:w="20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3680" w:type="dxa"/>
            <w:vAlign w:val="bottom"/>
            <w:tcBorders>
              <w:left w:val="single" w:sz="8" w:color="C46D24"/>
            </w:tcBorders>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3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40" w:type="dxa"/>
            <w:vAlign w:val="bottom"/>
            <w:shd w:val="clear" w:color="auto" w:fill="C46D24"/>
          </w:tcPr>
          <w:p>
            <w:pPr>
              <w:spacing w:after="0"/>
              <w:rPr>
                <w:sz w:val="3"/>
                <w:szCs w:val="3"/>
                <w:color w:val="auto"/>
              </w:rPr>
            </w:pPr>
          </w:p>
        </w:tc>
        <w:tc>
          <w:tcPr>
            <w:tcW w:w="2020" w:type="dxa"/>
            <w:vAlign w:val="bottom"/>
          </w:tcPr>
          <w:p>
            <w:pPr>
              <w:spacing w:after="0"/>
              <w:rPr>
                <w:sz w:val="3"/>
                <w:szCs w:val="3"/>
                <w:color w:val="auto"/>
              </w:rPr>
            </w:pPr>
          </w:p>
        </w:tc>
        <w:tc>
          <w:tcPr>
            <w:tcW w:w="40" w:type="dxa"/>
            <w:vAlign w:val="bottom"/>
          </w:tcPr>
          <w:p>
            <w:pPr>
              <w:spacing w:after="0"/>
              <w:rPr>
                <w:sz w:val="3"/>
                <w:szCs w:val="3"/>
                <w:color w:val="auto"/>
              </w:rPr>
            </w:pPr>
          </w:p>
        </w:tc>
        <w:tc>
          <w:tcPr>
            <w:tcW w:w="3680" w:type="dxa"/>
            <w:vAlign w:val="bottom"/>
            <w:tcBorders>
              <w:left w:val="single" w:sz="8" w:color="C46D24"/>
            </w:tcBorders>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r>
    </w:p>
    <w:p>
      <w:pPr>
        <w:ind w:left="1020" w:hanging="276"/>
        <w:spacing w:after="0"/>
        <w:tabs>
          <w:tab w:leader="none" w:pos="1020" w:val="left"/>
        </w:tabs>
        <w:numPr>
          <w:ilvl w:val="0"/>
          <w:numId w:val="5"/>
        </w:numPr>
        <w:rPr>
          <w:rFonts w:ascii="Arial" w:cs="Arial" w:eastAsia="Arial" w:hAnsi="Arial"/>
          <w:sz w:val="27"/>
          <w:szCs w:val="27"/>
          <w:color w:val="auto"/>
          <w:vertAlign w:val="superscript"/>
        </w:rPr>
      </w:pPr>
      <w:r>
        <w:rPr>
          <w:rFonts w:ascii="Arial" w:cs="Arial" w:eastAsia="Arial" w:hAnsi="Arial"/>
          <w:sz w:val="19"/>
          <w:szCs w:val="19"/>
          <w:color w:val="auto"/>
        </w:rPr>
        <w:t>Excludes reorganization charges for 2011 and 2010, and goodwill and intangible asset impairment in 2010.</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500" w:type="dxa"/>
            <w:vAlign w:val="bottom"/>
          </w:tcPr>
          <w:p>
            <w:pPr>
              <w:ind w:left="740"/>
              <w:spacing w:after="0"/>
              <w:rPr>
                <w:sz w:val="20"/>
                <w:szCs w:val="20"/>
                <w:color w:val="auto"/>
              </w:rPr>
            </w:pPr>
            <w:r>
              <w:rPr>
                <w:rFonts w:ascii="Arial" w:cs="Arial" w:eastAsia="Arial" w:hAnsi="Arial"/>
                <w:sz w:val="17"/>
                <w:szCs w:val="17"/>
                <w:b w:val="1"/>
                <w:bCs w:val="1"/>
                <w:color w:val="auto"/>
              </w:rPr>
              <w:t>Throughout this presentation, the difference between reported variances and Constant Currency (CC) variances</w:t>
            </w:r>
          </w:p>
        </w:tc>
        <w:tc>
          <w:tcPr>
            <w:tcW w:w="940" w:type="dxa"/>
            <w:vAlign w:val="bottom"/>
          </w:tcPr>
          <w:p>
            <w:pPr>
              <w:jc w:val="right"/>
              <w:ind w:right="509"/>
              <w:spacing w:after="0"/>
              <w:rPr>
                <w:sz w:val="20"/>
                <w:szCs w:val="20"/>
                <w:color w:val="auto"/>
              </w:rPr>
            </w:pPr>
            <w:r>
              <w:rPr>
                <w:rFonts w:ascii="Arial" w:cs="Arial" w:eastAsia="Arial" w:hAnsi="Arial"/>
                <w:sz w:val="14"/>
                <w:szCs w:val="14"/>
                <w:color w:val="898989"/>
              </w:rPr>
              <w:t>3</w:t>
            </w:r>
          </w:p>
        </w:tc>
      </w:tr>
      <w:tr>
        <w:trPr>
          <w:trHeight w:val="232"/>
        </w:trPr>
        <w:tc>
          <w:tcPr>
            <w:tcW w:w="10500" w:type="dxa"/>
            <w:vAlign w:val="bottom"/>
          </w:tcPr>
          <w:p>
            <w:pPr>
              <w:ind w:left="740"/>
              <w:spacing w:after="0"/>
              <w:rPr>
                <w:sz w:val="20"/>
                <w:szCs w:val="20"/>
                <w:color w:val="auto"/>
              </w:rPr>
            </w:pPr>
            <w:r>
              <w:rPr>
                <w:rFonts w:ascii="Arial" w:cs="Arial" w:eastAsia="Arial" w:hAnsi="Arial"/>
                <w:sz w:val="17"/>
                <w:szCs w:val="17"/>
                <w:b w:val="1"/>
                <w:bCs w:val="1"/>
                <w:color w:val="auto"/>
              </w:rPr>
              <w:t>represents the impact of currency on our financial results. Constant Currency is further explained on our Web site.</w:t>
            </w:r>
          </w:p>
        </w:tc>
        <w:tc>
          <w:tcPr>
            <w:tcW w:w="940" w:type="dxa"/>
            <w:vAlign w:val="bottom"/>
          </w:tcPr>
          <w:p>
            <w:pPr>
              <w:spacing w:after="0"/>
              <w:rPr>
                <w:sz w:val="20"/>
                <w:szCs w:val="20"/>
                <w:color w:val="auto"/>
              </w:rPr>
            </w:pPr>
          </w:p>
        </w:tc>
      </w:tr>
      <w:tr>
        <w:trPr>
          <w:trHeight w:val="467"/>
        </w:trPr>
        <w:tc>
          <w:tcPr>
            <w:tcW w:w="105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4" w:name="page15"/>
    <w:bookmarkEnd w:id="14"/>
    <w:p>
      <w:pPr>
        <w:ind w:right="3260"/>
        <w:spacing w:after="0" w:line="289" w:lineRule="auto"/>
        <w:rPr>
          <w:sz w:val="20"/>
          <w:szCs w:val="20"/>
          <w:color w:val="auto"/>
        </w:rPr>
      </w:pPr>
      <w:r>
        <w:rPr>
          <w:rFonts w:ascii="Arial" w:cs="Arial" w:eastAsia="Arial" w:hAnsi="Arial"/>
          <w:sz w:val="25"/>
          <w:szCs w:val="25"/>
          <w:b w:val="1"/>
          <w:bCs w:val="1"/>
          <w:color w:val="FFFFFF"/>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2011 4</w:t>
      </w:r>
      <w:r>
        <w:rPr>
          <w:rFonts w:ascii="Arial" w:cs="Arial" w:eastAsia="Arial" w:hAnsi="Arial"/>
          <w:sz w:val="17"/>
          <w:szCs w:val="17"/>
          <w:b w:val="1"/>
          <w:bCs w:val="1"/>
          <w:color w:val="FFFFFF"/>
        </w:rPr>
        <w:t>th</w:t>
      </w:r>
      <w:r>
        <w:rPr>
          <w:rFonts w:ascii="Arial" w:cs="Arial" w:eastAsia="Arial" w:hAnsi="Arial"/>
          <w:sz w:val="25"/>
          <w:szCs w:val="25"/>
          <w:b w:val="1"/>
          <w:bCs w:val="1"/>
          <w:color w:val="FFFFFF"/>
        </w:rPr>
        <w:t xml:space="preserve"> Quarter Results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February</w:t>
      </w:r>
    </w:p>
    <w:p>
      <w:pPr>
        <w:spacing w:after="0" w:line="604" w:lineRule="exact"/>
        <w:rPr>
          <w:sz w:val="20"/>
          <w:szCs w:val="20"/>
          <w:color w:val="auto"/>
        </w:rPr>
      </w:pPr>
    </w:p>
    <w:p>
      <w:pPr>
        <w:sectPr>
          <w:pgSz w:w="11900" w:h="16838" w:orient="portrait"/>
          <w:cols w:equalWidth="0" w:num="2">
            <w:col w:w="8340" w:space="720"/>
            <w:col w:w="1360"/>
          </w:cols>
          <w:pgMar w:left="680" w:top="449" w:right="799" w:bottom="1440" w:gutter="0" w:footer="0" w:header="0"/>
        </w:sectPr>
      </w:pPr>
    </w:p>
    <w:p>
      <w:pPr>
        <w:spacing w:after="0" w:line="73" w:lineRule="exact"/>
        <w:rPr>
          <w:sz w:val="20"/>
          <w:szCs w:val="20"/>
          <w:color w:val="auto"/>
        </w:rPr>
      </w:pPr>
    </w:p>
    <w:p>
      <w:pPr>
        <w:ind w:left="300"/>
        <w:spacing w:after="0"/>
        <w:rPr>
          <w:sz w:val="20"/>
          <w:szCs w:val="20"/>
          <w:color w:val="auto"/>
        </w:rPr>
      </w:pPr>
      <w:r>
        <w:rPr>
          <w:rFonts w:ascii="Arial" w:cs="Arial" w:eastAsia="Arial" w:hAnsi="Arial"/>
          <w:sz w:val="51"/>
          <w:szCs w:val="51"/>
          <w:color w:val="5F81AA"/>
        </w:rPr>
        <w:t>Consolidated Gross Margin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429895</wp:posOffset>
            </wp:positionV>
            <wp:extent cx="726821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420"/>
          </w:cols>
          <w:pgMar w:left="680" w:top="449" w:right="799" w:bottom="1440" w:gutter="0" w:footer="0" w:header="0"/>
          <w:type w:val="continuous"/>
        </w:sectPr>
      </w:pPr>
    </w:p>
    <w:bookmarkStart w:id="15" w:name="page16"/>
    <w:bookmarkEnd w:id="15"/>
    <w:p>
      <w:pPr>
        <w:ind w:right="3260"/>
        <w:spacing w:after="0" w:line="289" w:lineRule="auto"/>
        <w:rPr>
          <w:sz w:val="20"/>
          <w:szCs w:val="20"/>
          <w:color w:val="auto"/>
        </w:rPr>
      </w:pPr>
      <w:r>
        <w:rPr>
          <w:rFonts w:ascii="Arial" w:cs="Arial" w:eastAsia="Arial" w:hAnsi="Arial"/>
          <w:sz w:val="25"/>
          <w:szCs w:val="25"/>
          <w:b w:val="1"/>
          <w:bCs w:val="1"/>
          <w:color w:val="FFFFFF"/>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2011 4</w:t>
      </w:r>
      <w:r>
        <w:rPr>
          <w:rFonts w:ascii="Arial" w:cs="Arial" w:eastAsia="Arial" w:hAnsi="Arial"/>
          <w:sz w:val="17"/>
          <w:szCs w:val="17"/>
          <w:b w:val="1"/>
          <w:bCs w:val="1"/>
          <w:color w:val="FFFFFF"/>
        </w:rPr>
        <w:t>th</w:t>
      </w:r>
      <w:r>
        <w:rPr>
          <w:rFonts w:ascii="Arial" w:cs="Arial" w:eastAsia="Arial" w:hAnsi="Arial"/>
          <w:sz w:val="25"/>
          <w:szCs w:val="25"/>
          <w:b w:val="1"/>
          <w:bCs w:val="1"/>
          <w:color w:val="FFFFFF"/>
        </w:rPr>
        <w:t xml:space="preserve"> Quarter Results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February</w:t>
      </w:r>
    </w:p>
    <w:p>
      <w:pPr>
        <w:spacing w:after="0" w:line="583" w:lineRule="exact"/>
        <w:rPr>
          <w:sz w:val="20"/>
          <w:szCs w:val="20"/>
          <w:color w:val="auto"/>
        </w:rPr>
      </w:pPr>
    </w:p>
    <w:p>
      <w:pPr>
        <w:sectPr>
          <w:pgSz w:w="11900" w:h="16838" w:orient="portrait"/>
          <w:cols w:equalWidth="0" w:num="2">
            <w:col w:w="8340" w:space="720"/>
            <w:col w:w="1360"/>
          </w:cols>
          <w:pgMar w:left="680" w:top="449" w:right="799" w:bottom="1440" w:gutter="0" w:footer="0" w:header="0"/>
        </w:sectPr>
      </w:pPr>
    </w:p>
    <w:p>
      <w:pPr>
        <w:ind w:left="60"/>
        <w:spacing w:after="0"/>
        <w:rPr>
          <w:sz w:val="20"/>
          <w:szCs w:val="20"/>
          <w:color w:val="auto"/>
        </w:rPr>
      </w:pPr>
      <w:r>
        <w:rPr>
          <w:rFonts w:ascii="Arial" w:cs="Arial" w:eastAsia="Arial" w:hAnsi="Arial"/>
          <w:sz w:val="48"/>
          <w:szCs w:val="48"/>
          <w:color w:val="5F81AA"/>
        </w:rPr>
        <w:t>SG&amp;A Expense Bridge - Q4 YOY</w:t>
      </w:r>
    </w:p>
    <w:p>
      <w:pPr>
        <w:ind w:left="60"/>
        <w:spacing w:after="0"/>
        <w:rPr>
          <w:sz w:val="20"/>
          <w:szCs w:val="20"/>
          <w:color w:val="auto"/>
        </w:rPr>
      </w:pPr>
      <w:r>
        <w:rPr>
          <w:rFonts w:ascii="Arial" w:cs="Arial" w:eastAsia="Arial" w:hAnsi="Arial"/>
          <w:sz w:val="25"/>
          <w:szCs w:val="25"/>
          <w:color w:val="5F81AA"/>
        </w:rPr>
        <w:t>(in millions of USD)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3680" w:type="dxa"/>
        <w:tblCellMar>
          <w:top w:w="0" w:type="dxa"/>
          <w:left w:w="0" w:type="dxa"/>
          <w:bottom w:w="0" w:type="dxa"/>
          <w:right w:w="0" w:type="dxa"/>
        </w:tblCellMar>
      </w:tblPr>
      <w:tr>
        <w:trPr>
          <w:trHeight w:val="295"/>
        </w:trPr>
        <w:tc>
          <w:tcPr>
            <w:tcW w:w="1000" w:type="dxa"/>
            <w:vAlign w:val="bottom"/>
          </w:tcPr>
          <w:p>
            <w:pPr>
              <w:jc w:val="right"/>
              <w:ind w:right="225"/>
              <w:spacing w:after="0"/>
              <w:rPr>
                <w:sz w:val="20"/>
                <w:szCs w:val="20"/>
                <w:color w:val="auto"/>
              </w:rPr>
            </w:pPr>
            <w:r>
              <w:rPr>
                <w:rFonts w:ascii="Arial" w:cs="Arial" w:eastAsia="Arial" w:hAnsi="Arial"/>
                <w:sz w:val="22"/>
                <w:szCs w:val="22"/>
                <w:b w:val="1"/>
                <w:bCs w:val="1"/>
                <w:color w:val="396499"/>
              </w:rPr>
              <w:t>87.1%</w:t>
            </w:r>
          </w:p>
        </w:tc>
        <w:tc>
          <w:tcPr>
            <w:tcW w:w="2240" w:type="dxa"/>
            <w:vAlign w:val="bottom"/>
            <w:vMerge w:val="restart"/>
          </w:tcPr>
          <w:p>
            <w:pPr>
              <w:ind w:left="320"/>
              <w:spacing w:after="0"/>
              <w:rPr>
                <w:sz w:val="20"/>
                <w:szCs w:val="20"/>
                <w:color w:val="auto"/>
              </w:rPr>
            </w:pPr>
            <w:r>
              <w:rPr>
                <w:rFonts w:ascii="Arial" w:cs="Arial" w:eastAsia="Arial" w:hAnsi="Arial"/>
                <w:sz w:val="19"/>
                <w:szCs w:val="19"/>
                <w:b w:val="1"/>
                <w:bCs w:val="1"/>
                <w:color w:val="FFFFFF"/>
              </w:rPr>
              <w:t>Productivity Gain</w:t>
            </w:r>
          </w:p>
        </w:tc>
        <w:tc>
          <w:tcPr>
            <w:tcW w:w="1020" w:type="dxa"/>
            <w:vAlign w:val="bottom"/>
          </w:tcPr>
          <w:p>
            <w:pPr>
              <w:ind w:left="380"/>
              <w:spacing w:after="0"/>
              <w:rPr>
                <w:sz w:val="20"/>
                <w:szCs w:val="20"/>
                <w:color w:val="auto"/>
              </w:rPr>
            </w:pPr>
            <w:r>
              <w:rPr>
                <w:rFonts w:ascii="Arial" w:cs="Arial" w:eastAsia="Arial" w:hAnsi="Arial"/>
                <w:sz w:val="22"/>
                <w:szCs w:val="22"/>
                <w:b w:val="1"/>
                <w:bCs w:val="1"/>
                <w:color w:val="396499"/>
                <w:w w:val="99"/>
              </w:rPr>
              <w:t>83.9%</w:t>
            </w:r>
          </w:p>
        </w:tc>
        <w:tc>
          <w:tcPr>
            <w:tcW w:w="0" w:type="dxa"/>
            <w:vAlign w:val="bottom"/>
          </w:tcPr>
          <w:p>
            <w:pPr>
              <w:spacing w:after="0"/>
              <w:rPr>
                <w:sz w:val="1"/>
                <w:szCs w:val="1"/>
                <w:color w:val="auto"/>
              </w:rPr>
            </w:pPr>
          </w:p>
        </w:tc>
      </w:tr>
      <w:tr>
        <w:trPr>
          <w:trHeight w:val="132"/>
        </w:trPr>
        <w:tc>
          <w:tcPr>
            <w:tcW w:w="1000" w:type="dxa"/>
            <w:vAlign w:val="bottom"/>
            <w:vMerge w:val="restart"/>
          </w:tcPr>
          <w:p>
            <w:pPr>
              <w:jc w:val="right"/>
              <w:ind w:right="305"/>
              <w:spacing w:after="0"/>
              <w:rPr>
                <w:sz w:val="20"/>
                <w:szCs w:val="20"/>
                <w:color w:val="auto"/>
              </w:rPr>
            </w:pPr>
            <w:r>
              <w:rPr>
                <w:rFonts w:ascii="Arial" w:cs="Arial" w:eastAsia="Arial" w:hAnsi="Arial"/>
                <w:sz w:val="16"/>
                <w:szCs w:val="16"/>
                <w:i w:val="1"/>
                <w:iCs w:val="1"/>
                <w:color w:val="306996"/>
                <w:w w:val="97"/>
              </w:rPr>
              <w:t>% of GP</w:t>
            </w:r>
          </w:p>
        </w:tc>
        <w:tc>
          <w:tcPr>
            <w:tcW w:w="2240" w:type="dxa"/>
            <w:vAlign w:val="bottom"/>
            <w:vMerge w:val="continue"/>
          </w:tcPr>
          <w:p>
            <w:pPr>
              <w:spacing w:after="0"/>
              <w:rPr>
                <w:sz w:val="11"/>
                <w:szCs w:val="11"/>
                <w:color w:val="auto"/>
              </w:rPr>
            </w:pPr>
          </w:p>
        </w:tc>
        <w:tc>
          <w:tcPr>
            <w:tcW w:w="1020" w:type="dxa"/>
            <w:vAlign w:val="bottom"/>
            <w:vMerge w:val="restart"/>
          </w:tcPr>
          <w:p>
            <w:pPr>
              <w:ind w:left="360"/>
              <w:spacing w:after="0"/>
              <w:rPr>
                <w:sz w:val="20"/>
                <w:szCs w:val="20"/>
                <w:color w:val="auto"/>
              </w:rPr>
            </w:pPr>
            <w:r>
              <w:rPr>
                <w:rFonts w:ascii="Arial" w:cs="Arial" w:eastAsia="Arial" w:hAnsi="Arial"/>
                <w:sz w:val="16"/>
                <w:szCs w:val="16"/>
                <w:i w:val="1"/>
                <w:iCs w:val="1"/>
                <w:color w:val="306996"/>
              </w:rPr>
              <w:t>% of GP</w:t>
            </w:r>
          </w:p>
        </w:tc>
        <w:tc>
          <w:tcPr>
            <w:tcW w:w="0" w:type="dxa"/>
            <w:vAlign w:val="bottom"/>
          </w:tcPr>
          <w:p>
            <w:pPr>
              <w:spacing w:after="0"/>
              <w:rPr>
                <w:sz w:val="1"/>
                <w:szCs w:val="1"/>
                <w:color w:val="auto"/>
              </w:rPr>
            </w:pPr>
          </w:p>
        </w:tc>
      </w:tr>
      <w:tr>
        <w:trPr>
          <w:trHeight w:val="73"/>
        </w:trPr>
        <w:tc>
          <w:tcPr>
            <w:tcW w:w="1000" w:type="dxa"/>
            <w:vAlign w:val="bottom"/>
            <w:vMerge w:val="continue"/>
          </w:tcPr>
          <w:p>
            <w:pPr>
              <w:spacing w:after="0"/>
              <w:rPr>
                <w:sz w:val="6"/>
                <w:szCs w:val="6"/>
                <w:color w:val="auto"/>
              </w:rPr>
            </w:pPr>
          </w:p>
        </w:tc>
        <w:tc>
          <w:tcPr>
            <w:tcW w:w="22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429895</wp:posOffset>
            </wp:positionV>
            <wp:extent cx="726821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420"/>
          </w:cols>
          <w:pgMar w:left="680" w:top="449" w:right="799" w:bottom="1440" w:gutter="0" w:footer="0" w:header="0"/>
          <w:type w:val="continuous"/>
        </w:sectPr>
      </w:pPr>
    </w:p>
    <w:bookmarkStart w:id="16" w:name="page17"/>
    <w:bookmarkEnd w:id="16"/>
    <w:p>
      <w:pPr>
        <w:ind w:left="180" w:right="3260"/>
        <w:spacing w:after="0" w:line="289" w:lineRule="auto"/>
        <w:rPr>
          <w:sz w:val="20"/>
          <w:szCs w:val="20"/>
          <w:color w:val="auto"/>
        </w:rPr>
      </w:pPr>
      <w:r>
        <w:rPr>
          <w:rFonts w:ascii="Arial" w:cs="Arial" w:eastAsia="Arial" w:hAnsi="Arial"/>
          <w:sz w:val="25"/>
          <w:szCs w:val="25"/>
          <w:b w:val="1"/>
          <w:bCs w:val="1"/>
          <w:color w:val="FFFFFF"/>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2011 4</w:t>
      </w:r>
      <w:r>
        <w:rPr>
          <w:rFonts w:ascii="Arial" w:cs="Arial" w:eastAsia="Arial" w:hAnsi="Arial"/>
          <w:sz w:val="17"/>
          <w:szCs w:val="17"/>
          <w:b w:val="1"/>
          <w:bCs w:val="1"/>
          <w:color w:val="FFFFFF"/>
        </w:rPr>
        <w:t>th</w:t>
      </w:r>
      <w:r>
        <w:rPr>
          <w:rFonts w:ascii="Arial" w:cs="Arial" w:eastAsia="Arial" w:hAnsi="Arial"/>
          <w:sz w:val="25"/>
          <w:szCs w:val="25"/>
          <w:b w:val="1"/>
          <w:bCs w:val="1"/>
          <w:color w:val="FFFFFF"/>
        </w:rPr>
        <w:t xml:space="preserve"> Quarter Results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February</w:t>
      </w:r>
    </w:p>
    <w:p>
      <w:pPr>
        <w:spacing w:after="0" w:line="440" w:lineRule="exact"/>
        <w:rPr>
          <w:sz w:val="20"/>
          <w:szCs w:val="20"/>
          <w:color w:val="auto"/>
        </w:rPr>
      </w:pPr>
    </w:p>
    <w:p>
      <w:pPr>
        <w:sectPr>
          <w:pgSz w:w="11900" w:h="16838" w:orient="portrait"/>
          <w:cols w:equalWidth="0" w:num="2">
            <w:col w:w="8520" w:space="720"/>
            <w:col w:w="1360"/>
          </w:cols>
          <w:pgMar w:left="500" w:top="449" w:right="799" w:bottom="1440" w:gutter="0" w:footer="0" w:header="0"/>
        </w:sectPr>
      </w:pPr>
    </w:p>
    <w:p>
      <w:pPr>
        <w:ind w:left="560"/>
        <w:spacing w:after="0"/>
        <w:rPr>
          <w:sz w:val="20"/>
          <w:szCs w:val="20"/>
          <w:color w:val="auto"/>
        </w:rPr>
      </w:pPr>
      <w:r>
        <w:rPr>
          <w:rFonts w:ascii="Arial" w:cs="Arial" w:eastAsia="Arial" w:hAnsi="Arial"/>
          <w:sz w:val="51"/>
          <w:szCs w:val="51"/>
          <w:color w:val="5F81AA"/>
        </w:rPr>
        <w:t>Q4 Non-Recurring Items</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32"/>
          <w:szCs w:val="32"/>
          <w:color w:val="5F81AA"/>
        </w:rPr>
        <w:t>($ in millions, except per share amounts)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380"/>
        </w:trPr>
        <w:tc>
          <w:tcPr>
            <w:tcW w:w="3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gridSpan w:val="2"/>
          </w:tcPr>
          <w:p>
            <w:pPr>
              <w:ind w:left="200"/>
              <w:spacing w:after="0"/>
              <w:rPr>
                <w:sz w:val="20"/>
                <w:szCs w:val="20"/>
                <w:color w:val="auto"/>
              </w:rPr>
            </w:pPr>
            <w:r>
              <w:rPr>
                <w:rFonts w:ascii="Arial" w:cs="Arial" w:eastAsia="Arial" w:hAnsi="Arial"/>
                <w:sz w:val="29"/>
                <w:szCs w:val="29"/>
                <w:b w:val="1"/>
                <w:bCs w:val="1"/>
                <w:color w:val="282A32"/>
              </w:rPr>
              <w:t>2011</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20" w:type="dxa"/>
            <w:vAlign w:val="bottom"/>
            <w:gridSpan w:val="2"/>
          </w:tcPr>
          <w:p>
            <w:pPr>
              <w:jc w:val="right"/>
              <w:ind w:right="495"/>
              <w:spacing w:after="0"/>
              <w:rPr>
                <w:sz w:val="20"/>
                <w:szCs w:val="20"/>
                <w:color w:val="auto"/>
              </w:rPr>
            </w:pPr>
            <w:r>
              <w:rPr>
                <w:rFonts w:ascii="Arial" w:cs="Arial" w:eastAsia="Arial" w:hAnsi="Arial"/>
                <w:sz w:val="29"/>
                <w:szCs w:val="29"/>
                <w:b w:val="1"/>
                <w:bCs w:val="1"/>
                <w:color w:val="282A32"/>
              </w:rPr>
              <w:t>2010</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501"/>
        </w:trPr>
        <w:tc>
          <w:tcPr>
            <w:tcW w:w="304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Arial" w:cs="Arial" w:eastAsia="Arial" w:hAnsi="Arial"/>
                <w:sz w:val="24"/>
                <w:szCs w:val="24"/>
                <w:b w:val="1"/>
                <w:bCs w:val="1"/>
                <w:color w:val="auto"/>
              </w:rPr>
              <w:t>Pre-tax</w:t>
            </w:r>
          </w:p>
        </w:tc>
        <w:tc>
          <w:tcPr>
            <w:tcW w:w="380" w:type="dxa"/>
            <w:vAlign w:val="bottom"/>
          </w:tcPr>
          <w:p>
            <w:pPr>
              <w:spacing w:after="0"/>
              <w:rPr>
                <w:sz w:val="24"/>
                <w:szCs w:val="24"/>
                <w:color w:val="auto"/>
              </w:rPr>
            </w:pPr>
          </w:p>
        </w:tc>
        <w:tc>
          <w:tcPr>
            <w:tcW w:w="920" w:type="dxa"/>
            <w:vAlign w:val="bottom"/>
          </w:tcPr>
          <w:p>
            <w:pPr>
              <w:jc w:val="right"/>
              <w:ind w:right="395"/>
              <w:spacing w:after="0"/>
              <w:rPr>
                <w:sz w:val="20"/>
                <w:szCs w:val="20"/>
                <w:color w:val="auto"/>
              </w:rPr>
            </w:pPr>
            <w:r>
              <w:rPr>
                <w:rFonts w:ascii="Arial" w:cs="Arial" w:eastAsia="Arial" w:hAnsi="Arial"/>
                <w:sz w:val="24"/>
                <w:szCs w:val="24"/>
                <w:b w:val="1"/>
                <w:bCs w:val="1"/>
                <w:color w:val="auto"/>
                <w:w w:val="98"/>
              </w:rPr>
              <w:t>Net</w:t>
            </w:r>
          </w:p>
        </w:tc>
        <w:tc>
          <w:tcPr>
            <w:tcW w:w="1260" w:type="dxa"/>
            <w:vAlign w:val="bottom"/>
            <w:gridSpan w:val="2"/>
          </w:tcPr>
          <w:p>
            <w:pPr>
              <w:jc w:val="right"/>
              <w:ind w:right="313"/>
              <w:spacing w:after="0"/>
              <w:rPr>
                <w:sz w:val="20"/>
                <w:szCs w:val="20"/>
                <w:color w:val="auto"/>
              </w:rPr>
            </w:pPr>
            <w:r>
              <w:rPr>
                <w:rFonts w:ascii="Arial" w:cs="Arial" w:eastAsia="Arial" w:hAnsi="Arial"/>
                <w:sz w:val="24"/>
                <w:szCs w:val="24"/>
                <w:b w:val="1"/>
                <w:bCs w:val="1"/>
                <w:color w:val="auto"/>
              </w:rPr>
              <w:t>EPS -</w:t>
            </w:r>
          </w:p>
        </w:tc>
        <w:tc>
          <w:tcPr>
            <w:tcW w:w="400" w:type="dxa"/>
            <w:vAlign w:val="bottom"/>
          </w:tcPr>
          <w:p>
            <w:pPr>
              <w:spacing w:after="0"/>
              <w:rPr>
                <w:sz w:val="24"/>
                <w:szCs w:val="24"/>
                <w:color w:val="auto"/>
              </w:rPr>
            </w:pPr>
          </w:p>
        </w:tc>
        <w:tc>
          <w:tcPr>
            <w:tcW w:w="1020" w:type="dxa"/>
            <w:vAlign w:val="bottom"/>
          </w:tcPr>
          <w:p>
            <w:pPr>
              <w:jc w:val="right"/>
              <w:ind w:right="55"/>
              <w:spacing w:after="0"/>
              <w:rPr>
                <w:sz w:val="20"/>
                <w:szCs w:val="20"/>
                <w:color w:val="auto"/>
              </w:rPr>
            </w:pPr>
            <w:r>
              <w:rPr>
                <w:rFonts w:ascii="Arial" w:cs="Arial" w:eastAsia="Arial" w:hAnsi="Arial"/>
                <w:sz w:val="24"/>
                <w:szCs w:val="24"/>
                <w:b w:val="1"/>
                <w:bCs w:val="1"/>
                <w:color w:val="auto"/>
              </w:rPr>
              <w:t>Pre-tax</w:t>
            </w:r>
          </w:p>
        </w:tc>
        <w:tc>
          <w:tcPr>
            <w:tcW w:w="340" w:type="dxa"/>
            <w:vAlign w:val="bottom"/>
          </w:tcPr>
          <w:p>
            <w:pPr>
              <w:spacing w:after="0"/>
              <w:rPr>
                <w:sz w:val="24"/>
                <w:szCs w:val="24"/>
                <w:color w:val="auto"/>
              </w:rPr>
            </w:pPr>
          </w:p>
        </w:tc>
        <w:tc>
          <w:tcPr>
            <w:tcW w:w="980" w:type="dxa"/>
            <w:vAlign w:val="bottom"/>
          </w:tcPr>
          <w:p>
            <w:pPr>
              <w:jc w:val="right"/>
              <w:ind w:right="395"/>
              <w:spacing w:after="0"/>
              <w:rPr>
                <w:sz w:val="20"/>
                <w:szCs w:val="20"/>
                <w:color w:val="auto"/>
              </w:rPr>
            </w:pPr>
            <w:r>
              <w:rPr>
                <w:rFonts w:ascii="Arial" w:cs="Arial" w:eastAsia="Arial" w:hAnsi="Arial"/>
                <w:sz w:val="24"/>
                <w:szCs w:val="24"/>
                <w:b w:val="1"/>
                <w:bCs w:val="1"/>
                <w:color w:val="auto"/>
              </w:rPr>
              <w:t>Net</w:t>
            </w:r>
          </w:p>
        </w:tc>
        <w:tc>
          <w:tcPr>
            <w:tcW w:w="1040" w:type="dxa"/>
            <w:vAlign w:val="bottom"/>
            <w:gridSpan w:val="2"/>
          </w:tcPr>
          <w:p>
            <w:pPr>
              <w:jc w:val="right"/>
              <w:ind w:right="113"/>
              <w:spacing w:after="0"/>
              <w:rPr>
                <w:sz w:val="20"/>
                <w:szCs w:val="20"/>
                <w:color w:val="auto"/>
              </w:rPr>
            </w:pPr>
            <w:r>
              <w:rPr>
                <w:rFonts w:ascii="Arial" w:cs="Arial" w:eastAsia="Arial" w:hAnsi="Arial"/>
                <w:sz w:val="24"/>
                <w:szCs w:val="24"/>
                <w:b w:val="1"/>
                <w:bCs w:val="1"/>
                <w:color w:val="auto"/>
              </w:rPr>
              <w:t>EPS -</w:t>
            </w:r>
          </w:p>
        </w:tc>
      </w:tr>
      <w:tr>
        <w:trPr>
          <w:trHeight w:val="315"/>
        </w:trPr>
        <w:tc>
          <w:tcPr>
            <w:tcW w:w="3040" w:type="dxa"/>
            <w:vAlign w:val="bottom"/>
          </w:tcPr>
          <w:p>
            <w:pPr>
              <w:spacing w:after="0"/>
              <w:rPr>
                <w:sz w:val="24"/>
                <w:szCs w:val="24"/>
                <w:color w:val="auto"/>
              </w:rPr>
            </w:pPr>
          </w:p>
        </w:tc>
        <w:tc>
          <w:tcPr>
            <w:tcW w:w="1220" w:type="dxa"/>
            <w:vAlign w:val="bottom"/>
            <w:gridSpan w:val="2"/>
          </w:tcPr>
          <w:p>
            <w:pPr>
              <w:jc w:val="right"/>
              <w:ind w:right="33"/>
              <w:spacing w:after="0"/>
              <w:rPr>
                <w:sz w:val="20"/>
                <w:szCs w:val="20"/>
                <w:color w:val="auto"/>
              </w:rPr>
            </w:pPr>
            <w:r>
              <w:rPr>
                <w:rFonts w:ascii="Arial" w:cs="Arial" w:eastAsia="Arial" w:hAnsi="Arial"/>
                <w:sz w:val="24"/>
                <w:szCs w:val="24"/>
                <w:b w:val="1"/>
                <w:bCs w:val="1"/>
                <w:color w:val="auto"/>
              </w:rPr>
              <w:t>Earnings</w:t>
            </w:r>
          </w:p>
        </w:tc>
        <w:tc>
          <w:tcPr>
            <w:tcW w:w="1300" w:type="dxa"/>
            <w:vAlign w:val="bottom"/>
            <w:gridSpan w:val="2"/>
          </w:tcPr>
          <w:p>
            <w:pPr>
              <w:jc w:val="right"/>
              <w:ind w:right="75"/>
              <w:spacing w:after="0"/>
              <w:rPr>
                <w:sz w:val="20"/>
                <w:szCs w:val="20"/>
                <w:color w:val="auto"/>
              </w:rPr>
            </w:pPr>
            <w:r>
              <w:rPr>
                <w:rFonts w:ascii="Arial" w:cs="Arial" w:eastAsia="Arial" w:hAnsi="Arial"/>
                <w:sz w:val="24"/>
                <w:szCs w:val="24"/>
                <w:b w:val="1"/>
                <w:bCs w:val="1"/>
                <w:color w:val="auto"/>
              </w:rPr>
              <w:t>Earnings</w:t>
            </w:r>
          </w:p>
        </w:tc>
        <w:tc>
          <w:tcPr>
            <w:tcW w:w="1260" w:type="dxa"/>
            <w:vAlign w:val="bottom"/>
            <w:gridSpan w:val="2"/>
          </w:tcPr>
          <w:p>
            <w:pPr>
              <w:ind w:left="100"/>
              <w:spacing w:after="0"/>
              <w:rPr>
                <w:sz w:val="20"/>
                <w:szCs w:val="20"/>
                <w:color w:val="auto"/>
              </w:rPr>
            </w:pPr>
            <w:r>
              <w:rPr>
                <w:rFonts w:ascii="Arial" w:cs="Arial" w:eastAsia="Arial" w:hAnsi="Arial"/>
                <w:sz w:val="24"/>
                <w:szCs w:val="24"/>
                <w:b w:val="1"/>
                <w:bCs w:val="1"/>
                <w:color w:val="auto"/>
              </w:rPr>
              <w:t>Diluted</w:t>
            </w:r>
          </w:p>
        </w:tc>
        <w:tc>
          <w:tcPr>
            <w:tcW w:w="1420" w:type="dxa"/>
            <w:vAlign w:val="bottom"/>
            <w:gridSpan w:val="2"/>
          </w:tcPr>
          <w:p>
            <w:pPr>
              <w:jc w:val="right"/>
              <w:spacing w:after="0"/>
              <w:rPr>
                <w:sz w:val="20"/>
                <w:szCs w:val="20"/>
                <w:color w:val="auto"/>
              </w:rPr>
            </w:pPr>
            <w:r>
              <w:rPr>
                <w:rFonts w:ascii="Arial" w:cs="Arial" w:eastAsia="Arial" w:hAnsi="Arial"/>
                <w:sz w:val="24"/>
                <w:szCs w:val="24"/>
                <w:b w:val="1"/>
                <w:bCs w:val="1"/>
                <w:color w:val="auto"/>
              </w:rPr>
              <w:t>Earnings</w:t>
            </w:r>
          </w:p>
        </w:tc>
        <w:tc>
          <w:tcPr>
            <w:tcW w:w="1320" w:type="dxa"/>
            <w:vAlign w:val="bottom"/>
            <w:gridSpan w:val="2"/>
          </w:tcPr>
          <w:p>
            <w:pPr>
              <w:jc w:val="right"/>
              <w:ind w:right="75"/>
              <w:spacing w:after="0"/>
              <w:rPr>
                <w:sz w:val="20"/>
                <w:szCs w:val="20"/>
                <w:color w:val="auto"/>
              </w:rPr>
            </w:pPr>
            <w:r>
              <w:rPr>
                <w:rFonts w:ascii="Arial" w:cs="Arial" w:eastAsia="Arial" w:hAnsi="Arial"/>
                <w:sz w:val="24"/>
                <w:szCs w:val="24"/>
                <w:b w:val="1"/>
                <w:bCs w:val="1"/>
                <w:color w:val="auto"/>
              </w:rPr>
              <w:t>Earnings</w:t>
            </w:r>
          </w:p>
        </w:tc>
        <w:tc>
          <w:tcPr>
            <w:tcW w:w="1040" w:type="dxa"/>
            <w:vAlign w:val="bottom"/>
            <w:gridSpan w:val="2"/>
          </w:tcPr>
          <w:p>
            <w:pPr>
              <w:ind w:left="100"/>
              <w:spacing w:after="0"/>
              <w:rPr>
                <w:sz w:val="20"/>
                <w:szCs w:val="20"/>
                <w:color w:val="auto"/>
              </w:rPr>
            </w:pPr>
            <w:r>
              <w:rPr>
                <w:rFonts w:ascii="Arial" w:cs="Arial" w:eastAsia="Arial" w:hAnsi="Arial"/>
                <w:sz w:val="24"/>
                <w:szCs w:val="24"/>
                <w:b w:val="1"/>
                <w:bCs w:val="1"/>
                <w:color w:val="auto"/>
              </w:rPr>
              <w:t>Diluted</w:t>
            </w:r>
          </w:p>
        </w:tc>
      </w:tr>
      <w:tr>
        <w:trPr>
          <w:trHeight w:val="743"/>
        </w:trPr>
        <w:tc>
          <w:tcPr>
            <w:tcW w:w="3040" w:type="dxa"/>
            <w:vAlign w:val="bottom"/>
          </w:tcPr>
          <w:p>
            <w:pPr>
              <w:spacing w:after="0"/>
              <w:rPr>
                <w:sz w:val="20"/>
                <w:szCs w:val="20"/>
                <w:color w:val="auto"/>
              </w:rPr>
            </w:pPr>
            <w:r>
              <w:rPr>
                <w:rFonts w:ascii="Arial" w:cs="Arial" w:eastAsia="Arial" w:hAnsi="Arial"/>
                <w:sz w:val="24"/>
                <w:szCs w:val="24"/>
                <w:b w:val="1"/>
                <w:bCs w:val="1"/>
                <w:color w:val="auto"/>
              </w:rPr>
              <w:t>Earnings, As Reported</w:t>
            </w:r>
          </w:p>
        </w:tc>
        <w:tc>
          <w:tcPr>
            <w:tcW w:w="420" w:type="dxa"/>
            <w:vAlign w:val="bottom"/>
          </w:tcPr>
          <w:p>
            <w:pPr>
              <w:ind w:left="160"/>
              <w:spacing w:after="0"/>
              <w:rPr>
                <w:sz w:val="20"/>
                <w:szCs w:val="20"/>
                <w:color w:val="auto"/>
              </w:rPr>
            </w:pPr>
            <w:r>
              <w:rPr>
                <w:rFonts w:ascii="Arial" w:cs="Arial" w:eastAsia="Arial" w:hAnsi="Arial"/>
                <w:sz w:val="25"/>
                <w:szCs w:val="25"/>
                <w:b w:val="1"/>
                <w:bCs w:val="1"/>
                <w:color w:val="C46D24"/>
              </w:rPr>
              <w:t>$</w:t>
            </w:r>
          </w:p>
        </w:tc>
        <w:tc>
          <w:tcPr>
            <w:tcW w:w="800" w:type="dxa"/>
            <w:vAlign w:val="bottom"/>
          </w:tcPr>
          <w:p>
            <w:pPr>
              <w:jc w:val="right"/>
              <w:spacing w:after="0"/>
              <w:rPr>
                <w:sz w:val="20"/>
                <w:szCs w:val="20"/>
                <w:color w:val="auto"/>
              </w:rPr>
            </w:pPr>
            <w:r>
              <w:rPr>
                <w:rFonts w:ascii="Arial" w:cs="Arial" w:eastAsia="Arial" w:hAnsi="Arial"/>
                <w:sz w:val="25"/>
                <w:szCs w:val="25"/>
                <w:b w:val="1"/>
                <w:bCs w:val="1"/>
                <w:color w:val="C46D24"/>
              </w:rPr>
              <w:t>119.4</w:t>
            </w:r>
          </w:p>
        </w:tc>
        <w:tc>
          <w:tcPr>
            <w:tcW w:w="380" w:type="dxa"/>
            <w:vAlign w:val="bottom"/>
          </w:tcPr>
          <w:p>
            <w:pPr>
              <w:ind w:left="200"/>
              <w:spacing w:after="0"/>
              <w:rPr>
                <w:sz w:val="20"/>
                <w:szCs w:val="20"/>
                <w:color w:val="auto"/>
              </w:rPr>
            </w:pPr>
            <w:r>
              <w:rPr>
                <w:rFonts w:ascii="Arial" w:cs="Arial" w:eastAsia="Arial" w:hAnsi="Arial"/>
                <w:sz w:val="25"/>
                <w:szCs w:val="25"/>
                <w:b w:val="1"/>
                <w:bCs w:val="1"/>
                <w:color w:val="C46D24"/>
              </w:rPr>
              <w:t>$</w:t>
            </w:r>
          </w:p>
        </w:tc>
        <w:tc>
          <w:tcPr>
            <w:tcW w:w="920" w:type="dxa"/>
            <w:vAlign w:val="bottom"/>
          </w:tcPr>
          <w:p>
            <w:pPr>
              <w:jc w:val="right"/>
              <w:spacing w:after="0"/>
              <w:rPr>
                <w:sz w:val="20"/>
                <w:szCs w:val="20"/>
                <w:color w:val="auto"/>
              </w:rPr>
            </w:pPr>
            <w:r>
              <w:rPr>
                <w:rFonts w:ascii="Arial" w:cs="Arial" w:eastAsia="Arial" w:hAnsi="Arial"/>
                <w:sz w:val="25"/>
                <w:szCs w:val="25"/>
                <w:b w:val="1"/>
                <w:bCs w:val="1"/>
                <w:color w:val="C46D24"/>
              </w:rPr>
              <w:t>63.6</w:t>
            </w:r>
          </w:p>
        </w:tc>
        <w:tc>
          <w:tcPr>
            <w:tcW w:w="420" w:type="dxa"/>
            <w:vAlign w:val="bottom"/>
          </w:tcPr>
          <w:p>
            <w:pPr>
              <w:ind w:left="120"/>
              <w:spacing w:after="0"/>
              <w:rPr>
                <w:sz w:val="20"/>
                <w:szCs w:val="20"/>
                <w:color w:val="auto"/>
              </w:rPr>
            </w:pPr>
            <w:r>
              <w:rPr>
                <w:rFonts w:ascii="Arial" w:cs="Arial" w:eastAsia="Arial" w:hAnsi="Arial"/>
                <w:sz w:val="25"/>
                <w:szCs w:val="25"/>
                <w:b w:val="1"/>
                <w:bCs w:val="1"/>
                <w:color w:val="C46D24"/>
              </w:rPr>
              <w:t>$</w:t>
            </w:r>
          </w:p>
        </w:tc>
        <w:tc>
          <w:tcPr>
            <w:tcW w:w="840" w:type="dxa"/>
            <w:vAlign w:val="bottom"/>
          </w:tcPr>
          <w:p>
            <w:pPr>
              <w:jc w:val="right"/>
              <w:ind w:right="93"/>
              <w:spacing w:after="0"/>
              <w:rPr>
                <w:sz w:val="20"/>
                <w:szCs w:val="20"/>
                <w:color w:val="auto"/>
              </w:rPr>
            </w:pPr>
            <w:r>
              <w:rPr>
                <w:rFonts w:ascii="Arial" w:cs="Arial" w:eastAsia="Arial" w:hAnsi="Arial"/>
                <w:sz w:val="25"/>
                <w:szCs w:val="25"/>
                <w:b w:val="1"/>
                <w:bCs w:val="1"/>
                <w:color w:val="C46D24"/>
              </w:rPr>
              <w:t>0.78</w:t>
            </w:r>
          </w:p>
        </w:tc>
        <w:tc>
          <w:tcPr>
            <w:tcW w:w="400" w:type="dxa"/>
            <w:vAlign w:val="bottom"/>
          </w:tcPr>
          <w:p>
            <w:pPr>
              <w:jc w:val="right"/>
              <w:spacing w:after="0"/>
              <w:rPr>
                <w:sz w:val="20"/>
                <w:szCs w:val="20"/>
                <w:color w:val="auto"/>
              </w:rPr>
            </w:pPr>
            <w:r>
              <w:rPr>
                <w:rFonts w:ascii="Arial" w:cs="Arial" w:eastAsia="Arial" w:hAnsi="Arial"/>
                <w:sz w:val="25"/>
                <w:szCs w:val="25"/>
                <w:b w:val="1"/>
                <w:bCs w:val="1"/>
                <w:color w:val="C46D24"/>
              </w:rPr>
              <w:t>$</w:t>
            </w:r>
          </w:p>
        </w:tc>
        <w:tc>
          <w:tcPr>
            <w:tcW w:w="1020" w:type="dxa"/>
            <w:vAlign w:val="bottom"/>
          </w:tcPr>
          <w:p>
            <w:pPr>
              <w:jc w:val="right"/>
              <w:spacing w:after="0"/>
              <w:rPr>
                <w:sz w:val="20"/>
                <w:szCs w:val="20"/>
                <w:color w:val="auto"/>
              </w:rPr>
            </w:pPr>
            <w:r>
              <w:rPr>
                <w:rFonts w:ascii="Arial" w:cs="Arial" w:eastAsia="Arial" w:hAnsi="Arial"/>
                <w:sz w:val="25"/>
                <w:szCs w:val="25"/>
                <w:b w:val="1"/>
                <w:bCs w:val="1"/>
                <w:color w:val="C46D24"/>
              </w:rPr>
              <w:t>(352.6)</w:t>
            </w:r>
          </w:p>
        </w:tc>
        <w:tc>
          <w:tcPr>
            <w:tcW w:w="340" w:type="dxa"/>
            <w:vAlign w:val="bottom"/>
          </w:tcPr>
          <w:p>
            <w:pPr>
              <w:jc w:val="right"/>
              <w:spacing w:after="0"/>
              <w:rPr>
                <w:sz w:val="20"/>
                <w:szCs w:val="20"/>
                <w:color w:val="auto"/>
              </w:rPr>
            </w:pPr>
            <w:r>
              <w:rPr>
                <w:rFonts w:ascii="Arial" w:cs="Arial" w:eastAsia="Arial" w:hAnsi="Arial"/>
                <w:sz w:val="25"/>
                <w:szCs w:val="25"/>
                <w:b w:val="1"/>
                <w:bCs w:val="1"/>
                <w:color w:val="C46D24"/>
              </w:rPr>
              <w:t>$</w:t>
            </w:r>
          </w:p>
        </w:tc>
        <w:tc>
          <w:tcPr>
            <w:tcW w:w="980" w:type="dxa"/>
            <w:vAlign w:val="bottom"/>
          </w:tcPr>
          <w:p>
            <w:pPr>
              <w:jc w:val="right"/>
              <w:spacing w:after="0"/>
              <w:rPr>
                <w:sz w:val="20"/>
                <w:szCs w:val="20"/>
                <w:color w:val="auto"/>
              </w:rPr>
            </w:pPr>
            <w:r>
              <w:rPr>
                <w:rFonts w:ascii="Arial" w:cs="Arial" w:eastAsia="Arial" w:hAnsi="Arial"/>
                <w:sz w:val="25"/>
                <w:szCs w:val="25"/>
                <w:b w:val="1"/>
                <w:bCs w:val="1"/>
                <w:color w:val="C46D24"/>
              </w:rPr>
              <w:t>(350.4)</w:t>
            </w:r>
          </w:p>
        </w:tc>
        <w:tc>
          <w:tcPr>
            <w:tcW w:w="320" w:type="dxa"/>
            <w:vAlign w:val="bottom"/>
          </w:tcPr>
          <w:p>
            <w:pPr>
              <w:ind w:left="100"/>
              <w:spacing w:after="0"/>
              <w:rPr>
                <w:sz w:val="20"/>
                <w:szCs w:val="20"/>
                <w:color w:val="auto"/>
              </w:rPr>
            </w:pPr>
            <w:r>
              <w:rPr>
                <w:rFonts w:ascii="Arial" w:cs="Arial" w:eastAsia="Arial" w:hAnsi="Arial"/>
                <w:sz w:val="25"/>
                <w:szCs w:val="25"/>
                <w:b w:val="1"/>
                <w:bCs w:val="1"/>
                <w:color w:val="C46D24"/>
              </w:rPr>
              <w:t>$</w:t>
            </w:r>
          </w:p>
        </w:tc>
        <w:tc>
          <w:tcPr>
            <w:tcW w:w="720" w:type="dxa"/>
            <w:vAlign w:val="bottom"/>
          </w:tcPr>
          <w:p>
            <w:pPr>
              <w:jc w:val="right"/>
              <w:spacing w:after="0"/>
              <w:rPr>
                <w:sz w:val="20"/>
                <w:szCs w:val="20"/>
                <w:color w:val="auto"/>
              </w:rPr>
            </w:pPr>
            <w:r>
              <w:rPr>
                <w:rFonts w:ascii="Arial" w:cs="Arial" w:eastAsia="Arial" w:hAnsi="Arial"/>
                <w:sz w:val="25"/>
                <w:szCs w:val="25"/>
                <w:b w:val="1"/>
                <w:bCs w:val="1"/>
                <w:color w:val="C46D24"/>
              </w:rPr>
              <w:t>(4.29)</w:t>
            </w:r>
          </w:p>
        </w:tc>
      </w:tr>
      <w:tr>
        <w:trPr>
          <w:trHeight w:val="571"/>
        </w:trPr>
        <w:tc>
          <w:tcPr>
            <w:tcW w:w="3040" w:type="dxa"/>
            <w:vAlign w:val="bottom"/>
          </w:tcPr>
          <w:p>
            <w:pPr>
              <w:spacing w:after="0"/>
              <w:rPr>
                <w:sz w:val="20"/>
                <w:szCs w:val="20"/>
                <w:color w:val="auto"/>
              </w:rPr>
            </w:pPr>
            <w:r>
              <w:rPr>
                <w:rFonts w:ascii="Arial" w:cs="Arial" w:eastAsia="Arial" w:hAnsi="Arial"/>
                <w:sz w:val="24"/>
                <w:szCs w:val="24"/>
                <w:b w:val="1"/>
                <w:bCs w:val="1"/>
                <w:color w:val="auto"/>
              </w:rPr>
              <w:t>Reorganization Charge</w:t>
            </w:r>
            <w:r>
              <w:rPr>
                <w:rFonts w:ascii="Arial" w:cs="Arial" w:eastAsia="Arial" w:hAnsi="Arial"/>
                <w:sz w:val="15"/>
                <w:szCs w:val="15"/>
                <w:b w:val="1"/>
                <w:bCs w:val="1"/>
                <w:color w:val="C46D24"/>
              </w:rPr>
              <w:t>(1)(2)</w:t>
            </w: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5"/>
                <w:szCs w:val="25"/>
                <w:b w:val="1"/>
                <w:bCs w:val="1"/>
                <w:color w:val="C46D24"/>
              </w:rPr>
              <w:t>20.5</w:t>
            </w: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5"/>
                <w:szCs w:val="25"/>
                <w:b w:val="1"/>
                <w:bCs w:val="1"/>
                <w:color w:val="C46D24"/>
              </w:rPr>
              <w:t>16.3</w:t>
            </w:r>
          </w:p>
        </w:tc>
        <w:tc>
          <w:tcPr>
            <w:tcW w:w="420" w:type="dxa"/>
            <w:vAlign w:val="bottom"/>
          </w:tcPr>
          <w:p>
            <w:pPr>
              <w:spacing w:after="0"/>
              <w:rPr>
                <w:sz w:val="24"/>
                <w:szCs w:val="24"/>
                <w:color w:val="auto"/>
              </w:rPr>
            </w:pPr>
          </w:p>
        </w:tc>
        <w:tc>
          <w:tcPr>
            <w:tcW w:w="840" w:type="dxa"/>
            <w:vAlign w:val="bottom"/>
          </w:tcPr>
          <w:p>
            <w:pPr>
              <w:jc w:val="right"/>
              <w:ind w:right="93"/>
              <w:spacing w:after="0"/>
              <w:rPr>
                <w:sz w:val="20"/>
                <w:szCs w:val="20"/>
                <w:color w:val="auto"/>
              </w:rPr>
            </w:pPr>
            <w:r>
              <w:rPr>
                <w:rFonts w:ascii="Arial" w:cs="Arial" w:eastAsia="Arial" w:hAnsi="Arial"/>
                <w:sz w:val="25"/>
                <w:szCs w:val="25"/>
                <w:b w:val="1"/>
                <w:bCs w:val="1"/>
                <w:color w:val="C46D24"/>
              </w:rPr>
              <w:t>0.20</w:t>
            </w: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5"/>
                <w:szCs w:val="25"/>
                <w:b w:val="1"/>
                <w:bCs w:val="1"/>
                <w:color w:val="C46D24"/>
              </w:rPr>
              <w:t>30.5</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5"/>
                <w:szCs w:val="25"/>
                <w:b w:val="1"/>
                <w:bCs w:val="1"/>
                <w:color w:val="C46D24"/>
              </w:rPr>
              <w:t>20.6</w:t>
            </w: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5"/>
                <w:szCs w:val="25"/>
                <w:b w:val="1"/>
                <w:bCs w:val="1"/>
                <w:color w:val="C46D24"/>
              </w:rPr>
              <w:t>0.25</w:t>
            </w:r>
          </w:p>
        </w:tc>
      </w:tr>
      <w:tr>
        <w:trPr>
          <w:trHeight w:val="535"/>
        </w:trPr>
        <w:tc>
          <w:tcPr>
            <w:tcW w:w="3040" w:type="dxa"/>
            <w:vAlign w:val="bottom"/>
          </w:tcPr>
          <w:p>
            <w:pPr>
              <w:spacing w:after="0"/>
              <w:rPr>
                <w:sz w:val="20"/>
                <w:szCs w:val="20"/>
                <w:color w:val="auto"/>
              </w:rPr>
            </w:pPr>
            <w:r>
              <w:rPr>
                <w:rFonts w:ascii="Arial" w:cs="Arial" w:eastAsia="Arial" w:hAnsi="Arial"/>
                <w:sz w:val="24"/>
                <w:szCs w:val="24"/>
                <w:b w:val="1"/>
                <w:bCs w:val="1"/>
                <w:color w:val="auto"/>
              </w:rPr>
              <w:t>Goodwill and Intangible</w:t>
            </w: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5"/>
                <w:szCs w:val="25"/>
                <w:b w:val="1"/>
                <w:bCs w:val="1"/>
                <w:color w:val="C46D24"/>
              </w:rPr>
              <w:t>N/A</w:t>
            </w: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5"/>
                <w:szCs w:val="25"/>
                <w:b w:val="1"/>
                <w:bCs w:val="1"/>
                <w:color w:val="C46D24"/>
              </w:rPr>
              <w:t>N/A</w:t>
            </w:r>
          </w:p>
        </w:tc>
        <w:tc>
          <w:tcPr>
            <w:tcW w:w="420" w:type="dxa"/>
            <w:vAlign w:val="bottom"/>
          </w:tcPr>
          <w:p>
            <w:pPr>
              <w:spacing w:after="0"/>
              <w:rPr>
                <w:sz w:val="24"/>
                <w:szCs w:val="24"/>
                <w:color w:val="auto"/>
              </w:rPr>
            </w:pPr>
          </w:p>
        </w:tc>
        <w:tc>
          <w:tcPr>
            <w:tcW w:w="840" w:type="dxa"/>
            <w:vAlign w:val="bottom"/>
          </w:tcPr>
          <w:p>
            <w:pPr>
              <w:jc w:val="right"/>
              <w:ind w:right="93"/>
              <w:spacing w:after="0"/>
              <w:rPr>
                <w:sz w:val="20"/>
                <w:szCs w:val="20"/>
                <w:color w:val="auto"/>
              </w:rPr>
            </w:pPr>
            <w:r>
              <w:rPr>
                <w:rFonts w:ascii="Arial" w:cs="Arial" w:eastAsia="Arial" w:hAnsi="Arial"/>
                <w:sz w:val="25"/>
                <w:szCs w:val="25"/>
                <w:b w:val="1"/>
                <w:bCs w:val="1"/>
                <w:color w:val="C46D24"/>
              </w:rPr>
              <w:t>N/A</w:t>
            </w: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5"/>
                <w:szCs w:val="25"/>
                <w:b w:val="1"/>
                <w:bCs w:val="1"/>
                <w:color w:val="C46D24"/>
              </w:rPr>
              <w:t>428.8</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5"/>
                <w:szCs w:val="25"/>
                <w:b w:val="1"/>
                <w:bCs w:val="1"/>
                <w:color w:val="C46D24"/>
              </w:rPr>
              <w:t>384.3</w:t>
            </w: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5"/>
                <w:szCs w:val="25"/>
                <w:b w:val="1"/>
                <w:bCs w:val="1"/>
                <w:color w:val="C46D24"/>
              </w:rPr>
              <w:t>4.70</w:t>
            </w:r>
          </w:p>
        </w:tc>
      </w:tr>
      <w:tr>
        <w:trPr>
          <w:trHeight w:val="315"/>
        </w:trPr>
        <w:tc>
          <w:tcPr>
            <w:tcW w:w="3040" w:type="dxa"/>
            <w:vAlign w:val="bottom"/>
          </w:tcPr>
          <w:p>
            <w:pPr>
              <w:ind w:left="240"/>
              <w:spacing w:after="0"/>
              <w:rPr>
                <w:sz w:val="20"/>
                <w:szCs w:val="20"/>
                <w:color w:val="auto"/>
              </w:rPr>
            </w:pPr>
            <w:r>
              <w:rPr>
                <w:rFonts w:ascii="Arial" w:cs="Arial" w:eastAsia="Arial" w:hAnsi="Arial"/>
                <w:sz w:val="24"/>
                <w:szCs w:val="24"/>
                <w:b w:val="1"/>
                <w:bCs w:val="1"/>
                <w:color w:val="auto"/>
              </w:rPr>
              <w:t>Asset impairment</w:t>
            </w:r>
            <w:r>
              <w:rPr>
                <w:rFonts w:ascii="Arial" w:cs="Arial" w:eastAsia="Arial" w:hAnsi="Arial"/>
                <w:sz w:val="15"/>
                <w:szCs w:val="15"/>
                <w:b w:val="1"/>
                <w:bCs w:val="1"/>
                <w:color w:val="C46D24"/>
              </w:rPr>
              <w:t>(3)</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81"/>
        </w:trPr>
        <w:tc>
          <w:tcPr>
            <w:tcW w:w="3040" w:type="dxa"/>
            <w:vAlign w:val="bottom"/>
          </w:tcPr>
          <w:p>
            <w:pPr>
              <w:spacing w:after="0"/>
              <w:rPr>
                <w:sz w:val="20"/>
                <w:szCs w:val="20"/>
                <w:color w:val="auto"/>
              </w:rPr>
            </w:pPr>
            <w:r>
              <w:rPr>
                <w:rFonts w:ascii="Arial" w:cs="Arial" w:eastAsia="Arial" w:hAnsi="Arial"/>
                <w:sz w:val="24"/>
                <w:szCs w:val="24"/>
                <w:b w:val="1"/>
                <w:bCs w:val="1"/>
                <w:color w:val="auto"/>
              </w:rPr>
              <w:t>Earnings, Excluding non-</w:t>
            </w:r>
          </w:p>
        </w:tc>
        <w:tc>
          <w:tcPr>
            <w:tcW w:w="420" w:type="dxa"/>
            <w:vAlign w:val="bottom"/>
          </w:tcPr>
          <w:p>
            <w:pPr>
              <w:ind w:left="160"/>
              <w:spacing w:after="0"/>
              <w:rPr>
                <w:sz w:val="20"/>
                <w:szCs w:val="20"/>
                <w:color w:val="auto"/>
              </w:rPr>
            </w:pPr>
            <w:r>
              <w:rPr>
                <w:rFonts w:ascii="Arial" w:cs="Arial" w:eastAsia="Arial" w:hAnsi="Arial"/>
                <w:sz w:val="25"/>
                <w:szCs w:val="25"/>
                <w:b w:val="1"/>
                <w:bCs w:val="1"/>
                <w:color w:val="C46D24"/>
              </w:rPr>
              <w:t>$</w:t>
            </w:r>
          </w:p>
        </w:tc>
        <w:tc>
          <w:tcPr>
            <w:tcW w:w="800" w:type="dxa"/>
            <w:vAlign w:val="bottom"/>
          </w:tcPr>
          <w:p>
            <w:pPr>
              <w:jc w:val="right"/>
              <w:spacing w:after="0"/>
              <w:rPr>
                <w:sz w:val="20"/>
                <w:szCs w:val="20"/>
                <w:color w:val="auto"/>
              </w:rPr>
            </w:pPr>
            <w:r>
              <w:rPr>
                <w:rFonts w:ascii="Arial" w:cs="Arial" w:eastAsia="Arial" w:hAnsi="Arial"/>
                <w:sz w:val="25"/>
                <w:szCs w:val="25"/>
                <w:b w:val="1"/>
                <w:bCs w:val="1"/>
                <w:color w:val="C46D24"/>
              </w:rPr>
              <w:t>139.9</w:t>
            </w:r>
          </w:p>
        </w:tc>
        <w:tc>
          <w:tcPr>
            <w:tcW w:w="380" w:type="dxa"/>
            <w:vAlign w:val="bottom"/>
          </w:tcPr>
          <w:p>
            <w:pPr>
              <w:ind w:left="200"/>
              <w:spacing w:after="0"/>
              <w:rPr>
                <w:sz w:val="20"/>
                <w:szCs w:val="20"/>
                <w:color w:val="auto"/>
              </w:rPr>
            </w:pPr>
            <w:r>
              <w:rPr>
                <w:rFonts w:ascii="Arial" w:cs="Arial" w:eastAsia="Arial" w:hAnsi="Arial"/>
                <w:sz w:val="25"/>
                <w:szCs w:val="25"/>
                <w:b w:val="1"/>
                <w:bCs w:val="1"/>
                <w:color w:val="C46D24"/>
              </w:rPr>
              <w:t>$</w:t>
            </w:r>
          </w:p>
        </w:tc>
        <w:tc>
          <w:tcPr>
            <w:tcW w:w="920" w:type="dxa"/>
            <w:vAlign w:val="bottom"/>
          </w:tcPr>
          <w:p>
            <w:pPr>
              <w:jc w:val="right"/>
              <w:spacing w:after="0"/>
              <w:rPr>
                <w:sz w:val="20"/>
                <w:szCs w:val="20"/>
                <w:color w:val="auto"/>
              </w:rPr>
            </w:pPr>
            <w:r>
              <w:rPr>
                <w:rFonts w:ascii="Arial" w:cs="Arial" w:eastAsia="Arial" w:hAnsi="Arial"/>
                <w:sz w:val="25"/>
                <w:szCs w:val="25"/>
                <w:b w:val="1"/>
                <w:bCs w:val="1"/>
                <w:color w:val="C46D24"/>
              </w:rPr>
              <w:t>79.9</w:t>
            </w:r>
          </w:p>
        </w:tc>
        <w:tc>
          <w:tcPr>
            <w:tcW w:w="420" w:type="dxa"/>
            <w:vAlign w:val="bottom"/>
          </w:tcPr>
          <w:p>
            <w:pPr>
              <w:ind w:left="120"/>
              <w:spacing w:after="0"/>
              <w:rPr>
                <w:sz w:val="20"/>
                <w:szCs w:val="20"/>
                <w:color w:val="auto"/>
              </w:rPr>
            </w:pPr>
            <w:r>
              <w:rPr>
                <w:rFonts w:ascii="Arial" w:cs="Arial" w:eastAsia="Arial" w:hAnsi="Arial"/>
                <w:sz w:val="25"/>
                <w:szCs w:val="25"/>
                <w:b w:val="1"/>
                <w:bCs w:val="1"/>
                <w:color w:val="C46D24"/>
              </w:rPr>
              <w:t>$</w:t>
            </w:r>
          </w:p>
        </w:tc>
        <w:tc>
          <w:tcPr>
            <w:tcW w:w="840" w:type="dxa"/>
            <w:vAlign w:val="bottom"/>
          </w:tcPr>
          <w:p>
            <w:pPr>
              <w:jc w:val="right"/>
              <w:ind w:right="93"/>
              <w:spacing w:after="0"/>
              <w:rPr>
                <w:sz w:val="20"/>
                <w:szCs w:val="20"/>
                <w:color w:val="auto"/>
              </w:rPr>
            </w:pPr>
            <w:r>
              <w:rPr>
                <w:rFonts w:ascii="Arial" w:cs="Arial" w:eastAsia="Arial" w:hAnsi="Arial"/>
                <w:sz w:val="25"/>
                <w:szCs w:val="25"/>
                <w:b w:val="1"/>
                <w:bCs w:val="1"/>
                <w:color w:val="C46D24"/>
              </w:rPr>
              <w:t>0.98</w:t>
            </w:r>
          </w:p>
        </w:tc>
        <w:tc>
          <w:tcPr>
            <w:tcW w:w="400" w:type="dxa"/>
            <w:vAlign w:val="bottom"/>
          </w:tcPr>
          <w:p>
            <w:pPr>
              <w:jc w:val="right"/>
              <w:spacing w:after="0"/>
              <w:rPr>
                <w:sz w:val="20"/>
                <w:szCs w:val="20"/>
                <w:color w:val="auto"/>
              </w:rPr>
            </w:pPr>
            <w:r>
              <w:rPr>
                <w:rFonts w:ascii="Arial" w:cs="Arial" w:eastAsia="Arial" w:hAnsi="Arial"/>
                <w:sz w:val="25"/>
                <w:szCs w:val="25"/>
                <w:b w:val="1"/>
                <w:bCs w:val="1"/>
                <w:color w:val="C46D24"/>
              </w:rPr>
              <w:t>$</w:t>
            </w:r>
          </w:p>
        </w:tc>
        <w:tc>
          <w:tcPr>
            <w:tcW w:w="1020" w:type="dxa"/>
            <w:vAlign w:val="bottom"/>
          </w:tcPr>
          <w:p>
            <w:pPr>
              <w:jc w:val="right"/>
              <w:spacing w:after="0"/>
              <w:rPr>
                <w:sz w:val="20"/>
                <w:szCs w:val="20"/>
                <w:color w:val="auto"/>
              </w:rPr>
            </w:pPr>
            <w:r>
              <w:rPr>
                <w:rFonts w:ascii="Arial" w:cs="Arial" w:eastAsia="Arial" w:hAnsi="Arial"/>
                <w:sz w:val="25"/>
                <w:szCs w:val="25"/>
                <w:b w:val="1"/>
                <w:bCs w:val="1"/>
                <w:color w:val="C46D24"/>
              </w:rPr>
              <w:t>106.7</w:t>
            </w:r>
          </w:p>
        </w:tc>
        <w:tc>
          <w:tcPr>
            <w:tcW w:w="340" w:type="dxa"/>
            <w:vAlign w:val="bottom"/>
          </w:tcPr>
          <w:p>
            <w:pPr>
              <w:jc w:val="right"/>
              <w:spacing w:after="0"/>
              <w:rPr>
                <w:sz w:val="20"/>
                <w:szCs w:val="20"/>
                <w:color w:val="auto"/>
              </w:rPr>
            </w:pPr>
            <w:r>
              <w:rPr>
                <w:rFonts w:ascii="Arial" w:cs="Arial" w:eastAsia="Arial" w:hAnsi="Arial"/>
                <w:sz w:val="25"/>
                <w:szCs w:val="25"/>
                <w:b w:val="1"/>
                <w:bCs w:val="1"/>
                <w:color w:val="C46D24"/>
              </w:rPr>
              <w:t>$</w:t>
            </w:r>
          </w:p>
        </w:tc>
        <w:tc>
          <w:tcPr>
            <w:tcW w:w="980" w:type="dxa"/>
            <w:vAlign w:val="bottom"/>
          </w:tcPr>
          <w:p>
            <w:pPr>
              <w:jc w:val="right"/>
              <w:spacing w:after="0"/>
              <w:rPr>
                <w:sz w:val="20"/>
                <w:szCs w:val="20"/>
                <w:color w:val="auto"/>
              </w:rPr>
            </w:pPr>
            <w:r>
              <w:rPr>
                <w:rFonts w:ascii="Arial" w:cs="Arial" w:eastAsia="Arial" w:hAnsi="Arial"/>
                <w:sz w:val="25"/>
                <w:szCs w:val="25"/>
                <w:b w:val="1"/>
                <w:bCs w:val="1"/>
                <w:color w:val="C46D24"/>
              </w:rPr>
              <w:t>54.5</w:t>
            </w:r>
          </w:p>
        </w:tc>
        <w:tc>
          <w:tcPr>
            <w:tcW w:w="320" w:type="dxa"/>
            <w:vAlign w:val="bottom"/>
          </w:tcPr>
          <w:p>
            <w:pPr>
              <w:ind w:left="120"/>
              <w:spacing w:after="0"/>
              <w:rPr>
                <w:sz w:val="20"/>
                <w:szCs w:val="20"/>
                <w:color w:val="auto"/>
              </w:rPr>
            </w:pPr>
            <w:r>
              <w:rPr>
                <w:rFonts w:ascii="Arial" w:cs="Arial" w:eastAsia="Arial" w:hAnsi="Arial"/>
                <w:sz w:val="25"/>
                <w:szCs w:val="25"/>
                <w:b w:val="1"/>
                <w:bCs w:val="1"/>
                <w:color w:val="C46D24"/>
              </w:rPr>
              <w:t>$</w:t>
            </w:r>
          </w:p>
        </w:tc>
        <w:tc>
          <w:tcPr>
            <w:tcW w:w="720" w:type="dxa"/>
            <w:vAlign w:val="bottom"/>
          </w:tcPr>
          <w:p>
            <w:pPr>
              <w:jc w:val="right"/>
              <w:spacing w:after="0"/>
              <w:rPr>
                <w:sz w:val="20"/>
                <w:szCs w:val="20"/>
                <w:color w:val="auto"/>
              </w:rPr>
            </w:pPr>
            <w:r>
              <w:rPr>
                <w:rFonts w:ascii="Arial" w:cs="Arial" w:eastAsia="Arial" w:hAnsi="Arial"/>
                <w:sz w:val="25"/>
                <w:szCs w:val="25"/>
                <w:b w:val="1"/>
                <w:bCs w:val="1"/>
                <w:color w:val="C46D24"/>
              </w:rPr>
              <w:t>0.66</w:t>
            </w:r>
          </w:p>
        </w:tc>
      </w:tr>
      <w:tr>
        <w:trPr>
          <w:trHeight w:val="315"/>
        </w:trPr>
        <w:tc>
          <w:tcPr>
            <w:tcW w:w="3040" w:type="dxa"/>
            <w:vAlign w:val="bottom"/>
          </w:tcPr>
          <w:p>
            <w:pPr>
              <w:ind w:left="240"/>
              <w:spacing w:after="0"/>
              <w:rPr>
                <w:sz w:val="20"/>
                <w:szCs w:val="20"/>
                <w:color w:val="auto"/>
              </w:rPr>
            </w:pPr>
            <w:r>
              <w:rPr>
                <w:rFonts w:ascii="Arial" w:cs="Arial" w:eastAsia="Arial" w:hAnsi="Arial"/>
                <w:sz w:val="24"/>
                <w:szCs w:val="24"/>
                <w:b w:val="1"/>
                <w:bCs w:val="1"/>
                <w:color w:val="auto"/>
              </w:rPr>
              <w:t>recurring items</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00" w:lineRule="exact"/>
        <w:rPr>
          <w:sz w:val="20"/>
          <w:szCs w:val="20"/>
          <w:color w:val="auto"/>
        </w:rPr>
      </w:pPr>
    </w:p>
    <w:p>
      <w:pPr>
        <w:spacing w:after="0" w:line="350" w:lineRule="exact"/>
        <w:rPr>
          <w:sz w:val="20"/>
          <w:szCs w:val="20"/>
          <w:color w:val="auto"/>
        </w:rPr>
      </w:pPr>
    </w:p>
    <w:p>
      <w:pPr>
        <w:ind w:left="600" w:hanging="282"/>
        <w:spacing w:after="0"/>
        <w:tabs>
          <w:tab w:leader="none" w:pos="600"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2011 includes reorganization charges for the Americas ($2.4M), Northern Europe ($12.0M) and Right Management ($6.1M).</w:t>
      </w:r>
    </w:p>
    <w:p>
      <w:pPr>
        <w:spacing w:after="0" w:line="102" w:lineRule="exact"/>
        <w:rPr>
          <w:rFonts w:ascii="Arial" w:cs="Arial" w:eastAsia="Arial" w:hAnsi="Arial"/>
          <w:sz w:val="24"/>
          <w:szCs w:val="24"/>
          <w:color w:val="auto"/>
          <w:vertAlign w:val="superscript"/>
        </w:rPr>
      </w:pPr>
    </w:p>
    <w:p>
      <w:pPr>
        <w:ind w:left="560" w:hanging="242"/>
        <w:spacing w:after="0" w:line="190" w:lineRule="auto"/>
        <w:tabs>
          <w:tab w:leader="none" w:pos="560"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2010 includes reorganization charges for the Americas ($6.1M), Southern Europe ($7.6M) and Right Management ($16.8M).</w:t>
      </w:r>
    </w:p>
    <w:p>
      <w:pPr>
        <w:spacing w:after="0" w:line="99" w:lineRule="exact"/>
        <w:rPr>
          <w:rFonts w:ascii="Arial" w:cs="Arial" w:eastAsia="Arial" w:hAnsi="Arial"/>
          <w:sz w:val="24"/>
          <w:szCs w:val="24"/>
          <w:color w:val="auto"/>
          <w:vertAlign w:val="superscript"/>
        </w:rPr>
      </w:pPr>
    </w:p>
    <w:p>
      <w:pPr>
        <w:ind w:left="560" w:hanging="242"/>
        <w:spacing w:after="0" w:line="182" w:lineRule="auto"/>
        <w:tabs>
          <w:tab w:leader="none" w:pos="560"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2010 includes goodwill and intangible asset impairment charges for the Americas ($32.9M) and Right Management ($395.9M).</w:t>
      </w:r>
    </w:p>
    <w:p>
      <w:pPr>
        <w:spacing w:after="0" w:line="212" w:lineRule="exact"/>
        <w:rPr>
          <w:sz w:val="20"/>
          <w:szCs w:val="20"/>
          <w:color w:val="auto"/>
        </w:rPr>
      </w:pPr>
    </w:p>
    <w:p>
      <w:pPr>
        <w:ind w:left="10520"/>
        <w:spacing w:after="0"/>
        <w:rPr>
          <w:sz w:val="20"/>
          <w:szCs w:val="20"/>
          <w:color w:val="auto"/>
        </w:rPr>
      </w:pPr>
      <w:r>
        <w:rPr>
          <w:rFonts w:ascii="Arial" w:cs="Arial" w:eastAsia="Arial" w:hAnsi="Arial"/>
          <w:sz w:val="14"/>
          <w:szCs w:val="14"/>
          <w:color w:val="898989"/>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429895</wp:posOffset>
            </wp:positionV>
            <wp:extent cx="726821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600"/>
          </w:cols>
          <w:pgMar w:left="500" w:top="449" w:right="799" w:bottom="1440" w:gutter="0" w:footer="0" w:header="0"/>
          <w:type w:val="continuous"/>
        </w:sectPr>
      </w:pPr>
    </w:p>
    <w:bookmarkStart w:id="17" w:name="page18"/>
    <w:bookmarkEnd w:id="17"/>
    <w:p>
      <w:pPr>
        <w:ind w:left="440" w:right="3260"/>
        <w:spacing w:after="0" w:line="289" w:lineRule="auto"/>
        <w:rPr>
          <w:sz w:val="20"/>
          <w:szCs w:val="20"/>
          <w:color w:val="auto"/>
        </w:rPr>
      </w:pPr>
      <w:r>
        <w:rPr>
          <w:rFonts w:ascii="Arial" w:cs="Arial" w:eastAsia="Arial" w:hAnsi="Arial"/>
          <w:sz w:val="25"/>
          <w:szCs w:val="25"/>
          <w:b w:val="1"/>
          <w:bCs w:val="1"/>
          <w:color w:val="FFFFFF"/>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2011 4</w:t>
      </w:r>
      <w:r>
        <w:rPr>
          <w:rFonts w:ascii="Arial" w:cs="Arial" w:eastAsia="Arial" w:hAnsi="Arial"/>
          <w:sz w:val="17"/>
          <w:szCs w:val="17"/>
          <w:b w:val="1"/>
          <w:bCs w:val="1"/>
          <w:color w:val="FFFFFF"/>
        </w:rPr>
        <w:t>th</w:t>
      </w:r>
      <w:r>
        <w:rPr>
          <w:rFonts w:ascii="Arial" w:cs="Arial" w:eastAsia="Arial" w:hAnsi="Arial"/>
          <w:sz w:val="25"/>
          <w:szCs w:val="25"/>
          <w:b w:val="1"/>
          <w:bCs w:val="1"/>
          <w:color w:val="FFFFFF"/>
        </w:rPr>
        <w:t xml:space="preserve"> Quarter Results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February</w:t>
      </w:r>
    </w:p>
    <w:p>
      <w:pPr>
        <w:spacing w:after="0" w:line="594" w:lineRule="exact"/>
        <w:rPr>
          <w:sz w:val="20"/>
          <w:szCs w:val="20"/>
          <w:color w:val="auto"/>
        </w:rPr>
      </w:pPr>
    </w:p>
    <w:p>
      <w:pPr>
        <w:sectPr>
          <w:pgSz w:w="11900" w:h="16838" w:orient="portrait"/>
          <w:cols w:equalWidth="0" w:num="2">
            <w:col w:w="8780" w:space="720"/>
            <w:col w:w="1940"/>
          </w:cols>
          <w:pgMar w:left="240" w:top="449" w:right="219" w:bottom="1440" w:gutter="0" w:footer="0" w:header="0"/>
        </w:sectPr>
      </w:pPr>
    </w:p>
    <w:p>
      <w:pPr>
        <w:ind w:left="340"/>
        <w:spacing w:after="0"/>
        <w:rPr>
          <w:sz w:val="20"/>
          <w:szCs w:val="20"/>
          <w:color w:val="auto"/>
        </w:rPr>
      </w:pPr>
      <w:r>
        <w:rPr>
          <w:rFonts w:ascii="Arial" w:cs="Arial" w:eastAsia="Arial" w:hAnsi="Arial"/>
          <w:sz w:val="51"/>
          <w:szCs w:val="51"/>
          <w:color w:val="5F81AA"/>
        </w:rPr>
        <w:t>Business Line Gross Profit - Q4 2011</w:t>
      </w:r>
    </w:p>
    <w:p>
      <w:pPr>
        <w:spacing w:after="0" w:line="200" w:lineRule="exact"/>
        <w:rPr>
          <w:sz w:val="20"/>
          <w:szCs w:val="20"/>
          <w:color w:val="auto"/>
        </w:rPr>
      </w:pPr>
    </w:p>
    <w:p>
      <w:pPr>
        <w:spacing w:after="0" w:line="305" w:lineRule="exact"/>
        <w:rPr>
          <w:sz w:val="20"/>
          <w:szCs w:val="20"/>
          <w:color w:val="auto"/>
        </w:rPr>
      </w:pPr>
    </w:p>
    <w:p>
      <w:pPr>
        <w:ind w:left="7800"/>
        <w:spacing w:after="0"/>
        <w:rPr>
          <w:sz w:val="20"/>
          <w:szCs w:val="20"/>
          <w:color w:val="auto"/>
        </w:rPr>
      </w:pPr>
      <w:r>
        <w:rPr>
          <w:rFonts w:ascii="Arial" w:cs="Arial" w:eastAsia="Arial" w:hAnsi="Arial"/>
          <w:sz w:val="25"/>
          <w:szCs w:val="25"/>
          <w:b w:val="1"/>
          <w:bCs w:val="1"/>
          <w:color w:val="auto"/>
        </w:rPr>
        <w:t>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80" w:type="dxa"/>
            <w:vAlign w:val="bottom"/>
          </w:tcPr>
          <w:p>
            <w:pPr>
              <w:ind w:left="1500"/>
              <w:spacing w:after="0"/>
              <w:rPr>
                <w:sz w:val="20"/>
                <w:szCs w:val="20"/>
                <w:color w:val="auto"/>
              </w:rPr>
            </w:pPr>
            <w:r>
              <w:rPr>
                <w:rFonts w:ascii="Arial" w:cs="Arial" w:eastAsia="Arial" w:hAnsi="Arial"/>
                <w:sz w:val="17"/>
                <w:szCs w:val="17"/>
                <w:b w:val="1"/>
                <w:bCs w:val="1"/>
                <w:color w:val="306996"/>
              </w:rPr>
              <w:t xml:space="preserve">█ </w:t>
            </w:r>
            <w:r>
              <w:rPr>
                <w:rFonts w:ascii="Arial" w:cs="Arial" w:eastAsia="Arial" w:hAnsi="Arial"/>
                <w:sz w:val="15"/>
                <w:szCs w:val="15"/>
                <w:b w:val="1"/>
                <w:bCs w:val="1"/>
                <w:color w:val="000000"/>
              </w:rPr>
              <w:t>Manpower</w:t>
            </w:r>
          </w:p>
        </w:tc>
        <w:tc>
          <w:tcPr>
            <w:tcW w:w="2560" w:type="dxa"/>
            <w:vAlign w:val="bottom"/>
          </w:tcPr>
          <w:p>
            <w:pPr>
              <w:ind w:left="340"/>
              <w:spacing w:after="0"/>
              <w:rPr>
                <w:sz w:val="20"/>
                <w:szCs w:val="20"/>
                <w:color w:val="auto"/>
              </w:rPr>
            </w:pPr>
            <w:r>
              <w:rPr>
                <w:rFonts w:ascii="Arial" w:cs="Arial" w:eastAsia="Arial" w:hAnsi="Arial"/>
                <w:sz w:val="16"/>
                <w:szCs w:val="16"/>
                <w:b w:val="1"/>
                <w:bCs w:val="1"/>
                <w:color w:val="C46D24"/>
              </w:rPr>
              <w:t xml:space="preserve">█ </w:t>
            </w:r>
            <w:r>
              <w:rPr>
                <w:rFonts w:ascii="Arial" w:cs="Arial" w:eastAsia="Arial" w:hAnsi="Arial"/>
                <w:sz w:val="16"/>
                <w:szCs w:val="16"/>
                <w:b w:val="1"/>
                <w:bCs w:val="1"/>
                <w:color w:val="000000"/>
              </w:rPr>
              <w:t>Experis</w:t>
            </w:r>
          </w:p>
        </w:tc>
        <w:tc>
          <w:tcPr>
            <w:tcW w:w="4800" w:type="dxa"/>
            <w:vAlign w:val="bottom"/>
          </w:tcPr>
          <w:p>
            <w:pPr>
              <w:jc w:val="right"/>
              <w:ind w:right="2185"/>
              <w:spacing w:after="0"/>
              <w:rPr>
                <w:sz w:val="20"/>
                <w:szCs w:val="20"/>
                <w:color w:val="auto"/>
              </w:rPr>
            </w:pPr>
            <w:r>
              <w:rPr>
                <w:rFonts w:ascii="Arial" w:cs="Arial" w:eastAsia="Arial" w:hAnsi="Arial"/>
                <w:sz w:val="16"/>
                <w:szCs w:val="16"/>
                <w:b w:val="1"/>
                <w:bCs w:val="1"/>
                <w:color w:val="auto"/>
              </w:rPr>
              <w:t>█ ManpowerGroup - Total</w:t>
            </w:r>
          </w:p>
        </w:tc>
      </w:tr>
      <w:tr>
        <w:trPr>
          <w:trHeight w:val="410"/>
        </w:trPr>
        <w:tc>
          <w:tcPr>
            <w:tcW w:w="4080" w:type="dxa"/>
            <w:vAlign w:val="bottom"/>
          </w:tcPr>
          <w:p>
            <w:pPr>
              <w:ind w:left="1500"/>
              <w:spacing w:after="0"/>
              <w:rPr>
                <w:sz w:val="20"/>
                <w:szCs w:val="20"/>
                <w:color w:val="auto"/>
              </w:rPr>
            </w:pPr>
            <w:r>
              <w:rPr>
                <w:rFonts w:ascii="Arial" w:cs="Arial" w:eastAsia="Arial" w:hAnsi="Arial"/>
                <w:sz w:val="16"/>
                <w:szCs w:val="16"/>
                <w:b w:val="1"/>
                <w:bCs w:val="1"/>
                <w:color w:val="7EA190"/>
              </w:rPr>
              <w:t xml:space="preserve">█ </w:t>
            </w:r>
            <w:r>
              <w:rPr>
                <w:rFonts w:ascii="Arial" w:cs="Arial" w:eastAsia="Arial" w:hAnsi="Arial"/>
                <w:sz w:val="16"/>
                <w:szCs w:val="16"/>
                <w:b w:val="1"/>
                <w:bCs w:val="1"/>
                <w:color w:val="000000"/>
              </w:rPr>
              <w:t>ManpowerGroup Solutions</w:t>
            </w:r>
          </w:p>
        </w:tc>
        <w:tc>
          <w:tcPr>
            <w:tcW w:w="2560" w:type="dxa"/>
            <w:vAlign w:val="bottom"/>
          </w:tcPr>
          <w:p>
            <w:pPr>
              <w:ind w:left="360"/>
              <w:spacing w:after="0"/>
              <w:rPr>
                <w:sz w:val="20"/>
                <w:szCs w:val="20"/>
                <w:color w:val="auto"/>
              </w:rPr>
            </w:pPr>
            <w:r>
              <w:rPr>
                <w:rFonts w:ascii="Arial" w:cs="Arial" w:eastAsia="Arial" w:hAnsi="Arial"/>
                <w:sz w:val="16"/>
                <w:szCs w:val="16"/>
                <w:b w:val="1"/>
                <w:bCs w:val="1"/>
                <w:color w:val="C8504F"/>
              </w:rPr>
              <w:t xml:space="preserve">█ </w:t>
            </w:r>
            <w:r>
              <w:rPr>
                <w:rFonts w:ascii="Arial" w:cs="Arial" w:eastAsia="Arial" w:hAnsi="Arial"/>
                <w:sz w:val="16"/>
                <w:szCs w:val="16"/>
                <w:b w:val="1"/>
                <w:bCs w:val="1"/>
                <w:color w:val="000000"/>
              </w:rPr>
              <w:t>Right Management</w:t>
            </w:r>
          </w:p>
        </w:tc>
        <w:tc>
          <w:tcPr>
            <w:tcW w:w="4800" w:type="dxa"/>
            <w:vAlign w:val="bottom"/>
          </w:tcPr>
          <w:p>
            <w:pPr>
              <w:jc w:val="right"/>
              <w:ind w:right="505"/>
              <w:spacing w:after="0"/>
              <w:rPr>
                <w:sz w:val="20"/>
                <w:szCs w:val="20"/>
                <w:color w:val="auto"/>
              </w:rPr>
            </w:pPr>
            <w:r>
              <w:rPr>
                <w:rFonts w:ascii="Arial" w:cs="Arial" w:eastAsia="Arial" w:hAnsi="Arial"/>
                <w:sz w:val="14"/>
                <w:szCs w:val="14"/>
                <w:color w:val="898989"/>
              </w:rPr>
              <w:t>7</w:t>
            </w:r>
          </w:p>
        </w:tc>
      </w:tr>
      <w:tr>
        <w:trPr>
          <w:trHeight w:val="675"/>
        </w:trPr>
        <w:tc>
          <w:tcPr>
            <w:tcW w:w="408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4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type w:val="continuous"/>
        </w:sectPr>
      </w:pPr>
    </w:p>
    <w:bookmarkStart w:id="18" w:name="page19"/>
    <w:bookmarkEnd w:id="18"/>
    <w:p>
      <w:pPr>
        <w:ind w:right="3260"/>
        <w:spacing w:after="0" w:line="289" w:lineRule="auto"/>
        <w:rPr>
          <w:sz w:val="20"/>
          <w:szCs w:val="20"/>
          <w:color w:val="auto"/>
        </w:rPr>
      </w:pPr>
      <w:r>
        <w:rPr>
          <w:rFonts w:ascii="Arial" w:cs="Arial" w:eastAsia="Arial" w:hAnsi="Arial"/>
          <w:sz w:val="25"/>
          <w:szCs w:val="25"/>
          <w:b w:val="1"/>
          <w:bCs w:val="1"/>
          <w:color w:val="FFFFFF"/>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2011 4</w:t>
      </w:r>
      <w:r>
        <w:rPr>
          <w:rFonts w:ascii="Arial" w:cs="Arial" w:eastAsia="Arial" w:hAnsi="Arial"/>
          <w:sz w:val="17"/>
          <w:szCs w:val="17"/>
          <w:b w:val="1"/>
          <w:bCs w:val="1"/>
          <w:color w:val="FFFFFF"/>
        </w:rPr>
        <w:t>th</w:t>
      </w:r>
      <w:r>
        <w:rPr>
          <w:rFonts w:ascii="Arial" w:cs="Arial" w:eastAsia="Arial" w:hAnsi="Arial"/>
          <w:sz w:val="25"/>
          <w:szCs w:val="25"/>
          <w:b w:val="1"/>
          <w:bCs w:val="1"/>
          <w:color w:val="FFFFFF"/>
        </w:rPr>
        <w:t xml:space="preserve"> Quarter Results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February</w:t>
      </w:r>
    </w:p>
    <w:p>
      <w:pPr>
        <w:spacing w:after="0" w:line="440" w:lineRule="exact"/>
        <w:rPr>
          <w:sz w:val="20"/>
          <w:szCs w:val="20"/>
          <w:color w:val="auto"/>
        </w:rPr>
      </w:pPr>
    </w:p>
    <w:p>
      <w:pPr>
        <w:sectPr>
          <w:pgSz w:w="11900" w:h="16838" w:orient="portrait"/>
          <w:cols w:equalWidth="0" w:num="2">
            <w:col w:w="8340" w:space="720"/>
            <w:col w:w="1360"/>
          </w:cols>
          <w:pgMar w:left="680" w:top="449" w:right="799" w:bottom="1440" w:gutter="0" w:footer="0" w:header="0"/>
        </w:sectPr>
      </w:pPr>
    </w:p>
    <w:p>
      <w:pPr>
        <w:ind w:left="380"/>
        <w:spacing w:after="0"/>
        <w:rPr>
          <w:sz w:val="20"/>
          <w:szCs w:val="20"/>
          <w:color w:val="auto"/>
        </w:rPr>
      </w:pPr>
      <w:r>
        <w:rPr>
          <w:rFonts w:ascii="Arial" w:cs="Arial" w:eastAsia="Arial" w:hAnsi="Arial"/>
          <w:sz w:val="51"/>
          <w:szCs w:val="51"/>
          <w:color w:val="5F81AA"/>
        </w:rPr>
        <w:t>Americas Segment</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32"/>
          <w:szCs w:val="32"/>
          <w:color w:val="5F81AA"/>
        </w:rPr>
        <w:t>(21% of Revenue)</w:t>
      </w:r>
    </w:p>
    <w:p>
      <w:pPr>
        <w:spacing w:after="0" w:line="359" w:lineRule="exact"/>
        <w:rPr>
          <w:sz w:val="20"/>
          <w:szCs w:val="20"/>
          <w:color w:val="auto"/>
        </w:rPr>
      </w:pPr>
    </w:p>
    <w:tbl>
      <w:tblPr>
        <w:tblLayout w:type="fixed"/>
        <w:tblInd w:w="500" w:type="dxa"/>
        <w:tblCellMar>
          <w:top w:w="0" w:type="dxa"/>
          <w:left w:w="0" w:type="dxa"/>
          <w:bottom w:w="0" w:type="dxa"/>
          <w:right w:w="0" w:type="dxa"/>
        </w:tblCellMar>
      </w:tblPr>
      <w:tr>
        <w:trPr>
          <w:trHeight w:val="36"/>
        </w:trPr>
        <w:tc>
          <w:tcPr>
            <w:tcW w:w="2000" w:type="dxa"/>
            <w:vAlign w:val="bottom"/>
            <w:vMerge w:val="restart"/>
          </w:tcPr>
          <w:p>
            <w:pPr>
              <w:ind w:left="840"/>
              <w:spacing w:after="0"/>
              <w:rPr>
                <w:sz w:val="20"/>
                <w:szCs w:val="20"/>
                <w:color w:val="auto"/>
              </w:rPr>
            </w:pPr>
            <w:r>
              <w:rPr>
                <w:rFonts w:ascii="Arial" w:cs="Arial" w:eastAsia="Arial" w:hAnsi="Arial"/>
                <w:sz w:val="25"/>
                <w:szCs w:val="25"/>
                <w:b w:val="1"/>
                <w:bCs w:val="1"/>
                <w:color w:val="282A32"/>
              </w:rPr>
              <w:t>As</w:t>
            </w:r>
          </w:p>
        </w:tc>
        <w:tc>
          <w:tcPr>
            <w:tcW w:w="40" w:type="dxa"/>
            <w:vAlign w:val="bottom"/>
          </w:tcPr>
          <w:p>
            <w:pPr>
              <w:spacing w:after="0"/>
              <w:rPr>
                <w:sz w:val="3"/>
                <w:szCs w:val="3"/>
                <w:color w:val="auto"/>
              </w:rPr>
            </w:pPr>
          </w:p>
        </w:tc>
        <w:tc>
          <w:tcPr>
            <w:tcW w:w="2020" w:type="dxa"/>
            <w:vAlign w:val="bottom"/>
            <w:vMerge w:val="restart"/>
          </w:tcPr>
          <w:p>
            <w:pPr>
              <w:jc w:val="center"/>
              <w:spacing w:after="0"/>
              <w:rPr>
                <w:sz w:val="20"/>
                <w:szCs w:val="20"/>
                <w:color w:val="auto"/>
              </w:rPr>
            </w:pPr>
            <w:r>
              <w:rPr>
                <w:rFonts w:ascii="Arial" w:cs="Arial" w:eastAsia="Arial" w:hAnsi="Arial"/>
                <w:sz w:val="25"/>
                <w:szCs w:val="25"/>
                <w:b w:val="1"/>
                <w:bCs w:val="1"/>
                <w:color w:val="282A32"/>
              </w:rPr>
              <w:t>Excluding Non</w:t>
            </w:r>
          </w:p>
        </w:tc>
        <w:tc>
          <w:tcPr>
            <w:tcW w:w="40" w:type="dxa"/>
            <w:vAlign w:val="bottom"/>
          </w:tcPr>
          <w:p>
            <w:pPr>
              <w:spacing w:after="0"/>
              <w:rPr>
                <w:sz w:val="3"/>
                <w:szCs w:val="3"/>
                <w:color w:val="auto"/>
              </w:rPr>
            </w:pPr>
          </w:p>
        </w:tc>
        <w:tc>
          <w:tcPr>
            <w:tcW w:w="5260" w:type="dxa"/>
            <w:vAlign w:val="bottom"/>
            <w:vMerge w:val="restart"/>
          </w:tcPr>
          <w:p>
            <w:pPr>
              <w:ind w:left="320"/>
              <w:spacing w:after="0"/>
              <w:rPr>
                <w:sz w:val="20"/>
                <w:szCs w:val="20"/>
                <w:color w:val="auto"/>
              </w:rPr>
            </w:pPr>
            <w:r>
              <w:rPr>
                <w:rFonts w:ascii="Arial" w:cs="Arial" w:eastAsia="Arial" w:hAnsi="Arial"/>
                <w:sz w:val="41"/>
                <w:szCs w:val="41"/>
                <w:b w:val="1"/>
                <w:bCs w:val="1"/>
                <w:color w:val="auto"/>
              </w:rPr>
              <w:t>Q4 Financial Highlights</w:t>
            </w:r>
            <w:r>
              <w:rPr>
                <w:rFonts w:ascii="Arial" w:cs="Arial" w:eastAsia="Arial" w:hAnsi="Arial"/>
                <w:sz w:val="34"/>
                <w:szCs w:val="34"/>
                <w:b w:val="1"/>
                <w:bCs w:val="1"/>
                <w:color w:val="C46D24"/>
                <w:vertAlign w:val="superscript"/>
              </w:rPr>
              <w:t>(1)</w:t>
            </w:r>
          </w:p>
        </w:tc>
        <w:tc>
          <w:tcPr>
            <w:tcW w:w="0" w:type="dxa"/>
            <w:vAlign w:val="bottom"/>
          </w:tcPr>
          <w:p>
            <w:pPr>
              <w:spacing w:after="0" w:line="20" w:lineRule="exact"/>
              <w:rPr>
                <w:sz w:val="1"/>
                <w:szCs w:val="1"/>
                <w:color w:val="auto"/>
              </w:rPr>
            </w:pPr>
          </w:p>
        </w:tc>
      </w:tr>
      <w:tr>
        <w:trPr>
          <w:trHeight w:val="262"/>
        </w:trPr>
        <w:tc>
          <w:tcPr>
            <w:tcW w:w="2000" w:type="dxa"/>
            <w:vAlign w:val="bottom"/>
            <w:vMerge w:val="continue"/>
          </w:tcPr>
          <w:p>
            <w:pPr>
              <w:spacing w:after="0"/>
              <w:rPr>
                <w:sz w:val="22"/>
                <w:szCs w:val="22"/>
                <w:color w:val="auto"/>
              </w:rPr>
            </w:pPr>
          </w:p>
        </w:tc>
        <w:tc>
          <w:tcPr>
            <w:tcW w:w="40" w:type="dxa"/>
            <w:vAlign w:val="bottom"/>
            <w:shd w:val="clear" w:color="auto" w:fill="D47C18"/>
          </w:tcPr>
          <w:p>
            <w:pPr>
              <w:spacing w:after="0"/>
              <w:rPr>
                <w:sz w:val="22"/>
                <w:szCs w:val="22"/>
                <w:color w:val="auto"/>
              </w:rPr>
            </w:pPr>
          </w:p>
        </w:tc>
        <w:tc>
          <w:tcPr>
            <w:tcW w:w="2020" w:type="dxa"/>
            <w:vAlign w:val="bottom"/>
            <w:vMerge w:val="continue"/>
          </w:tcPr>
          <w:p>
            <w:pPr>
              <w:spacing w:after="0"/>
              <w:rPr>
                <w:sz w:val="22"/>
                <w:szCs w:val="22"/>
                <w:color w:val="auto"/>
              </w:rPr>
            </w:pPr>
          </w:p>
        </w:tc>
        <w:tc>
          <w:tcPr>
            <w:tcW w:w="40" w:type="dxa"/>
            <w:vAlign w:val="bottom"/>
            <w:shd w:val="clear" w:color="auto" w:fill="D47C18"/>
          </w:tcPr>
          <w:p>
            <w:pPr>
              <w:spacing w:after="0"/>
              <w:rPr>
                <w:sz w:val="22"/>
                <w:szCs w:val="22"/>
                <w:color w:val="auto"/>
              </w:rPr>
            </w:pPr>
          </w:p>
        </w:tc>
        <w:tc>
          <w:tcPr>
            <w:tcW w:w="5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69"/>
        </w:trPr>
        <w:tc>
          <w:tcPr>
            <w:tcW w:w="2000" w:type="dxa"/>
            <w:vAlign w:val="bottom"/>
          </w:tcPr>
          <w:p>
            <w:pPr>
              <w:ind w:left="460"/>
              <w:spacing w:after="0"/>
              <w:rPr>
                <w:sz w:val="20"/>
                <w:szCs w:val="20"/>
                <w:color w:val="auto"/>
              </w:rPr>
            </w:pPr>
            <w:r>
              <w:rPr>
                <w:rFonts w:ascii="Arial" w:cs="Arial" w:eastAsia="Arial" w:hAnsi="Arial"/>
                <w:sz w:val="25"/>
                <w:szCs w:val="25"/>
                <w:b w:val="1"/>
                <w:bCs w:val="1"/>
                <w:color w:val="282A32"/>
              </w:rPr>
              <w:t>Reported</w:t>
            </w:r>
          </w:p>
        </w:tc>
        <w:tc>
          <w:tcPr>
            <w:tcW w:w="40" w:type="dxa"/>
            <w:vAlign w:val="bottom"/>
            <w:shd w:val="clear" w:color="auto" w:fill="D47C18"/>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25"/>
                <w:szCs w:val="25"/>
                <w:b w:val="1"/>
                <w:bCs w:val="1"/>
                <w:color w:val="282A32"/>
              </w:rPr>
              <w:t>-recurring</w:t>
            </w:r>
          </w:p>
        </w:tc>
        <w:tc>
          <w:tcPr>
            <w:tcW w:w="40" w:type="dxa"/>
            <w:vAlign w:val="bottom"/>
            <w:shd w:val="clear" w:color="auto" w:fill="D47C18"/>
          </w:tcPr>
          <w:p>
            <w:pPr>
              <w:spacing w:after="0"/>
              <w:rPr>
                <w:sz w:val="24"/>
                <w:szCs w:val="24"/>
                <w:color w:val="auto"/>
              </w:rPr>
            </w:pPr>
          </w:p>
        </w:tc>
        <w:tc>
          <w:tcPr>
            <w:tcW w:w="5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00" w:type="dxa"/>
            <w:vAlign w:val="bottom"/>
          </w:tcPr>
          <w:p>
            <w:pPr>
              <w:spacing w:after="0"/>
              <w:rPr>
                <w:sz w:val="24"/>
                <w:szCs w:val="24"/>
                <w:color w:val="auto"/>
              </w:rPr>
            </w:pPr>
          </w:p>
        </w:tc>
        <w:tc>
          <w:tcPr>
            <w:tcW w:w="40" w:type="dxa"/>
            <w:vAlign w:val="bottom"/>
            <w:shd w:val="clear" w:color="auto" w:fill="D47C18"/>
          </w:tcPr>
          <w:p>
            <w:pPr>
              <w:spacing w:after="0"/>
              <w:rPr>
                <w:sz w:val="24"/>
                <w:szCs w:val="24"/>
                <w:color w:val="auto"/>
              </w:rPr>
            </w:pPr>
          </w:p>
        </w:tc>
        <w:tc>
          <w:tcPr>
            <w:tcW w:w="2020" w:type="dxa"/>
            <w:vAlign w:val="bottom"/>
          </w:tcPr>
          <w:p>
            <w:pPr>
              <w:jc w:val="center"/>
              <w:ind w:left="94"/>
              <w:spacing w:after="0"/>
              <w:rPr>
                <w:sz w:val="20"/>
                <w:szCs w:val="20"/>
                <w:color w:val="auto"/>
              </w:rPr>
            </w:pPr>
            <w:r>
              <w:rPr>
                <w:rFonts w:ascii="Arial" w:cs="Arial" w:eastAsia="Arial" w:hAnsi="Arial"/>
                <w:sz w:val="25"/>
                <w:szCs w:val="25"/>
                <w:b w:val="1"/>
                <w:bCs w:val="1"/>
                <w:color w:val="282A32"/>
                <w:w w:val="98"/>
              </w:rPr>
              <w:t xml:space="preserve">Items </w:t>
            </w:r>
            <w:r>
              <w:rPr>
                <w:rFonts w:ascii="Arial" w:cs="Arial" w:eastAsia="Arial" w:hAnsi="Arial"/>
                <w:sz w:val="17"/>
                <w:szCs w:val="17"/>
                <w:b w:val="1"/>
                <w:bCs w:val="1"/>
                <w:color w:val="C46D24"/>
                <w:w w:val="98"/>
              </w:rPr>
              <w:t>(2)</w:t>
            </w:r>
          </w:p>
        </w:tc>
        <w:tc>
          <w:tcPr>
            <w:tcW w:w="40" w:type="dxa"/>
            <w:vAlign w:val="bottom"/>
            <w:shd w:val="clear" w:color="auto" w:fill="D47C18"/>
          </w:tcPr>
          <w:p>
            <w:pPr>
              <w:spacing w:after="0"/>
              <w:rPr>
                <w:sz w:val="24"/>
                <w:szCs w:val="24"/>
                <w:color w:val="auto"/>
              </w:rPr>
            </w:pP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000" w:type="dxa"/>
            <w:vAlign w:val="bottom"/>
            <w:tcBorders>
              <w:bottom w:val="single" w:sz="8" w:color="D47C18"/>
            </w:tcBorders>
          </w:tcPr>
          <w:p>
            <w:pPr>
              <w:spacing w:after="0"/>
              <w:rPr>
                <w:sz w:val="4"/>
                <w:szCs w:val="4"/>
                <w:color w:val="auto"/>
              </w:rPr>
            </w:pPr>
          </w:p>
        </w:tc>
        <w:tc>
          <w:tcPr>
            <w:tcW w:w="40" w:type="dxa"/>
            <w:vAlign w:val="bottom"/>
            <w:tcBorders>
              <w:bottom w:val="single" w:sz="8" w:color="D47C18"/>
            </w:tcBorders>
            <w:shd w:val="clear" w:color="auto" w:fill="D47C18"/>
          </w:tcPr>
          <w:p>
            <w:pPr>
              <w:spacing w:after="0"/>
              <w:rPr>
                <w:sz w:val="4"/>
                <w:szCs w:val="4"/>
                <w:color w:val="auto"/>
              </w:rPr>
            </w:pPr>
          </w:p>
        </w:tc>
        <w:tc>
          <w:tcPr>
            <w:tcW w:w="2020" w:type="dxa"/>
            <w:vAlign w:val="bottom"/>
            <w:tcBorders>
              <w:bottom w:val="single" w:sz="8" w:color="D47C18"/>
            </w:tcBorders>
          </w:tcPr>
          <w:p>
            <w:pPr>
              <w:spacing w:after="0"/>
              <w:rPr>
                <w:sz w:val="4"/>
                <w:szCs w:val="4"/>
                <w:color w:val="auto"/>
              </w:rPr>
            </w:pPr>
          </w:p>
        </w:tc>
        <w:tc>
          <w:tcPr>
            <w:tcW w:w="40" w:type="dxa"/>
            <w:vAlign w:val="bottom"/>
            <w:tcBorders>
              <w:bottom w:val="single" w:sz="8" w:color="D47C18"/>
            </w:tcBorders>
            <w:shd w:val="clear" w:color="auto" w:fill="D47C18"/>
          </w:tcPr>
          <w:p>
            <w:pPr>
              <w:spacing w:after="0"/>
              <w:rPr>
                <w:sz w:val="4"/>
                <w:szCs w:val="4"/>
                <w:color w:val="auto"/>
              </w:rPr>
            </w:pPr>
          </w:p>
        </w:tc>
        <w:tc>
          <w:tcPr>
            <w:tcW w:w="5260" w:type="dxa"/>
            <w:vAlign w:val="bottom"/>
            <w:tcBorders>
              <w:bottom w:val="single" w:sz="8" w:color="D47C18"/>
            </w:tcBorders>
          </w:tcPr>
          <w:p>
            <w:pPr>
              <w:spacing w:after="0"/>
              <w:rPr>
                <w:sz w:val="4"/>
                <w:szCs w:val="4"/>
                <w:color w:val="auto"/>
              </w:rPr>
            </w:pPr>
          </w:p>
        </w:tc>
        <w:tc>
          <w:tcPr>
            <w:tcW w:w="0" w:type="dxa"/>
            <w:vAlign w:val="bottom"/>
          </w:tcPr>
          <w:p>
            <w:pPr>
              <w:spacing w:after="0"/>
              <w:rPr>
                <w:sz w:val="1"/>
                <w:szCs w:val="1"/>
                <w:color w:val="auto"/>
              </w:rPr>
            </w:pPr>
          </w:p>
        </w:tc>
      </w:tr>
      <w:tr>
        <w:trPr>
          <w:trHeight w:val="571"/>
        </w:trPr>
        <w:tc>
          <w:tcPr>
            <w:tcW w:w="2000" w:type="dxa"/>
            <w:vAlign w:val="bottom"/>
          </w:tcPr>
          <w:p>
            <w:pPr>
              <w:jc w:val="right"/>
              <w:ind w:right="368"/>
              <w:spacing w:after="0"/>
              <w:rPr>
                <w:sz w:val="20"/>
                <w:szCs w:val="20"/>
                <w:color w:val="auto"/>
              </w:rPr>
            </w:pPr>
            <w:r>
              <w:rPr>
                <w:rFonts w:ascii="Arial" w:cs="Arial" w:eastAsia="Arial" w:hAnsi="Arial"/>
                <w:sz w:val="38"/>
                <w:szCs w:val="38"/>
                <w:color w:val="auto"/>
              </w:rPr>
              <w:t>3%</w:t>
            </w:r>
          </w:p>
        </w:tc>
        <w:tc>
          <w:tcPr>
            <w:tcW w:w="40" w:type="dxa"/>
            <w:vAlign w:val="bottom"/>
            <w:shd w:val="clear" w:color="auto" w:fill="D47C18"/>
          </w:tcPr>
          <w:p>
            <w:pPr>
              <w:spacing w:after="0"/>
              <w:rPr>
                <w:sz w:val="24"/>
                <w:szCs w:val="24"/>
                <w:color w:val="auto"/>
              </w:rPr>
            </w:pPr>
          </w:p>
        </w:tc>
        <w:tc>
          <w:tcPr>
            <w:tcW w:w="2020" w:type="dxa"/>
            <w:vAlign w:val="bottom"/>
          </w:tcPr>
          <w:p>
            <w:pPr>
              <w:jc w:val="right"/>
              <w:ind w:right="394"/>
              <w:spacing w:after="0"/>
              <w:rPr>
                <w:sz w:val="20"/>
                <w:szCs w:val="20"/>
                <w:color w:val="auto"/>
              </w:rPr>
            </w:pPr>
            <w:r>
              <w:rPr>
                <w:rFonts w:ascii="Arial" w:cs="Arial" w:eastAsia="Arial" w:hAnsi="Arial"/>
                <w:sz w:val="38"/>
                <w:szCs w:val="38"/>
                <w:color w:val="auto"/>
              </w:rPr>
              <w:t>3%</w:t>
            </w:r>
          </w:p>
        </w:tc>
        <w:tc>
          <w:tcPr>
            <w:tcW w:w="40" w:type="dxa"/>
            <w:vAlign w:val="bottom"/>
            <w:shd w:val="clear" w:color="auto" w:fill="D47C18"/>
          </w:tcPr>
          <w:p>
            <w:pPr>
              <w:spacing w:after="0"/>
              <w:rPr>
                <w:sz w:val="24"/>
                <w:szCs w:val="24"/>
                <w:color w:val="auto"/>
              </w:rPr>
            </w:pPr>
          </w:p>
        </w:tc>
        <w:tc>
          <w:tcPr>
            <w:tcW w:w="5260" w:type="dxa"/>
            <w:vAlign w:val="bottom"/>
            <w:tcBorders>
              <w:left w:val="single" w:sz="8" w:color="D47C18"/>
            </w:tcBorders>
            <w:vMerge w:val="restart"/>
          </w:tcPr>
          <w:p>
            <w:pPr>
              <w:ind w:left="360"/>
              <w:spacing w:after="0"/>
              <w:rPr>
                <w:sz w:val="20"/>
                <w:szCs w:val="20"/>
                <w:color w:val="auto"/>
              </w:rPr>
            </w:pPr>
            <w:r>
              <w:rPr>
                <w:rFonts w:ascii="Arial" w:cs="Arial" w:eastAsia="Arial" w:hAnsi="Arial"/>
                <w:sz w:val="41"/>
                <w:szCs w:val="41"/>
                <w:b w:val="1"/>
                <w:bCs w:val="1"/>
                <w:color w:val="auto"/>
              </w:rPr>
              <w:t xml:space="preserve">Revenue </w:t>
            </w:r>
            <w:r>
              <w:rPr>
                <w:rFonts w:ascii="Arial" w:cs="Arial" w:eastAsia="Arial" w:hAnsi="Arial"/>
                <w:sz w:val="44"/>
                <w:szCs w:val="44"/>
                <w:b w:val="1"/>
                <w:bCs w:val="1"/>
                <w:color w:val="5F81AA"/>
              </w:rPr>
              <w:t>$1.2B</w:t>
            </w:r>
          </w:p>
        </w:tc>
        <w:tc>
          <w:tcPr>
            <w:tcW w:w="0" w:type="dxa"/>
            <w:vAlign w:val="bottom"/>
          </w:tcPr>
          <w:p>
            <w:pPr>
              <w:spacing w:after="0"/>
              <w:rPr>
                <w:sz w:val="1"/>
                <w:szCs w:val="1"/>
                <w:color w:val="auto"/>
              </w:rPr>
            </w:pPr>
          </w:p>
        </w:tc>
      </w:tr>
      <w:tr>
        <w:trPr>
          <w:trHeight w:val="265"/>
        </w:trPr>
        <w:tc>
          <w:tcPr>
            <w:tcW w:w="2000" w:type="dxa"/>
            <w:vAlign w:val="bottom"/>
            <w:vMerge w:val="restart"/>
          </w:tcPr>
          <w:p>
            <w:pPr>
              <w:ind w:left="580"/>
              <w:spacing w:after="0"/>
              <w:rPr>
                <w:sz w:val="20"/>
                <w:szCs w:val="20"/>
                <w:color w:val="auto"/>
              </w:rPr>
            </w:pPr>
            <w:r>
              <w:rPr>
                <w:rFonts w:ascii="Arial" w:cs="Arial" w:eastAsia="Arial" w:hAnsi="Arial"/>
                <w:sz w:val="38"/>
                <w:szCs w:val="38"/>
                <w:color w:val="auto"/>
              </w:rPr>
              <w:t>5% CC</w:t>
            </w:r>
          </w:p>
        </w:tc>
        <w:tc>
          <w:tcPr>
            <w:tcW w:w="40" w:type="dxa"/>
            <w:vAlign w:val="bottom"/>
            <w:shd w:val="clear" w:color="auto" w:fill="D47C18"/>
          </w:tcPr>
          <w:p>
            <w:pPr>
              <w:spacing w:after="0"/>
              <w:rPr>
                <w:sz w:val="23"/>
                <w:szCs w:val="23"/>
                <w:color w:val="auto"/>
              </w:rPr>
            </w:pPr>
          </w:p>
        </w:tc>
        <w:tc>
          <w:tcPr>
            <w:tcW w:w="2020" w:type="dxa"/>
            <w:vAlign w:val="bottom"/>
            <w:vMerge w:val="restart"/>
          </w:tcPr>
          <w:p>
            <w:pPr>
              <w:jc w:val="center"/>
              <w:ind w:left="194"/>
              <w:spacing w:after="0"/>
              <w:rPr>
                <w:sz w:val="20"/>
                <w:szCs w:val="20"/>
                <w:color w:val="auto"/>
              </w:rPr>
            </w:pPr>
            <w:r>
              <w:rPr>
                <w:rFonts w:ascii="Arial" w:cs="Arial" w:eastAsia="Arial" w:hAnsi="Arial"/>
                <w:sz w:val="38"/>
                <w:szCs w:val="38"/>
                <w:color w:val="auto"/>
              </w:rPr>
              <w:t>5% CC</w:t>
            </w:r>
          </w:p>
        </w:tc>
        <w:tc>
          <w:tcPr>
            <w:tcW w:w="40" w:type="dxa"/>
            <w:vAlign w:val="bottom"/>
          </w:tcPr>
          <w:p>
            <w:pPr>
              <w:spacing w:after="0"/>
              <w:rPr>
                <w:sz w:val="23"/>
                <w:szCs w:val="23"/>
                <w:color w:val="auto"/>
              </w:rPr>
            </w:pPr>
          </w:p>
        </w:tc>
        <w:tc>
          <w:tcPr>
            <w:tcW w:w="5260" w:type="dxa"/>
            <w:vAlign w:val="bottom"/>
            <w:tcBorders>
              <w:left w:val="single" w:sz="8" w:color="D47C18"/>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000" w:type="dxa"/>
            <w:vAlign w:val="bottom"/>
            <w:vMerge w:val="continue"/>
          </w:tcPr>
          <w:p>
            <w:pPr>
              <w:spacing w:after="0"/>
              <w:rPr>
                <w:sz w:val="17"/>
                <w:szCs w:val="17"/>
                <w:color w:val="auto"/>
              </w:rPr>
            </w:pPr>
          </w:p>
        </w:tc>
        <w:tc>
          <w:tcPr>
            <w:tcW w:w="40" w:type="dxa"/>
            <w:vAlign w:val="bottom"/>
            <w:shd w:val="clear" w:color="auto" w:fill="D47C18"/>
          </w:tcPr>
          <w:p>
            <w:pPr>
              <w:spacing w:after="0"/>
              <w:rPr>
                <w:sz w:val="17"/>
                <w:szCs w:val="17"/>
                <w:color w:val="auto"/>
              </w:rPr>
            </w:pPr>
          </w:p>
        </w:tc>
        <w:tc>
          <w:tcPr>
            <w:tcW w:w="20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5260" w:type="dxa"/>
            <w:vAlign w:val="bottom"/>
            <w:tcBorders>
              <w:left w:val="single" w:sz="8" w:color="D47C18"/>
            </w:tcBorders>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00" w:type="dxa"/>
            <w:vAlign w:val="bottom"/>
            <w:tcBorders>
              <w:bottom w:val="single" w:sz="8" w:color="D47C18"/>
            </w:tcBorders>
          </w:tcPr>
          <w:p>
            <w:pPr>
              <w:spacing w:after="0"/>
              <w:rPr>
                <w:sz w:val="6"/>
                <w:szCs w:val="6"/>
                <w:color w:val="auto"/>
              </w:rPr>
            </w:pPr>
          </w:p>
        </w:tc>
        <w:tc>
          <w:tcPr>
            <w:tcW w:w="40" w:type="dxa"/>
            <w:vAlign w:val="bottom"/>
            <w:tcBorders>
              <w:bottom w:val="single" w:sz="8" w:color="D47C18"/>
            </w:tcBorders>
            <w:shd w:val="clear" w:color="auto" w:fill="D47C18"/>
          </w:tcPr>
          <w:p>
            <w:pPr>
              <w:spacing w:after="0"/>
              <w:rPr>
                <w:sz w:val="6"/>
                <w:szCs w:val="6"/>
                <w:color w:val="auto"/>
              </w:rPr>
            </w:pPr>
          </w:p>
        </w:tc>
        <w:tc>
          <w:tcPr>
            <w:tcW w:w="2020" w:type="dxa"/>
            <w:vAlign w:val="bottom"/>
            <w:tcBorders>
              <w:bottom w:val="single" w:sz="8" w:color="D47C18"/>
            </w:tcBorders>
          </w:tcPr>
          <w:p>
            <w:pPr>
              <w:spacing w:after="0"/>
              <w:rPr>
                <w:sz w:val="6"/>
                <w:szCs w:val="6"/>
                <w:color w:val="auto"/>
              </w:rPr>
            </w:pPr>
          </w:p>
        </w:tc>
        <w:tc>
          <w:tcPr>
            <w:tcW w:w="40" w:type="dxa"/>
            <w:vAlign w:val="bottom"/>
            <w:tcBorders>
              <w:bottom w:val="single" w:sz="8" w:color="D47C18"/>
            </w:tcBorders>
          </w:tcPr>
          <w:p>
            <w:pPr>
              <w:spacing w:after="0"/>
              <w:rPr>
                <w:sz w:val="6"/>
                <w:szCs w:val="6"/>
                <w:color w:val="auto"/>
              </w:rPr>
            </w:pPr>
          </w:p>
        </w:tc>
        <w:tc>
          <w:tcPr>
            <w:tcW w:w="5260" w:type="dxa"/>
            <w:vAlign w:val="bottom"/>
            <w:tcBorders>
              <w:left w:val="single" w:sz="8" w:color="D47C18"/>
              <w:bottom w:val="single" w:sz="8" w:color="D47C18"/>
            </w:tcBorders>
          </w:tcPr>
          <w:p>
            <w:pPr>
              <w:spacing w:after="0"/>
              <w:rPr>
                <w:sz w:val="6"/>
                <w:szCs w:val="6"/>
                <w:color w:val="auto"/>
              </w:rPr>
            </w:pPr>
          </w:p>
        </w:tc>
        <w:tc>
          <w:tcPr>
            <w:tcW w:w="0" w:type="dxa"/>
            <w:vAlign w:val="bottom"/>
          </w:tcPr>
          <w:p>
            <w:pPr>
              <w:spacing w:after="0"/>
              <w:rPr>
                <w:sz w:val="1"/>
                <w:szCs w:val="1"/>
                <w:color w:val="auto"/>
              </w:rPr>
            </w:pPr>
          </w:p>
        </w:tc>
      </w:tr>
      <w:tr>
        <w:trPr>
          <w:trHeight w:val="551"/>
        </w:trPr>
        <w:tc>
          <w:tcPr>
            <w:tcW w:w="2000" w:type="dxa"/>
            <w:vAlign w:val="bottom"/>
          </w:tcPr>
          <w:p>
            <w:pPr>
              <w:jc w:val="right"/>
              <w:ind w:right="268"/>
              <w:spacing w:after="0"/>
              <w:rPr>
                <w:sz w:val="20"/>
                <w:szCs w:val="20"/>
                <w:color w:val="auto"/>
              </w:rPr>
            </w:pPr>
            <w:r>
              <w:rPr>
                <w:rFonts w:ascii="Arial" w:cs="Arial" w:eastAsia="Arial" w:hAnsi="Arial"/>
                <w:sz w:val="38"/>
                <w:szCs w:val="38"/>
                <w:color w:val="auto"/>
              </w:rPr>
              <w:t>59%</w:t>
            </w:r>
          </w:p>
        </w:tc>
        <w:tc>
          <w:tcPr>
            <w:tcW w:w="40" w:type="dxa"/>
            <w:vAlign w:val="bottom"/>
            <w:tcBorders>
              <w:bottom w:val="single" w:sz="8" w:color="D47C18"/>
            </w:tcBorders>
            <w:shd w:val="clear" w:color="auto" w:fill="D47C18"/>
          </w:tcPr>
          <w:p>
            <w:pPr>
              <w:spacing w:after="0"/>
              <w:rPr>
                <w:sz w:val="24"/>
                <w:szCs w:val="24"/>
                <w:color w:val="auto"/>
              </w:rPr>
            </w:pPr>
          </w:p>
        </w:tc>
        <w:tc>
          <w:tcPr>
            <w:tcW w:w="2020" w:type="dxa"/>
            <w:vAlign w:val="bottom"/>
          </w:tcPr>
          <w:p>
            <w:pPr>
              <w:jc w:val="right"/>
              <w:ind w:right="294"/>
              <w:spacing w:after="0"/>
              <w:rPr>
                <w:sz w:val="20"/>
                <w:szCs w:val="20"/>
                <w:color w:val="auto"/>
              </w:rPr>
            </w:pPr>
            <w:r>
              <w:rPr>
                <w:rFonts w:ascii="Arial" w:cs="Arial" w:eastAsia="Arial" w:hAnsi="Arial"/>
                <w:sz w:val="38"/>
                <w:szCs w:val="38"/>
                <w:color w:val="auto"/>
              </w:rPr>
              <w:t>35%</w:t>
            </w:r>
          </w:p>
        </w:tc>
        <w:tc>
          <w:tcPr>
            <w:tcW w:w="40" w:type="dxa"/>
            <w:vAlign w:val="bottom"/>
            <w:tcBorders>
              <w:bottom w:val="single" w:sz="8" w:color="D47C18"/>
            </w:tcBorders>
            <w:shd w:val="clear" w:color="auto" w:fill="D47C18"/>
          </w:tcPr>
          <w:p>
            <w:pPr>
              <w:spacing w:after="0"/>
              <w:rPr>
                <w:sz w:val="24"/>
                <w:szCs w:val="24"/>
                <w:color w:val="auto"/>
              </w:rPr>
            </w:pPr>
          </w:p>
        </w:tc>
        <w:tc>
          <w:tcPr>
            <w:tcW w:w="5260" w:type="dxa"/>
            <w:vAlign w:val="bottom"/>
            <w:tcBorders>
              <w:left w:val="single" w:sz="8" w:color="D47C18"/>
            </w:tcBorders>
            <w:vMerge w:val="restart"/>
          </w:tcPr>
          <w:p>
            <w:pPr>
              <w:ind w:left="360"/>
              <w:spacing w:after="0"/>
              <w:rPr>
                <w:sz w:val="20"/>
                <w:szCs w:val="20"/>
                <w:color w:val="auto"/>
              </w:rPr>
            </w:pPr>
            <w:r>
              <w:rPr>
                <w:rFonts w:ascii="Arial" w:cs="Arial" w:eastAsia="Arial" w:hAnsi="Arial"/>
                <w:sz w:val="41"/>
                <w:szCs w:val="41"/>
                <w:b w:val="1"/>
                <w:bCs w:val="1"/>
                <w:color w:val="auto"/>
              </w:rPr>
              <w:t xml:space="preserve">OUP </w:t>
            </w:r>
            <w:r>
              <w:rPr>
                <w:rFonts w:ascii="Arial" w:cs="Arial" w:eastAsia="Arial" w:hAnsi="Arial"/>
                <w:sz w:val="44"/>
                <w:szCs w:val="44"/>
                <w:b w:val="1"/>
                <w:bCs w:val="1"/>
                <w:color w:val="5F81AA"/>
              </w:rPr>
              <w:t>$38M</w:t>
            </w:r>
          </w:p>
        </w:tc>
        <w:tc>
          <w:tcPr>
            <w:tcW w:w="0" w:type="dxa"/>
            <w:vAlign w:val="bottom"/>
          </w:tcPr>
          <w:p>
            <w:pPr>
              <w:spacing w:after="0"/>
              <w:rPr>
                <w:sz w:val="1"/>
                <w:szCs w:val="1"/>
                <w:color w:val="auto"/>
              </w:rPr>
            </w:pPr>
          </w:p>
        </w:tc>
      </w:tr>
      <w:tr>
        <w:trPr>
          <w:trHeight w:val="265"/>
        </w:trPr>
        <w:tc>
          <w:tcPr>
            <w:tcW w:w="2000" w:type="dxa"/>
            <w:vAlign w:val="bottom"/>
            <w:vMerge w:val="restart"/>
          </w:tcPr>
          <w:p>
            <w:pPr>
              <w:ind w:left="480"/>
              <w:spacing w:after="0"/>
              <w:rPr>
                <w:sz w:val="20"/>
                <w:szCs w:val="20"/>
                <w:color w:val="auto"/>
              </w:rPr>
            </w:pPr>
            <w:r>
              <w:rPr>
                <w:rFonts w:ascii="Arial" w:cs="Arial" w:eastAsia="Arial" w:hAnsi="Arial"/>
                <w:sz w:val="38"/>
                <w:szCs w:val="38"/>
                <w:color w:val="auto"/>
              </w:rPr>
              <w:t>62% CC</w:t>
            </w:r>
          </w:p>
        </w:tc>
        <w:tc>
          <w:tcPr>
            <w:tcW w:w="40" w:type="dxa"/>
            <w:vAlign w:val="bottom"/>
            <w:shd w:val="clear" w:color="auto" w:fill="D47C18"/>
          </w:tcPr>
          <w:p>
            <w:pPr>
              <w:spacing w:after="0"/>
              <w:rPr>
                <w:sz w:val="23"/>
                <w:szCs w:val="23"/>
                <w:color w:val="auto"/>
              </w:rPr>
            </w:pPr>
          </w:p>
        </w:tc>
        <w:tc>
          <w:tcPr>
            <w:tcW w:w="2020" w:type="dxa"/>
            <w:vAlign w:val="bottom"/>
            <w:vMerge w:val="restart"/>
          </w:tcPr>
          <w:p>
            <w:pPr>
              <w:jc w:val="center"/>
              <w:ind w:left="194"/>
              <w:spacing w:after="0"/>
              <w:rPr>
                <w:sz w:val="20"/>
                <w:szCs w:val="20"/>
                <w:color w:val="auto"/>
              </w:rPr>
            </w:pPr>
            <w:r>
              <w:rPr>
                <w:rFonts w:ascii="Arial" w:cs="Arial" w:eastAsia="Arial" w:hAnsi="Arial"/>
                <w:sz w:val="38"/>
                <w:szCs w:val="38"/>
                <w:color w:val="auto"/>
              </w:rPr>
              <w:t>37% CC</w:t>
            </w:r>
          </w:p>
        </w:tc>
        <w:tc>
          <w:tcPr>
            <w:tcW w:w="40" w:type="dxa"/>
            <w:vAlign w:val="bottom"/>
          </w:tcPr>
          <w:p>
            <w:pPr>
              <w:spacing w:after="0"/>
              <w:rPr>
                <w:sz w:val="23"/>
                <w:szCs w:val="23"/>
                <w:color w:val="auto"/>
              </w:rPr>
            </w:pPr>
          </w:p>
        </w:tc>
        <w:tc>
          <w:tcPr>
            <w:tcW w:w="5260" w:type="dxa"/>
            <w:vAlign w:val="bottom"/>
            <w:tcBorders>
              <w:left w:val="single" w:sz="8" w:color="D47C18"/>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00" w:type="dxa"/>
            <w:vAlign w:val="bottom"/>
            <w:vMerge w:val="continue"/>
          </w:tcPr>
          <w:p>
            <w:pPr>
              <w:spacing w:after="0"/>
              <w:rPr>
                <w:sz w:val="21"/>
                <w:szCs w:val="21"/>
                <w:color w:val="auto"/>
              </w:rPr>
            </w:pPr>
          </w:p>
        </w:tc>
        <w:tc>
          <w:tcPr>
            <w:tcW w:w="40" w:type="dxa"/>
            <w:vAlign w:val="bottom"/>
            <w:shd w:val="clear" w:color="auto" w:fill="D47C18"/>
          </w:tcPr>
          <w:p>
            <w:pPr>
              <w:spacing w:after="0"/>
              <w:rPr>
                <w:sz w:val="21"/>
                <w:szCs w:val="21"/>
                <w:color w:val="auto"/>
              </w:rPr>
            </w:pPr>
          </w:p>
        </w:tc>
        <w:tc>
          <w:tcPr>
            <w:tcW w:w="20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5260" w:type="dxa"/>
            <w:vAlign w:val="bottom"/>
            <w:tcBorders>
              <w:left w:val="single" w:sz="8" w:color="D47C18"/>
            </w:tcBorders>
          </w:tcPr>
          <w:p>
            <w:pPr>
              <w:spacing w:after="0"/>
              <w:rPr>
                <w:sz w:val="21"/>
                <w:szCs w:val="21"/>
                <w:color w:val="auto"/>
              </w:rPr>
            </w:pPr>
          </w:p>
        </w:tc>
        <w:tc>
          <w:tcPr>
            <w:tcW w:w="0" w:type="dxa"/>
            <w:vAlign w:val="bottom"/>
          </w:tcPr>
          <w:p>
            <w:pPr>
              <w:spacing w:after="0"/>
              <w:rPr>
                <w:sz w:val="1"/>
                <w:szCs w:val="1"/>
                <w:color w:val="auto"/>
              </w:rPr>
            </w:pPr>
          </w:p>
        </w:tc>
      </w:tr>
      <w:tr>
        <w:trPr>
          <w:trHeight w:val="44"/>
        </w:trPr>
        <w:tc>
          <w:tcPr>
            <w:tcW w:w="2000" w:type="dxa"/>
            <w:vAlign w:val="bottom"/>
            <w:tcBorders>
              <w:bottom w:val="single" w:sz="8" w:color="D47C18"/>
            </w:tcBorders>
          </w:tcPr>
          <w:p>
            <w:pPr>
              <w:spacing w:after="0"/>
              <w:rPr>
                <w:sz w:val="3"/>
                <w:szCs w:val="3"/>
                <w:color w:val="auto"/>
              </w:rPr>
            </w:pPr>
          </w:p>
        </w:tc>
        <w:tc>
          <w:tcPr>
            <w:tcW w:w="40" w:type="dxa"/>
            <w:vAlign w:val="bottom"/>
            <w:tcBorders>
              <w:bottom w:val="single" w:sz="8" w:color="D47C18"/>
            </w:tcBorders>
            <w:shd w:val="clear" w:color="auto" w:fill="D47C18"/>
          </w:tcPr>
          <w:p>
            <w:pPr>
              <w:spacing w:after="0"/>
              <w:rPr>
                <w:sz w:val="3"/>
                <w:szCs w:val="3"/>
                <w:color w:val="auto"/>
              </w:rPr>
            </w:pPr>
          </w:p>
        </w:tc>
        <w:tc>
          <w:tcPr>
            <w:tcW w:w="2020" w:type="dxa"/>
            <w:vAlign w:val="bottom"/>
            <w:tcBorders>
              <w:bottom w:val="single" w:sz="8" w:color="D47C18"/>
            </w:tcBorders>
          </w:tcPr>
          <w:p>
            <w:pPr>
              <w:spacing w:after="0"/>
              <w:rPr>
                <w:sz w:val="3"/>
                <w:szCs w:val="3"/>
                <w:color w:val="auto"/>
              </w:rPr>
            </w:pPr>
          </w:p>
        </w:tc>
        <w:tc>
          <w:tcPr>
            <w:tcW w:w="40" w:type="dxa"/>
            <w:vAlign w:val="bottom"/>
            <w:tcBorders>
              <w:bottom w:val="single" w:sz="8" w:color="D47C18"/>
            </w:tcBorders>
          </w:tcPr>
          <w:p>
            <w:pPr>
              <w:spacing w:after="0"/>
              <w:rPr>
                <w:sz w:val="3"/>
                <w:szCs w:val="3"/>
                <w:color w:val="auto"/>
              </w:rPr>
            </w:pPr>
          </w:p>
        </w:tc>
        <w:tc>
          <w:tcPr>
            <w:tcW w:w="5260" w:type="dxa"/>
            <w:vAlign w:val="bottom"/>
            <w:tcBorders>
              <w:left w:val="single" w:sz="8" w:color="D47C18"/>
              <w:bottom w:val="single" w:sz="8" w:color="D47C18"/>
            </w:tcBorders>
          </w:tcPr>
          <w:p>
            <w:pPr>
              <w:spacing w:after="0"/>
              <w:rPr>
                <w:sz w:val="3"/>
                <w:szCs w:val="3"/>
                <w:color w:val="auto"/>
              </w:rPr>
            </w:pPr>
          </w:p>
        </w:tc>
        <w:tc>
          <w:tcPr>
            <w:tcW w:w="0" w:type="dxa"/>
            <w:vAlign w:val="bottom"/>
          </w:tcPr>
          <w:p>
            <w:pPr>
              <w:spacing w:after="0"/>
              <w:rPr>
                <w:sz w:val="1"/>
                <w:szCs w:val="1"/>
                <w:color w:val="auto"/>
              </w:rPr>
            </w:pPr>
          </w:p>
        </w:tc>
      </w:tr>
      <w:tr>
        <w:trPr>
          <w:trHeight w:val="800"/>
        </w:trPr>
        <w:tc>
          <w:tcPr>
            <w:tcW w:w="2000" w:type="dxa"/>
            <w:vAlign w:val="bottom"/>
          </w:tcPr>
          <w:p>
            <w:pPr>
              <w:ind w:left="500"/>
              <w:spacing w:after="0"/>
              <w:rPr>
                <w:sz w:val="20"/>
                <w:szCs w:val="20"/>
                <w:color w:val="auto"/>
              </w:rPr>
            </w:pPr>
            <w:r>
              <w:rPr>
                <w:rFonts w:ascii="Arial" w:cs="Arial" w:eastAsia="Arial" w:hAnsi="Arial"/>
                <w:sz w:val="38"/>
                <w:szCs w:val="38"/>
                <w:color w:val="auto"/>
              </w:rPr>
              <w:t>120 bps</w:t>
            </w:r>
          </w:p>
        </w:tc>
        <w:tc>
          <w:tcPr>
            <w:tcW w:w="40" w:type="dxa"/>
            <w:vAlign w:val="bottom"/>
            <w:shd w:val="clear" w:color="auto" w:fill="D47C18"/>
          </w:tcPr>
          <w:p>
            <w:pPr>
              <w:spacing w:after="0"/>
              <w:rPr>
                <w:sz w:val="24"/>
                <w:szCs w:val="24"/>
                <w:color w:val="auto"/>
              </w:rPr>
            </w:pPr>
          </w:p>
        </w:tc>
        <w:tc>
          <w:tcPr>
            <w:tcW w:w="2020" w:type="dxa"/>
            <w:vAlign w:val="bottom"/>
          </w:tcPr>
          <w:p>
            <w:pPr>
              <w:jc w:val="center"/>
              <w:ind w:left="194"/>
              <w:spacing w:after="0"/>
              <w:rPr>
                <w:sz w:val="20"/>
                <w:szCs w:val="20"/>
                <w:color w:val="auto"/>
              </w:rPr>
            </w:pPr>
            <w:r>
              <w:rPr>
                <w:rFonts w:ascii="Arial" w:cs="Arial" w:eastAsia="Arial" w:hAnsi="Arial"/>
                <w:sz w:val="38"/>
                <w:szCs w:val="38"/>
                <w:color w:val="auto"/>
                <w:w w:val="99"/>
              </w:rPr>
              <w:t>80 bps</w:t>
            </w:r>
          </w:p>
        </w:tc>
        <w:tc>
          <w:tcPr>
            <w:tcW w:w="40" w:type="dxa"/>
            <w:vAlign w:val="bottom"/>
            <w:shd w:val="clear" w:color="auto" w:fill="D47C18"/>
          </w:tcPr>
          <w:p>
            <w:pPr>
              <w:spacing w:after="0"/>
              <w:rPr>
                <w:sz w:val="24"/>
                <w:szCs w:val="24"/>
                <w:color w:val="auto"/>
              </w:rPr>
            </w:pPr>
          </w:p>
        </w:tc>
        <w:tc>
          <w:tcPr>
            <w:tcW w:w="5260" w:type="dxa"/>
            <w:vAlign w:val="bottom"/>
          </w:tcPr>
          <w:p>
            <w:pPr>
              <w:ind w:left="320"/>
              <w:spacing w:after="0"/>
              <w:rPr>
                <w:sz w:val="20"/>
                <w:szCs w:val="20"/>
                <w:color w:val="auto"/>
              </w:rPr>
            </w:pPr>
            <w:r>
              <w:rPr>
                <w:rFonts w:ascii="Arial" w:cs="Arial" w:eastAsia="Arial" w:hAnsi="Arial"/>
                <w:sz w:val="41"/>
                <w:szCs w:val="41"/>
                <w:b w:val="1"/>
                <w:bCs w:val="1"/>
                <w:color w:val="auto"/>
              </w:rPr>
              <w:t xml:space="preserve">OUP Margin </w:t>
            </w:r>
            <w:r>
              <w:rPr>
                <w:rFonts w:ascii="Arial" w:cs="Arial" w:eastAsia="Arial" w:hAnsi="Arial"/>
                <w:sz w:val="44"/>
                <w:szCs w:val="44"/>
                <w:b w:val="1"/>
                <w:bCs w:val="1"/>
                <w:color w:val="5F81AA"/>
              </w:rPr>
              <w:t>3.3%</w:t>
            </w:r>
          </w:p>
        </w:tc>
        <w:tc>
          <w:tcPr>
            <w:tcW w:w="0" w:type="dxa"/>
            <w:vAlign w:val="bottom"/>
          </w:tcPr>
          <w:p>
            <w:pPr>
              <w:spacing w:after="0"/>
              <w:rPr>
                <w:sz w:val="1"/>
                <w:szCs w:val="1"/>
                <w:color w:val="auto"/>
              </w:rPr>
            </w:pPr>
          </w:p>
        </w:tc>
      </w:tr>
      <w:tr>
        <w:trPr>
          <w:trHeight w:val="223"/>
        </w:trPr>
        <w:tc>
          <w:tcPr>
            <w:tcW w:w="2000" w:type="dxa"/>
            <w:vAlign w:val="bottom"/>
          </w:tcPr>
          <w:p>
            <w:pPr>
              <w:spacing w:after="0"/>
              <w:rPr>
                <w:sz w:val="19"/>
                <w:szCs w:val="19"/>
                <w:color w:val="auto"/>
              </w:rPr>
            </w:pPr>
          </w:p>
        </w:tc>
        <w:tc>
          <w:tcPr>
            <w:tcW w:w="40" w:type="dxa"/>
            <w:vAlign w:val="bottom"/>
            <w:shd w:val="clear" w:color="auto" w:fill="D47C18"/>
          </w:tcPr>
          <w:p>
            <w:pPr>
              <w:spacing w:after="0"/>
              <w:rPr>
                <w:sz w:val="19"/>
                <w:szCs w:val="19"/>
                <w:color w:val="auto"/>
              </w:rPr>
            </w:pPr>
          </w:p>
        </w:tc>
        <w:tc>
          <w:tcPr>
            <w:tcW w:w="2020" w:type="dxa"/>
            <w:vAlign w:val="bottom"/>
          </w:tcPr>
          <w:p>
            <w:pPr>
              <w:spacing w:after="0"/>
              <w:rPr>
                <w:sz w:val="19"/>
                <w:szCs w:val="19"/>
                <w:color w:val="auto"/>
              </w:rPr>
            </w:pPr>
          </w:p>
        </w:tc>
        <w:tc>
          <w:tcPr>
            <w:tcW w:w="40" w:type="dxa"/>
            <w:vAlign w:val="bottom"/>
            <w:shd w:val="clear" w:color="auto" w:fill="D47C18"/>
          </w:tcPr>
          <w:p>
            <w:pPr>
              <w:spacing w:after="0"/>
              <w:rPr>
                <w:sz w:val="19"/>
                <w:szCs w:val="19"/>
                <w:color w:val="auto"/>
              </w:rPr>
            </w:pPr>
          </w:p>
        </w:tc>
        <w:tc>
          <w:tcPr>
            <w:tcW w:w="5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760" w:right="1200" w:hanging="230"/>
        <w:spacing w:after="0" w:line="209" w:lineRule="auto"/>
        <w:tabs>
          <w:tab w:leader="none" w:pos="778"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Included in these amounts is the US, which had revenue of $766M (-1%) and OUP of $26M (+84%), including $1.7M of reorganization charges.</w:t>
      </w:r>
    </w:p>
    <w:p>
      <w:pPr>
        <w:spacing w:after="0" w:line="1" w:lineRule="exact"/>
        <w:rPr>
          <w:rFonts w:ascii="Arial" w:cs="Arial" w:eastAsia="Arial" w:hAnsi="Arial"/>
          <w:sz w:val="24"/>
          <w:szCs w:val="24"/>
          <w:color w:val="auto"/>
          <w:vertAlign w:val="superscript"/>
        </w:rPr>
      </w:pPr>
    </w:p>
    <w:p>
      <w:pPr>
        <w:ind w:left="780" w:hanging="250"/>
        <w:spacing w:after="0" w:line="237" w:lineRule="auto"/>
        <w:tabs>
          <w:tab w:leader="none" w:pos="78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Excludes the impact of reorganization charges of $2.4M in 2011 and $6.1M in 2010.</w:t>
      </w:r>
    </w:p>
    <w:p>
      <w:pPr>
        <w:spacing w:after="0" w:line="300" w:lineRule="exact"/>
        <w:rPr>
          <w:sz w:val="20"/>
          <w:szCs w:val="20"/>
          <w:color w:val="auto"/>
        </w:rPr>
      </w:pPr>
    </w:p>
    <w:p>
      <w:pPr>
        <w:ind w:left="580"/>
        <w:spacing w:after="0"/>
        <w:rPr>
          <w:sz w:val="20"/>
          <w:szCs w:val="20"/>
          <w:color w:val="auto"/>
        </w:rPr>
      </w:pPr>
      <w:r>
        <w:rPr>
          <w:rFonts w:ascii="Arial" w:cs="Arial" w:eastAsia="Arial" w:hAnsi="Arial"/>
          <w:sz w:val="19"/>
          <w:szCs w:val="19"/>
          <w:b w:val="1"/>
          <w:bCs w:val="1"/>
          <w:color w:val="auto"/>
        </w:rPr>
        <w:t>Operating Unit Profit (OUP) is the measure that we use to evaluate segment performance. OUP is</w:t>
      </w:r>
    </w:p>
    <w:p>
      <w:pPr>
        <w:spacing w:after="0" w:line="31" w:lineRule="exact"/>
        <w:rPr>
          <w:sz w:val="20"/>
          <w:szCs w:val="20"/>
          <w:color w:val="auto"/>
        </w:rPr>
      </w:pPr>
    </w:p>
    <w:p>
      <w:pPr>
        <w:ind w:left="580"/>
        <w:spacing w:after="0" w:line="249" w:lineRule="auto"/>
        <w:rPr>
          <w:sz w:val="20"/>
          <w:szCs w:val="20"/>
          <w:color w:val="auto"/>
        </w:rPr>
      </w:pPr>
      <w:r>
        <w:rPr>
          <w:rFonts w:ascii="Arial" w:cs="Arial" w:eastAsia="Arial" w:hAnsi="Arial"/>
          <w:sz w:val="19"/>
          <w:szCs w:val="19"/>
          <w:b w:val="1"/>
          <w:bCs w:val="1"/>
          <w:color w:val="auto"/>
        </w:rPr>
        <w:t xml:space="preserve">equal to segment revenues less direct costs and branch and national headquarters operating </w:t>
      </w:r>
      <w:r>
        <w:rPr>
          <w:rFonts w:ascii="Arial" w:cs="Arial" w:eastAsia="Arial" w:hAnsi="Arial"/>
          <w:sz w:val="14"/>
          <w:szCs w:val="14"/>
          <w:color w:val="898989"/>
        </w:rPr>
        <w:t>8</w:t>
      </w:r>
      <w:r>
        <w:rPr>
          <w:rFonts w:ascii="Arial" w:cs="Arial" w:eastAsia="Arial" w:hAnsi="Arial"/>
          <w:sz w:val="19"/>
          <w:szCs w:val="19"/>
          <w:b w:val="1"/>
          <w:bCs w:val="1"/>
          <w:color w:val="auto"/>
        </w:rPr>
        <w:t xml:space="preserv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415925</wp:posOffset>
            </wp:positionV>
            <wp:extent cx="726821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420"/>
          </w:cols>
          <w:pgMar w:left="680" w:top="449" w:right="799" w:bottom="1440" w:gutter="0" w:footer="0" w:header="0"/>
          <w:type w:val="continuous"/>
        </w:sectPr>
      </w:pPr>
    </w:p>
    <w:bookmarkStart w:id="19" w:name="page20"/>
    <w:bookmarkEnd w:id="19"/>
    <w:p>
      <w:pPr>
        <w:ind w:right="3260"/>
        <w:spacing w:after="0" w:line="289" w:lineRule="auto"/>
        <w:rPr>
          <w:sz w:val="20"/>
          <w:szCs w:val="20"/>
          <w:color w:val="auto"/>
        </w:rPr>
      </w:pPr>
      <w:r>
        <w:rPr>
          <w:rFonts w:ascii="Arial" w:cs="Arial" w:eastAsia="Arial" w:hAnsi="Arial"/>
          <w:sz w:val="25"/>
          <w:szCs w:val="25"/>
          <w:b w:val="1"/>
          <w:bCs w:val="1"/>
          <w:color w:val="FFFFFF"/>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2011 4</w:t>
      </w:r>
      <w:r>
        <w:rPr>
          <w:rFonts w:ascii="Arial" w:cs="Arial" w:eastAsia="Arial" w:hAnsi="Arial"/>
          <w:sz w:val="17"/>
          <w:szCs w:val="17"/>
          <w:b w:val="1"/>
          <w:bCs w:val="1"/>
          <w:color w:val="FFFFFF"/>
        </w:rPr>
        <w:t>th</w:t>
      </w:r>
      <w:r>
        <w:rPr>
          <w:rFonts w:ascii="Arial" w:cs="Arial" w:eastAsia="Arial" w:hAnsi="Arial"/>
          <w:sz w:val="25"/>
          <w:szCs w:val="25"/>
          <w:b w:val="1"/>
          <w:bCs w:val="1"/>
          <w:color w:val="FFFFFF"/>
        </w:rPr>
        <w:t xml:space="preserve"> Quarter Results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February</w:t>
      </w:r>
    </w:p>
    <w:p>
      <w:pPr>
        <w:spacing w:after="0" w:line="523" w:lineRule="exact"/>
        <w:rPr>
          <w:sz w:val="20"/>
          <w:szCs w:val="20"/>
          <w:color w:val="auto"/>
        </w:rPr>
      </w:pPr>
    </w:p>
    <w:p>
      <w:pPr>
        <w:sectPr>
          <w:pgSz w:w="11900" w:h="16838" w:orient="portrait"/>
          <w:cols w:equalWidth="0" w:num="2">
            <w:col w:w="8340" w:space="720"/>
            <w:col w:w="1360"/>
          </w:cols>
          <w:pgMar w:left="680" w:top="449" w:right="799" w:bottom="1440" w:gutter="0" w:footer="0" w:header="0"/>
        </w:sectPr>
      </w:pPr>
    </w:p>
    <w:p>
      <w:pPr>
        <w:ind w:left="420"/>
        <w:spacing w:after="0"/>
        <w:rPr>
          <w:sz w:val="20"/>
          <w:szCs w:val="20"/>
          <w:color w:val="auto"/>
        </w:rPr>
      </w:pPr>
      <w:r>
        <w:rPr>
          <w:rFonts w:ascii="Arial" w:cs="Arial" w:eastAsia="Arial" w:hAnsi="Arial"/>
          <w:sz w:val="50"/>
          <w:szCs w:val="50"/>
          <w:color w:val="5F81AA"/>
        </w:rPr>
        <w:t>Americas - Q4 Revenue Growth YoY</w:t>
      </w:r>
    </w:p>
    <w:p>
      <w:pPr>
        <w:spacing w:after="0" w:line="200" w:lineRule="exact"/>
        <w:rPr>
          <w:sz w:val="20"/>
          <w:szCs w:val="20"/>
          <w:color w:val="auto"/>
        </w:rPr>
      </w:pPr>
    </w:p>
    <w:p>
      <w:pPr>
        <w:spacing w:after="0" w:line="333" w:lineRule="exact"/>
        <w:rPr>
          <w:sz w:val="20"/>
          <w:szCs w:val="20"/>
          <w:color w:val="auto"/>
        </w:rPr>
      </w:pPr>
    </w:p>
    <w:p>
      <w:pPr>
        <w:ind w:left="580" w:right="8560" w:hanging="289"/>
        <w:spacing w:after="0" w:line="304" w:lineRule="auto"/>
        <w:tabs>
          <w:tab w:leader="none" w:pos="567" w:val="left"/>
        </w:tabs>
        <w:numPr>
          <w:ilvl w:val="0"/>
          <w:numId w:val="8"/>
        </w:numPr>
        <w:rPr>
          <w:rFonts w:ascii="Arial" w:cs="Arial" w:eastAsia="Arial" w:hAnsi="Arial"/>
          <w:sz w:val="23"/>
          <w:szCs w:val="23"/>
          <w:b w:val="1"/>
          <w:bCs w:val="1"/>
          <w:color w:val="auto"/>
        </w:rPr>
      </w:pPr>
      <w:r>
        <w:rPr>
          <w:rFonts w:ascii="Arial" w:cs="Arial" w:eastAsia="Arial" w:hAnsi="Arial"/>
          <w:sz w:val="23"/>
          <w:szCs w:val="23"/>
          <w:b w:val="1"/>
          <w:bCs w:val="1"/>
          <w:color w:val="auto"/>
        </w:rPr>
        <w:t>of Segment Revenue</w:t>
      </w:r>
    </w:p>
    <w:p>
      <w:pPr>
        <w:spacing w:after="0" w:line="200" w:lineRule="exact"/>
        <w:rPr>
          <w:sz w:val="20"/>
          <w:szCs w:val="20"/>
          <w:color w:val="auto"/>
        </w:rPr>
      </w:pPr>
    </w:p>
    <w:p>
      <w:pPr>
        <w:spacing w:after="0" w:line="234" w:lineRule="exact"/>
        <w:rPr>
          <w:sz w:val="20"/>
          <w:szCs w:val="20"/>
          <w:color w:val="auto"/>
        </w:rPr>
      </w:pPr>
    </w:p>
    <w:p>
      <w:pPr>
        <w:ind w:left="780"/>
        <w:spacing w:after="0"/>
        <w:rPr>
          <w:sz w:val="20"/>
          <w:szCs w:val="20"/>
          <w:color w:val="auto"/>
        </w:rPr>
      </w:pPr>
      <w:r>
        <w:rPr>
          <w:rFonts w:ascii="Arial" w:cs="Arial" w:eastAsia="Arial" w:hAnsi="Arial"/>
          <w:sz w:val="29"/>
          <w:szCs w:val="29"/>
          <w:b w:val="1"/>
          <w:bCs w:val="1"/>
          <w:color w:val="6698C2"/>
        </w:rPr>
        <w:t>66%</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40"/>
        <w:spacing w:after="0"/>
        <w:rPr>
          <w:sz w:val="20"/>
          <w:szCs w:val="20"/>
          <w:color w:val="auto"/>
        </w:rPr>
      </w:pPr>
      <w:r>
        <w:rPr>
          <w:rFonts w:ascii="Arial" w:cs="Arial" w:eastAsia="Arial" w:hAnsi="Arial"/>
          <w:sz w:val="29"/>
          <w:szCs w:val="29"/>
          <w:b w:val="1"/>
          <w:bCs w:val="1"/>
          <w:color w:val="6698C2"/>
        </w:rPr>
        <w:t>12%</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00"/>
        <w:spacing w:after="0"/>
        <w:rPr>
          <w:sz w:val="20"/>
          <w:szCs w:val="20"/>
          <w:color w:val="auto"/>
        </w:rPr>
      </w:pPr>
      <w:r>
        <w:rPr>
          <w:rFonts w:ascii="Arial" w:cs="Arial" w:eastAsia="Arial" w:hAnsi="Arial"/>
          <w:sz w:val="29"/>
          <w:szCs w:val="29"/>
          <w:b w:val="1"/>
          <w:bCs w:val="1"/>
          <w:color w:val="6698C2"/>
        </w:rPr>
        <w:t>7%</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40"/>
        <w:spacing w:after="0"/>
        <w:rPr>
          <w:sz w:val="20"/>
          <w:szCs w:val="20"/>
          <w:color w:val="auto"/>
        </w:rPr>
      </w:pPr>
      <w:r>
        <w:rPr>
          <w:rFonts w:ascii="Arial" w:cs="Arial" w:eastAsia="Arial" w:hAnsi="Arial"/>
          <w:sz w:val="29"/>
          <w:szCs w:val="29"/>
          <w:b w:val="1"/>
          <w:bCs w:val="1"/>
          <w:color w:val="6698C2"/>
        </w:rPr>
        <w:t>15%</w:t>
      </w:r>
    </w:p>
    <w:p>
      <w:pPr>
        <w:sectPr>
          <w:pgSz w:w="11900" w:h="16838" w:orient="portrait"/>
          <w:cols w:equalWidth="0" w:num="1">
            <w:col w:w="10420"/>
          </w:cols>
          <w:pgMar w:left="680" w:top="449"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Revenue</w:t>
      </w:r>
    </w:p>
    <w:p>
      <w:pPr>
        <w:spacing w:after="0" w:line="37"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Growth - CC</w:t>
      </w:r>
    </w:p>
    <w:p>
      <w:pPr>
        <w:spacing w:after="0" w:line="381" w:lineRule="exact"/>
        <w:rPr>
          <w:sz w:val="20"/>
          <w:szCs w:val="20"/>
          <w:color w:val="auto"/>
        </w:rPr>
      </w:pPr>
    </w:p>
    <w:p>
      <w:pPr>
        <w:sectPr>
          <w:pgSz w:w="11900" w:h="16838" w:orient="portrait"/>
          <w:cols w:equalWidth="0" w:num="2">
            <w:col w:w="4980" w:space="720"/>
            <w:col w:w="4720"/>
          </w:cols>
          <w:pgMar w:left="680" w:top="449" w:right="799" w:bottom="1440" w:gutter="0" w:footer="0" w:header="0"/>
          <w:type w:val="continuous"/>
        </w:sectPr>
      </w:pPr>
    </w:p>
    <w:p>
      <w:pPr>
        <w:jc w:val="right"/>
        <w:spacing w:after="0"/>
        <w:rPr>
          <w:sz w:val="20"/>
          <w:szCs w:val="20"/>
          <w:color w:val="auto"/>
        </w:rPr>
      </w:pPr>
      <w:r>
        <w:rPr>
          <w:rFonts w:ascii="Arial" w:cs="Arial" w:eastAsia="Arial" w:hAnsi="Arial"/>
          <w:sz w:val="14"/>
          <w:szCs w:val="14"/>
          <w:color w:val="898989"/>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429895</wp:posOffset>
            </wp:positionV>
            <wp:extent cx="726821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420"/>
          </w:cols>
          <w:pgMar w:left="680" w:top="449" w:right="799" w:bottom="1440" w:gutter="0" w:footer="0" w:header="0"/>
          <w:type w:val="continuous"/>
        </w:sectPr>
      </w:pPr>
    </w:p>
    <w:bookmarkStart w:id="20" w:name="page21"/>
    <w:bookmarkEnd w:id="20"/>
    <w:p>
      <w:pPr>
        <w:ind w:right="3260"/>
        <w:spacing w:after="0" w:line="289" w:lineRule="auto"/>
        <w:rPr>
          <w:sz w:val="20"/>
          <w:szCs w:val="20"/>
          <w:color w:val="auto"/>
        </w:rPr>
      </w:pPr>
      <w:r>
        <w:rPr>
          <w:rFonts w:ascii="Arial" w:cs="Arial" w:eastAsia="Arial" w:hAnsi="Arial"/>
          <w:sz w:val="25"/>
          <w:szCs w:val="25"/>
          <w:b w:val="1"/>
          <w:bCs w:val="1"/>
          <w:color w:val="FFFFFF"/>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2011 4</w:t>
      </w:r>
      <w:r>
        <w:rPr>
          <w:rFonts w:ascii="Arial" w:cs="Arial" w:eastAsia="Arial" w:hAnsi="Arial"/>
          <w:sz w:val="17"/>
          <w:szCs w:val="17"/>
          <w:b w:val="1"/>
          <w:bCs w:val="1"/>
          <w:color w:val="FFFFFF"/>
        </w:rPr>
        <w:t>th</w:t>
      </w:r>
      <w:r>
        <w:rPr>
          <w:rFonts w:ascii="Arial" w:cs="Arial" w:eastAsia="Arial" w:hAnsi="Arial"/>
          <w:sz w:val="25"/>
          <w:szCs w:val="25"/>
          <w:b w:val="1"/>
          <w:bCs w:val="1"/>
          <w:color w:val="FFFFFF"/>
        </w:rPr>
        <w:t xml:space="preserve"> Quarter Results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February</w:t>
      </w:r>
    </w:p>
    <w:p>
      <w:pPr>
        <w:spacing w:after="0" w:line="440" w:lineRule="exact"/>
        <w:rPr>
          <w:sz w:val="20"/>
          <w:szCs w:val="20"/>
          <w:color w:val="auto"/>
        </w:rPr>
      </w:pPr>
    </w:p>
    <w:p>
      <w:pPr>
        <w:sectPr>
          <w:pgSz w:w="11900" w:h="16838" w:orient="portrait"/>
          <w:cols w:equalWidth="0" w:num="2">
            <w:col w:w="8340" w:space="720"/>
            <w:col w:w="1360"/>
          </w:cols>
          <w:pgMar w:left="680" w:top="449" w:right="799" w:bottom="1440" w:gutter="0" w:footer="0" w:header="0"/>
        </w:sectPr>
      </w:pPr>
    </w:p>
    <w:p>
      <w:pPr>
        <w:ind w:left="380"/>
        <w:spacing w:after="0"/>
        <w:rPr>
          <w:sz w:val="20"/>
          <w:szCs w:val="20"/>
          <w:color w:val="auto"/>
        </w:rPr>
      </w:pPr>
      <w:r>
        <w:rPr>
          <w:rFonts w:ascii="Arial" w:cs="Arial" w:eastAsia="Arial" w:hAnsi="Arial"/>
          <w:sz w:val="51"/>
          <w:szCs w:val="51"/>
          <w:color w:val="5F81AA"/>
        </w:rPr>
        <w:t>Southern Europe Segment</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32"/>
          <w:szCs w:val="32"/>
          <w:color w:val="5F81AA"/>
        </w:rPr>
        <w:t>(37% of Revenue)</w:t>
      </w:r>
    </w:p>
    <w:p>
      <w:pPr>
        <w:spacing w:after="0" w:line="200" w:lineRule="exact"/>
        <w:rPr>
          <w:sz w:val="20"/>
          <w:szCs w:val="20"/>
          <w:color w:val="auto"/>
        </w:rPr>
      </w:pPr>
    </w:p>
    <w:p>
      <w:pPr>
        <w:spacing w:after="0" w:line="325" w:lineRule="exact"/>
        <w:rPr>
          <w:sz w:val="20"/>
          <w:szCs w:val="20"/>
          <w:color w:val="auto"/>
        </w:rPr>
      </w:pPr>
    </w:p>
    <w:tbl>
      <w:tblPr>
        <w:tblLayout w:type="fixed"/>
        <w:tblInd w:w="500" w:type="dxa"/>
        <w:tblCellMar>
          <w:top w:w="0" w:type="dxa"/>
          <w:left w:w="0" w:type="dxa"/>
          <w:bottom w:w="0" w:type="dxa"/>
          <w:right w:w="0" w:type="dxa"/>
        </w:tblCellMar>
      </w:tblPr>
      <w:tr>
        <w:trPr>
          <w:trHeight w:val="36"/>
        </w:trPr>
        <w:tc>
          <w:tcPr>
            <w:tcW w:w="2000" w:type="dxa"/>
            <w:vAlign w:val="bottom"/>
            <w:vMerge w:val="restart"/>
          </w:tcPr>
          <w:p>
            <w:pPr>
              <w:ind w:left="840"/>
              <w:spacing w:after="0"/>
              <w:rPr>
                <w:sz w:val="20"/>
                <w:szCs w:val="20"/>
                <w:color w:val="auto"/>
              </w:rPr>
            </w:pPr>
            <w:r>
              <w:rPr>
                <w:rFonts w:ascii="Arial" w:cs="Arial" w:eastAsia="Arial" w:hAnsi="Arial"/>
                <w:sz w:val="25"/>
                <w:szCs w:val="25"/>
                <w:b w:val="1"/>
                <w:bCs w:val="1"/>
                <w:color w:val="282A32"/>
              </w:rPr>
              <w:t>As</w:t>
            </w:r>
          </w:p>
        </w:tc>
        <w:tc>
          <w:tcPr>
            <w:tcW w:w="40" w:type="dxa"/>
            <w:vAlign w:val="bottom"/>
          </w:tcPr>
          <w:p>
            <w:pPr>
              <w:spacing w:after="0"/>
              <w:rPr>
                <w:sz w:val="3"/>
                <w:szCs w:val="3"/>
                <w:color w:val="auto"/>
              </w:rPr>
            </w:pPr>
          </w:p>
        </w:tc>
        <w:tc>
          <w:tcPr>
            <w:tcW w:w="2020" w:type="dxa"/>
            <w:vAlign w:val="bottom"/>
            <w:vMerge w:val="restart"/>
          </w:tcPr>
          <w:p>
            <w:pPr>
              <w:jc w:val="center"/>
              <w:spacing w:after="0"/>
              <w:rPr>
                <w:sz w:val="20"/>
                <w:szCs w:val="20"/>
                <w:color w:val="auto"/>
              </w:rPr>
            </w:pPr>
            <w:r>
              <w:rPr>
                <w:rFonts w:ascii="Arial" w:cs="Arial" w:eastAsia="Arial" w:hAnsi="Arial"/>
                <w:sz w:val="25"/>
                <w:szCs w:val="25"/>
                <w:b w:val="1"/>
                <w:bCs w:val="1"/>
                <w:color w:val="282A32"/>
              </w:rPr>
              <w:t>Excluding Non</w:t>
            </w:r>
          </w:p>
        </w:tc>
        <w:tc>
          <w:tcPr>
            <w:tcW w:w="40" w:type="dxa"/>
            <w:vAlign w:val="bottom"/>
          </w:tcPr>
          <w:p>
            <w:pPr>
              <w:spacing w:after="0"/>
              <w:rPr>
                <w:sz w:val="3"/>
                <w:szCs w:val="3"/>
                <w:color w:val="auto"/>
              </w:rPr>
            </w:pPr>
          </w:p>
        </w:tc>
        <w:tc>
          <w:tcPr>
            <w:tcW w:w="5260" w:type="dxa"/>
            <w:vAlign w:val="bottom"/>
            <w:vMerge w:val="restart"/>
          </w:tcPr>
          <w:p>
            <w:pPr>
              <w:ind w:left="320"/>
              <w:spacing w:after="0"/>
              <w:rPr>
                <w:sz w:val="20"/>
                <w:szCs w:val="20"/>
                <w:color w:val="auto"/>
              </w:rPr>
            </w:pPr>
            <w:r>
              <w:rPr>
                <w:rFonts w:ascii="Arial" w:cs="Arial" w:eastAsia="Arial" w:hAnsi="Arial"/>
                <w:sz w:val="41"/>
                <w:szCs w:val="41"/>
                <w:b w:val="1"/>
                <w:bCs w:val="1"/>
                <w:color w:val="auto"/>
              </w:rPr>
              <w:t>Q4 Financial Highlights</w:t>
            </w:r>
            <w:r>
              <w:rPr>
                <w:rFonts w:ascii="Arial" w:cs="Arial" w:eastAsia="Arial" w:hAnsi="Arial"/>
                <w:sz w:val="34"/>
                <w:szCs w:val="34"/>
                <w:b w:val="1"/>
                <w:bCs w:val="1"/>
                <w:color w:val="C46D24"/>
                <w:vertAlign w:val="superscript"/>
              </w:rPr>
              <w:t>(1)</w:t>
            </w:r>
          </w:p>
        </w:tc>
        <w:tc>
          <w:tcPr>
            <w:tcW w:w="0" w:type="dxa"/>
            <w:vAlign w:val="bottom"/>
          </w:tcPr>
          <w:p>
            <w:pPr>
              <w:spacing w:after="0" w:line="20" w:lineRule="exact"/>
              <w:rPr>
                <w:sz w:val="1"/>
                <w:szCs w:val="1"/>
                <w:color w:val="auto"/>
              </w:rPr>
            </w:pPr>
          </w:p>
        </w:tc>
      </w:tr>
      <w:tr>
        <w:trPr>
          <w:trHeight w:val="262"/>
        </w:trPr>
        <w:tc>
          <w:tcPr>
            <w:tcW w:w="2000" w:type="dxa"/>
            <w:vAlign w:val="bottom"/>
            <w:vMerge w:val="continue"/>
          </w:tcPr>
          <w:p>
            <w:pPr>
              <w:spacing w:after="0"/>
              <w:rPr>
                <w:sz w:val="22"/>
                <w:szCs w:val="22"/>
                <w:color w:val="auto"/>
              </w:rPr>
            </w:pPr>
          </w:p>
        </w:tc>
        <w:tc>
          <w:tcPr>
            <w:tcW w:w="40" w:type="dxa"/>
            <w:vAlign w:val="bottom"/>
            <w:shd w:val="clear" w:color="auto" w:fill="D47C18"/>
          </w:tcPr>
          <w:p>
            <w:pPr>
              <w:spacing w:after="0"/>
              <w:rPr>
                <w:sz w:val="22"/>
                <w:szCs w:val="22"/>
                <w:color w:val="auto"/>
              </w:rPr>
            </w:pPr>
          </w:p>
        </w:tc>
        <w:tc>
          <w:tcPr>
            <w:tcW w:w="2020" w:type="dxa"/>
            <w:vAlign w:val="bottom"/>
            <w:vMerge w:val="continue"/>
          </w:tcPr>
          <w:p>
            <w:pPr>
              <w:spacing w:after="0"/>
              <w:rPr>
                <w:sz w:val="22"/>
                <w:szCs w:val="22"/>
                <w:color w:val="auto"/>
              </w:rPr>
            </w:pPr>
          </w:p>
        </w:tc>
        <w:tc>
          <w:tcPr>
            <w:tcW w:w="40" w:type="dxa"/>
            <w:vAlign w:val="bottom"/>
            <w:shd w:val="clear" w:color="auto" w:fill="D47C18"/>
          </w:tcPr>
          <w:p>
            <w:pPr>
              <w:spacing w:after="0"/>
              <w:rPr>
                <w:sz w:val="22"/>
                <w:szCs w:val="22"/>
                <w:color w:val="auto"/>
              </w:rPr>
            </w:pPr>
          </w:p>
        </w:tc>
        <w:tc>
          <w:tcPr>
            <w:tcW w:w="5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69"/>
        </w:trPr>
        <w:tc>
          <w:tcPr>
            <w:tcW w:w="2000" w:type="dxa"/>
            <w:vAlign w:val="bottom"/>
          </w:tcPr>
          <w:p>
            <w:pPr>
              <w:jc w:val="center"/>
              <w:ind w:left="108"/>
              <w:spacing w:after="0"/>
              <w:rPr>
                <w:sz w:val="20"/>
                <w:szCs w:val="20"/>
                <w:color w:val="auto"/>
              </w:rPr>
            </w:pPr>
            <w:r>
              <w:rPr>
                <w:rFonts w:ascii="Arial" w:cs="Arial" w:eastAsia="Arial" w:hAnsi="Arial"/>
                <w:sz w:val="25"/>
                <w:szCs w:val="25"/>
                <w:b w:val="1"/>
                <w:bCs w:val="1"/>
                <w:color w:val="282A32"/>
                <w:w w:val="98"/>
              </w:rPr>
              <w:t xml:space="preserve">Reported </w:t>
            </w:r>
            <w:r>
              <w:rPr>
                <w:rFonts w:ascii="Arial" w:cs="Arial" w:eastAsia="Arial" w:hAnsi="Arial"/>
                <w:sz w:val="17"/>
                <w:szCs w:val="17"/>
                <w:b w:val="1"/>
                <w:bCs w:val="1"/>
                <w:color w:val="C46D24"/>
                <w:w w:val="98"/>
              </w:rPr>
              <w:t>(2)</w:t>
            </w:r>
          </w:p>
        </w:tc>
        <w:tc>
          <w:tcPr>
            <w:tcW w:w="40" w:type="dxa"/>
            <w:vAlign w:val="bottom"/>
            <w:shd w:val="clear" w:color="auto" w:fill="D47C18"/>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25"/>
                <w:szCs w:val="25"/>
                <w:b w:val="1"/>
                <w:bCs w:val="1"/>
                <w:color w:val="282A32"/>
              </w:rPr>
              <w:t>-recurring</w:t>
            </w:r>
          </w:p>
        </w:tc>
        <w:tc>
          <w:tcPr>
            <w:tcW w:w="40" w:type="dxa"/>
            <w:vAlign w:val="bottom"/>
            <w:shd w:val="clear" w:color="auto" w:fill="D47C18"/>
          </w:tcPr>
          <w:p>
            <w:pPr>
              <w:spacing w:after="0"/>
              <w:rPr>
                <w:sz w:val="24"/>
                <w:szCs w:val="24"/>
                <w:color w:val="auto"/>
              </w:rPr>
            </w:pPr>
          </w:p>
        </w:tc>
        <w:tc>
          <w:tcPr>
            <w:tcW w:w="5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00" w:type="dxa"/>
            <w:vAlign w:val="bottom"/>
          </w:tcPr>
          <w:p>
            <w:pPr>
              <w:spacing w:after="0"/>
              <w:rPr>
                <w:sz w:val="24"/>
                <w:szCs w:val="24"/>
                <w:color w:val="auto"/>
              </w:rPr>
            </w:pPr>
          </w:p>
        </w:tc>
        <w:tc>
          <w:tcPr>
            <w:tcW w:w="40" w:type="dxa"/>
            <w:vAlign w:val="bottom"/>
            <w:shd w:val="clear" w:color="auto" w:fill="D47C18"/>
          </w:tcPr>
          <w:p>
            <w:pPr>
              <w:spacing w:after="0"/>
              <w:rPr>
                <w:sz w:val="24"/>
                <w:szCs w:val="24"/>
                <w:color w:val="auto"/>
              </w:rPr>
            </w:pPr>
          </w:p>
        </w:tc>
        <w:tc>
          <w:tcPr>
            <w:tcW w:w="2020" w:type="dxa"/>
            <w:vAlign w:val="bottom"/>
          </w:tcPr>
          <w:p>
            <w:pPr>
              <w:jc w:val="center"/>
              <w:ind w:left="74"/>
              <w:spacing w:after="0"/>
              <w:rPr>
                <w:sz w:val="20"/>
                <w:szCs w:val="20"/>
                <w:color w:val="auto"/>
              </w:rPr>
            </w:pPr>
            <w:r>
              <w:rPr>
                <w:rFonts w:ascii="Arial" w:cs="Arial" w:eastAsia="Arial" w:hAnsi="Arial"/>
                <w:sz w:val="25"/>
                <w:szCs w:val="25"/>
                <w:b w:val="1"/>
                <w:bCs w:val="1"/>
                <w:color w:val="282A32"/>
              </w:rPr>
              <w:t>Items</w:t>
            </w:r>
            <w:r>
              <w:rPr>
                <w:rFonts w:ascii="Arial" w:cs="Arial" w:eastAsia="Arial" w:hAnsi="Arial"/>
                <w:sz w:val="17"/>
                <w:szCs w:val="17"/>
                <w:b w:val="1"/>
                <w:bCs w:val="1"/>
                <w:color w:val="C46D24"/>
              </w:rPr>
              <w:t>(3)</w:t>
            </w:r>
          </w:p>
        </w:tc>
        <w:tc>
          <w:tcPr>
            <w:tcW w:w="40" w:type="dxa"/>
            <w:vAlign w:val="bottom"/>
            <w:shd w:val="clear" w:color="auto" w:fill="D47C18"/>
          </w:tcPr>
          <w:p>
            <w:pPr>
              <w:spacing w:after="0"/>
              <w:rPr>
                <w:sz w:val="24"/>
                <w:szCs w:val="24"/>
                <w:color w:val="auto"/>
              </w:rPr>
            </w:pP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000" w:type="dxa"/>
            <w:vAlign w:val="bottom"/>
            <w:tcBorders>
              <w:bottom w:val="single" w:sz="8" w:color="D47C18"/>
            </w:tcBorders>
          </w:tcPr>
          <w:p>
            <w:pPr>
              <w:spacing w:after="0"/>
              <w:rPr>
                <w:sz w:val="4"/>
                <w:szCs w:val="4"/>
                <w:color w:val="auto"/>
              </w:rPr>
            </w:pPr>
          </w:p>
        </w:tc>
        <w:tc>
          <w:tcPr>
            <w:tcW w:w="40" w:type="dxa"/>
            <w:vAlign w:val="bottom"/>
            <w:tcBorders>
              <w:bottom w:val="single" w:sz="8" w:color="D47C18"/>
            </w:tcBorders>
            <w:shd w:val="clear" w:color="auto" w:fill="D47C18"/>
          </w:tcPr>
          <w:p>
            <w:pPr>
              <w:spacing w:after="0"/>
              <w:rPr>
                <w:sz w:val="4"/>
                <w:szCs w:val="4"/>
                <w:color w:val="auto"/>
              </w:rPr>
            </w:pPr>
          </w:p>
        </w:tc>
        <w:tc>
          <w:tcPr>
            <w:tcW w:w="2020" w:type="dxa"/>
            <w:vAlign w:val="bottom"/>
            <w:tcBorders>
              <w:bottom w:val="single" w:sz="8" w:color="D47C18"/>
            </w:tcBorders>
          </w:tcPr>
          <w:p>
            <w:pPr>
              <w:spacing w:after="0"/>
              <w:rPr>
                <w:sz w:val="4"/>
                <w:szCs w:val="4"/>
                <w:color w:val="auto"/>
              </w:rPr>
            </w:pPr>
          </w:p>
        </w:tc>
        <w:tc>
          <w:tcPr>
            <w:tcW w:w="40" w:type="dxa"/>
            <w:vAlign w:val="bottom"/>
            <w:tcBorders>
              <w:bottom w:val="single" w:sz="8" w:color="D47C18"/>
            </w:tcBorders>
            <w:shd w:val="clear" w:color="auto" w:fill="D47C18"/>
          </w:tcPr>
          <w:p>
            <w:pPr>
              <w:spacing w:after="0"/>
              <w:rPr>
                <w:sz w:val="4"/>
                <w:szCs w:val="4"/>
                <w:color w:val="auto"/>
              </w:rPr>
            </w:pPr>
          </w:p>
        </w:tc>
        <w:tc>
          <w:tcPr>
            <w:tcW w:w="5260" w:type="dxa"/>
            <w:vAlign w:val="bottom"/>
            <w:tcBorders>
              <w:bottom w:val="single" w:sz="8" w:color="D47C18"/>
            </w:tcBorders>
          </w:tcPr>
          <w:p>
            <w:pPr>
              <w:spacing w:after="0"/>
              <w:rPr>
                <w:sz w:val="4"/>
                <w:szCs w:val="4"/>
                <w:color w:val="auto"/>
              </w:rPr>
            </w:pPr>
          </w:p>
        </w:tc>
        <w:tc>
          <w:tcPr>
            <w:tcW w:w="0" w:type="dxa"/>
            <w:vAlign w:val="bottom"/>
          </w:tcPr>
          <w:p>
            <w:pPr>
              <w:spacing w:after="0"/>
              <w:rPr>
                <w:sz w:val="1"/>
                <w:szCs w:val="1"/>
                <w:color w:val="auto"/>
              </w:rPr>
            </w:pPr>
          </w:p>
        </w:tc>
      </w:tr>
      <w:tr>
        <w:trPr>
          <w:trHeight w:val="571"/>
        </w:trPr>
        <w:tc>
          <w:tcPr>
            <w:tcW w:w="2000" w:type="dxa"/>
            <w:vAlign w:val="bottom"/>
          </w:tcPr>
          <w:p>
            <w:pPr>
              <w:jc w:val="right"/>
              <w:ind w:right="368"/>
              <w:spacing w:after="0"/>
              <w:rPr>
                <w:sz w:val="20"/>
                <w:szCs w:val="20"/>
                <w:color w:val="auto"/>
              </w:rPr>
            </w:pPr>
            <w:r>
              <w:rPr>
                <w:rFonts w:ascii="Arial" w:cs="Arial" w:eastAsia="Arial" w:hAnsi="Arial"/>
                <w:sz w:val="38"/>
                <w:szCs w:val="38"/>
                <w:color w:val="auto"/>
              </w:rPr>
              <w:t>5%</w:t>
            </w:r>
          </w:p>
        </w:tc>
        <w:tc>
          <w:tcPr>
            <w:tcW w:w="40" w:type="dxa"/>
            <w:vAlign w:val="bottom"/>
            <w:shd w:val="clear" w:color="auto" w:fill="D47C18"/>
          </w:tcPr>
          <w:p>
            <w:pPr>
              <w:spacing w:after="0"/>
              <w:rPr>
                <w:sz w:val="24"/>
                <w:szCs w:val="24"/>
                <w:color w:val="auto"/>
              </w:rPr>
            </w:pPr>
          </w:p>
        </w:tc>
        <w:tc>
          <w:tcPr>
            <w:tcW w:w="2020" w:type="dxa"/>
            <w:vAlign w:val="bottom"/>
          </w:tcPr>
          <w:p>
            <w:pPr>
              <w:jc w:val="right"/>
              <w:ind w:right="394"/>
              <w:spacing w:after="0"/>
              <w:rPr>
                <w:sz w:val="20"/>
                <w:szCs w:val="20"/>
                <w:color w:val="auto"/>
              </w:rPr>
            </w:pPr>
            <w:r>
              <w:rPr>
                <w:rFonts w:ascii="Arial" w:cs="Arial" w:eastAsia="Arial" w:hAnsi="Arial"/>
                <w:sz w:val="38"/>
                <w:szCs w:val="38"/>
                <w:color w:val="auto"/>
              </w:rPr>
              <w:t>5%</w:t>
            </w:r>
          </w:p>
        </w:tc>
        <w:tc>
          <w:tcPr>
            <w:tcW w:w="40" w:type="dxa"/>
            <w:vAlign w:val="bottom"/>
            <w:shd w:val="clear" w:color="auto" w:fill="D47C18"/>
          </w:tcPr>
          <w:p>
            <w:pPr>
              <w:spacing w:after="0"/>
              <w:rPr>
                <w:sz w:val="24"/>
                <w:szCs w:val="24"/>
                <w:color w:val="auto"/>
              </w:rPr>
            </w:pPr>
          </w:p>
        </w:tc>
        <w:tc>
          <w:tcPr>
            <w:tcW w:w="5260" w:type="dxa"/>
            <w:vAlign w:val="bottom"/>
            <w:tcBorders>
              <w:left w:val="single" w:sz="8" w:color="D47C18"/>
            </w:tcBorders>
            <w:vMerge w:val="restart"/>
          </w:tcPr>
          <w:p>
            <w:pPr>
              <w:ind w:left="360"/>
              <w:spacing w:after="0"/>
              <w:rPr>
                <w:sz w:val="20"/>
                <w:szCs w:val="20"/>
                <w:color w:val="auto"/>
              </w:rPr>
            </w:pPr>
            <w:r>
              <w:rPr>
                <w:rFonts w:ascii="Arial" w:cs="Arial" w:eastAsia="Arial" w:hAnsi="Arial"/>
                <w:sz w:val="41"/>
                <w:szCs w:val="41"/>
                <w:b w:val="1"/>
                <w:bCs w:val="1"/>
                <w:color w:val="auto"/>
              </w:rPr>
              <w:t xml:space="preserve">Revenue </w:t>
            </w:r>
            <w:r>
              <w:rPr>
                <w:rFonts w:ascii="Arial" w:cs="Arial" w:eastAsia="Arial" w:hAnsi="Arial"/>
                <w:sz w:val="44"/>
                <w:szCs w:val="44"/>
                <w:b w:val="1"/>
                <w:bCs w:val="1"/>
                <w:color w:val="5F81AA"/>
              </w:rPr>
              <w:t>$2.0B</w:t>
            </w:r>
          </w:p>
        </w:tc>
        <w:tc>
          <w:tcPr>
            <w:tcW w:w="0" w:type="dxa"/>
            <w:vAlign w:val="bottom"/>
          </w:tcPr>
          <w:p>
            <w:pPr>
              <w:spacing w:after="0"/>
              <w:rPr>
                <w:sz w:val="1"/>
                <w:szCs w:val="1"/>
                <w:color w:val="auto"/>
              </w:rPr>
            </w:pPr>
          </w:p>
        </w:tc>
      </w:tr>
      <w:tr>
        <w:trPr>
          <w:trHeight w:val="265"/>
        </w:trPr>
        <w:tc>
          <w:tcPr>
            <w:tcW w:w="2000" w:type="dxa"/>
            <w:vAlign w:val="bottom"/>
            <w:vMerge w:val="restart"/>
          </w:tcPr>
          <w:p>
            <w:pPr>
              <w:jc w:val="center"/>
              <w:ind w:left="188"/>
              <w:spacing w:after="0"/>
              <w:rPr>
                <w:sz w:val="20"/>
                <w:szCs w:val="20"/>
                <w:color w:val="auto"/>
              </w:rPr>
            </w:pPr>
            <w:r>
              <w:rPr>
                <w:rFonts w:ascii="Arial" w:cs="Arial" w:eastAsia="Arial" w:hAnsi="Arial"/>
                <w:sz w:val="38"/>
                <w:szCs w:val="38"/>
                <w:color w:val="auto"/>
                <w:w w:val="99"/>
              </w:rPr>
              <w:t>6% CC</w:t>
            </w:r>
          </w:p>
        </w:tc>
        <w:tc>
          <w:tcPr>
            <w:tcW w:w="40" w:type="dxa"/>
            <w:vAlign w:val="bottom"/>
            <w:shd w:val="clear" w:color="auto" w:fill="D47C18"/>
          </w:tcPr>
          <w:p>
            <w:pPr>
              <w:spacing w:after="0"/>
              <w:rPr>
                <w:sz w:val="23"/>
                <w:szCs w:val="23"/>
                <w:color w:val="auto"/>
              </w:rPr>
            </w:pPr>
          </w:p>
        </w:tc>
        <w:tc>
          <w:tcPr>
            <w:tcW w:w="2020" w:type="dxa"/>
            <w:vAlign w:val="bottom"/>
            <w:vMerge w:val="restart"/>
          </w:tcPr>
          <w:p>
            <w:pPr>
              <w:jc w:val="center"/>
              <w:ind w:left="194"/>
              <w:spacing w:after="0"/>
              <w:rPr>
                <w:sz w:val="20"/>
                <w:szCs w:val="20"/>
                <w:color w:val="auto"/>
              </w:rPr>
            </w:pPr>
            <w:r>
              <w:rPr>
                <w:rFonts w:ascii="Arial" w:cs="Arial" w:eastAsia="Arial" w:hAnsi="Arial"/>
                <w:sz w:val="38"/>
                <w:szCs w:val="38"/>
                <w:color w:val="auto"/>
              </w:rPr>
              <w:t>6% CC</w:t>
            </w:r>
          </w:p>
        </w:tc>
        <w:tc>
          <w:tcPr>
            <w:tcW w:w="40" w:type="dxa"/>
            <w:vAlign w:val="bottom"/>
          </w:tcPr>
          <w:p>
            <w:pPr>
              <w:spacing w:after="0"/>
              <w:rPr>
                <w:sz w:val="23"/>
                <w:szCs w:val="23"/>
                <w:color w:val="auto"/>
              </w:rPr>
            </w:pPr>
          </w:p>
        </w:tc>
        <w:tc>
          <w:tcPr>
            <w:tcW w:w="5260" w:type="dxa"/>
            <w:vAlign w:val="bottom"/>
            <w:tcBorders>
              <w:left w:val="single" w:sz="8" w:color="D47C18"/>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000" w:type="dxa"/>
            <w:vAlign w:val="bottom"/>
            <w:vMerge w:val="continue"/>
          </w:tcPr>
          <w:p>
            <w:pPr>
              <w:spacing w:after="0"/>
              <w:rPr>
                <w:sz w:val="17"/>
                <w:szCs w:val="17"/>
                <w:color w:val="auto"/>
              </w:rPr>
            </w:pPr>
          </w:p>
        </w:tc>
        <w:tc>
          <w:tcPr>
            <w:tcW w:w="40" w:type="dxa"/>
            <w:vAlign w:val="bottom"/>
            <w:shd w:val="clear" w:color="auto" w:fill="D47C18"/>
          </w:tcPr>
          <w:p>
            <w:pPr>
              <w:spacing w:after="0"/>
              <w:rPr>
                <w:sz w:val="17"/>
                <w:szCs w:val="17"/>
                <w:color w:val="auto"/>
              </w:rPr>
            </w:pPr>
          </w:p>
        </w:tc>
        <w:tc>
          <w:tcPr>
            <w:tcW w:w="20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5260" w:type="dxa"/>
            <w:vAlign w:val="bottom"/>
            <w:tcBorders>
              <w:left w:val="single" w:sz="8" w:color="D47C18"/>
            </w:tcBorders>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00" w:type="dxa"/>
            <w:vAlign w:val="bottom"/>
            <w:tcBorders>
              <w:bottom w:val="single" w:sz="8" w:color="D47C18"/>
            </w:tcBorders>
          </w:tcPr>
          <w:p>
            <w:pPr>
              <w:spacing w:after="0"/>
              <w:rPr>
                <w:sz w:val="6"/>
                <w:szCs w:val="6"/>
                <w:color w:val="auto"/>
              </w:rPr>
            </w:pPr>
          </w:p>
        </w:tc>
        <w:tc>
          <w:tcPr>
            <w:tcW w:w="40" w:type="dxa"/>
            <w:vAlign w:val="bottom"/>
            <w:tcBorders>
              <w:bottom w:val="single" w:sz="8" w:color="D47C18"/>
            </w:tcBorders>
            <w:shd w:val="clear" w:color="auto" w:fill="D47C18"/>
          </w:tcPr>
          <w:p>
            <w:pPr>
              <w:spacing w:after="0"/>
              <w:rPr>
                <w:sz w:val="6"/>
                <w:szCs w:val="6"/>
                <w:color w:val="auto"/>
              </w:rPr>
            </w:pPr>
          </w:p>
        </w:tc>
        <w:tc>
          <w:tcPr>
            <w:tcW w:w="2020" w:type="dxa"/>
            <w:vAlign w:val="bottom"/>
            <w:tcBorders>
              <w:bottom w:val="single" w:sz="8" w:color="D47C18"/>
            </w:tcBorders>
          </w:tcPr>
          <w:p>
            <w:pPr>
              <w:spacing w:after="0"/>
              <w:rPr>
                <w:sz w:val="6"/>
                <w:szCs w:val="6"/>
                <w:color w:val="auto"/>
              </w:rPr>
            </w:pPr>
          </w:p>
        </w:tc>
        <w:tc>
          <w:tcPr>
            <w:tcW w:w="40" w:type="dxa"/>
            <w:vAlign w:val="bottom"/>
            <w:tcBorders>
              <w:bottom w:val="single" w:sz="8" w:color="D47C18"/>
            </w:tcBorders>
          </w:tcPr>
          <w:p>
            <w:pPr>
              <w:spacing w:after="0"/>
              <w:rPr>
                <w:sz w:val="6"/>
                <w:szCs w:val="6"/>
                <w:color w:val="auto"/>
              </w:rPr>
            </w:pPr>
          </w:p>
        </w:tc>
        <w:tc>
          <w:tcPr>
            <w:tcW w:w="5260" w:type="dxa"/>
            <w:vAlign w:val="bottom"/>
            <w:tcBorders>
              <w:left w:val="single" w:sz="8" w:color="D47C18"/>
              <w:bottom w:val="single" w:sz="8" w:color="D47C18"/>
            </w:tcBorders>
          </w:tcPr>
          <w:p>
            <w:pPr>
              <w:spacing w:after="0"/>
              <w:rPr>
                <w:sz w:val="6"/>
                <w:szCs w:val="6"/>
                <w:color w:val="auto"/>
              </w:rPr>
            </w:pPr>
          </w:p>
        </w:tc>
        <w:tc>
          <w:tcPr>
            <w:tcW w:w="0" w:type="dxa"/>
            <w:vAlign w:val="bottom"/>
          </w:tcPr>
          <w:p>
            <w:pPr>
              <w:spacing w:after="0"/>
              <w:rPr>
                <w:sz w:val="1"/>
                <w:szCs w:val="1"/>
                <w:color w:val="auto"/>
              </w:rPr>
            </w:pPr>
          </w:p>
        </w:tc>
      </w:tr>
      <w:tr>
        <w:trPr>
          <w:trHeight w:val="551"/>
        </w:trPr>
        <w:tc>
          <w:tcPr>
            <w:tcW w:w="2000" w:type="dxa"/>
            <w:vAlign w:val="bottom"/>
          </w:tcPr>
          <w:p>
            <w:pPr>
              <w:jc w:val="right"/>
              <w:ind w:right="268"/>
              <w:spacing w:after="0"/>
              <w:rPr>
                <w:sz w:val="20"/>
                <w:szCs w:val="20"/>
                <w:color w:val="auto"/>
              </w:rPr>
            </w:pPr>
            <w:r>
              <w:rPr>
                <w:rFonts w:ascii="Arial" w:cs="Arial" w:eastAsia="Arial" w:hAnsi="Arial"/>
                <w:sz w:val="38"/>
                <w:szCs w:val="38"/>
                <w:color w:val="auto"/>
              </w:rPr>
              <w:t>41%</w:t>
            </w:r>
          </w:p>
        </w:tc>
        <w:tc>
          <w:tcPr>
            <w:tcW w:w="40" w:type="dxa"/>
            <w:vAlign w:val="bottom"/>
            <w:tcBorders>
              <w:bottom w:val="single" w:sz="8" w:color="D47C18"/>
            </w:tcBorders>
            <w:shd w:val="clear" w:color="auto" w:fill="D47C18"/>
          </w:tcPr>
          <w:p>
            <w:pPr>
              <w:spacing w:after="0"/>
              <w:rPr>
                <w:sz w:val="24"/>
                <w:szCs w:val="24"/>
                <w:color w:val="auto"/>
              </w:rPr>
            </w:pPr>
          </w:p>
        </w:tc>
        <w:tc>
          <w:tcPr>
            <w:tcW w:w="2020" w:type="dxa"/>
            <w:vAlign w:val="bottom"/>
          </w:tcPr>
          <w:p>
            <w:pPr>
              <w:jc w:val="right"/>
              <w:ind w:right="294"/>
              <w:spacing w:after="0"/>
              <w:rPr>
                <w:sz w:val="20"/>
                <w:szCs w:val="20"/>
                <w:color w:val="auto"/>
              </w:rPr>
            </w:pPr>
            <w:r>
              <w:rPr>
                <w:rFonts w:ascii="Arial" w:cs="Arial" w:eastAsia="Arial" w:hAnsi="Arial"/>
                <w:sz w:val="38"/>
                <w:szCs w:val="38"/>
                <w:color w:val="auto"/>
              </w:rPr>
              <w:t>13%</w:t>
            </w:r>
          </w:p>
        </w:tc>
        <w:tc>
          <w:tcPr>
            <w:tcW w:w="40" w:type="dxa"/>
            <w:vAlign w:val="bottom"/>
            <w:tcBorders>
              <w:bottom w:val="single" w:sz="8" w:color="D47C18"/>
            </w:tcBorders>
            <w:shd w:val="clear" w:color="auto" w:fill="D47C18"/>
          </w:tcPr>
          <w:p>
            <w:pPr>
              <w:spacing w:after="0"/>
              <w:rPr>
                <w:sz w:val="24"/>
                <w:szCs w:val="24"/>
                <w:color w:val="auto"/>
              </w:rPr>
            </w:pPr>
          </w:p>
        </w:tc>
        <w:tc>
          <w:tcPr>
            <w:tcW w:w="5260" w:type="dxa"/>
            <w:vAlign w:val="bottom"/>
            <w:tcBorders>
              <w:left w:val="single" w:sz="8" w:color="D47C18"/>
            </w:tcBorders>
            <w:vMerge w:val="restart"/>
          </w:tcPr>
          <w:p>
            <w:pPr>
              <w:ind w:left="360"/>
              <w:spacing w:after="0"/>
              <w:rPr>
                <w:sz w:val="20"/>
                <w:szCs w:val="20"/>
                <w:color w:val="auto"/>
              </w:rPr>
            </w:pPr>
            <w:r>
              <w:rPr>
                <w:rFonts w:ascii="Arial" w:cs="Arial" w:eastAsia="Arial" w:hAnsi="Arial"/>
                <w:sz w:val="41"/>
                <w:szCs w:val="41"/>
                <w:b w:val="1"/>
                <w:bCs w:val="1"/>
                <w:color w:val="auto"/>
              </w:rPr>
              <w:t xml:space="preserve">OUP </w:t>
            </w:r>
            <w:r>
              <w:rPr>
                <w:rFonts w:ascii="Arial" w:cs="Arial" w:eastAsia="Arial" w:hAnsi="Arial"/>
                <w:sz w:val="44"/>
                <w:szCs w:val="44"/>
                <w:b w:val="1"/>
                <w:bCs w:val="1"/>
                <w:color w:val="5F81AA"/>
              </w:rPr>
              <w:t>$43M</w:t>
            </w:r>
          </w:p>
        </w:tc>
        <w:tc>
          <w:tcPr>
            <w:tcW w:w="0" w:type="dxa"/>
            <w:vAlign w:val="bottom"/>
          </w:tcPr>
          <w:p>
            <w:pPr>
              <w:spacing w:after="0"/>
              <w:rPr>
                <w:sz w:val="1"/>
                <w:szCs w:val="1"/>
                <w:color w:val="auto"/>
              </w:rPr>
            </w:pPr>
          </w:p>
        </w:tc>
      </w:tr>
      <w:tr>
        <w:trPr>
          <w:trHeight w:val="265"/>
        </w:trPr>
        <w:tc>
          <w:tcPr>
            <w:tcW w:w="2000" w:type="dxa"/>
            <w:vAlign w:val="bottom"/>
            <w:vMerge w:val="restart"/>
          </w:tcPr>
          <w:p>
            <w:pPr>
              <w:jc w:val="center"/>
              <w:ind w:left="208"/>
              <w:spacing w:after="0"/>
              <w:rPr>
                <w:sz w:val="20"/>
                <w:szCs w:val="20"/>
                <w:color w:val="auto"/>
              </w:rPr>
            </w:pPr>
            <w:r>
              <w:rPr>
                <w:rFonts w:ascii="Arial" w:cs="Arial" w:eastAsia="Arial" w:hAnsi="Arial"/>
                <w:sz w:val="38"/>
                <w:szCs w:val="38"/>
                <w:color w:val="auto"/>
              </w:rPr>
              <w:t>42% CC</w:t>
            </w:r>
          </w:p>
        </w:tc>
        <w:tc>
          <w:tcPr>
            <w:tcW w:w="40" w:type="dxa"/>
            <w:vAlign w:val="bottom"/>
            <w:shd w:val="clear" w:color="auto" w:fill="D47C18"/>
          </w:tcPr>
          <w:p>
            <w:pPr>
              <w:spacing w:after="0"/>
              <w:rPr>
                <w:sz w:val="23"/>
                <w:szCs w:val="23"/>
                <w:color w:val="auto"/>
              </w:rPr>
            </w:pPr>
          </w:p>
        </w:tc>
        <w:tc>
          <w:tcPr>
            <w:tcW w:w="2020" w:type="dxa"/>
            <w:vAlign w:val="bottom"/>
            <w:vMerge w:val="restart"/>
          </w:tcPr>
          <w:p>
            <w:pPr>
              <w:jc w:val="center"/>
              <w:ind w:left="194"/>
              <w:spacing w:after="0"/>
              <w:rPr>
                <w:sz w:val="20"/>
                <w:szCs w:val="20"/>
                <w:color w:val="auto"/>
              </w:rPr>
            </w:pPr>
            <w:r>
              <w:rPr>
                <w:rFonts w:ascii="Arial" w:cs="Arial" w:eastAsia="Arial" w:hAnsi="Arial"/>
                <w:sz w:val="38"/>
                <w:szCs w:val="38"/>
                <w:color w:val="auto"/>
              </w:rPr>
              <w:t>14% CC</w:t>
            </w:r>
          </w:p>
        </w:tc>
        <w:tc>
          <w:tcPr>
            <w:tcW w:w="40" w:type="dxa"/>
            <w:vAlign w:val="bottom"/>
          </w:tcPr>
          <w:p>
            <w:pPr>
              <w:spacing w:after="0"/>
              <w:rPr>
                <w:sz w:val="23"/>
                <w:szCs w:val="23"/>
                <w:color w:val="auto"/>
              </w:rPr>
            </w:pPr>
          </w:p>
        </w:tc>
        <w:tc>
          <w:tcPr>
            <w:tcW w:w="5260" w:type="dxa"/>
            <w:vAlign w:val="bottom"/>
            <w:tcBorders>
              <w:left w:val="single" w:sz="8" w:color="D47C18"/>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00" w:type="dxa"/>
            <w:vAlign w:val="bottom"/>
            <w:vMerge w:val="continue"/>
          </w:tcPr>
          <w:p>
            <w:pPr>
              <w:spacing w:after="0"/>
              <w:rPr>
                <w:sz w:val="21"/>
                <w:szCs w:val="21"/>
                <w:color w:val="auto"/>
              </w:rPr>
            </w:pPr>
          </w:p>
        </w:tc>
        <w:tc>
          <w:tcPr>
            <w:tcW w:w="40" w:type="dxa"/>
            <w:vAlign w:val="bottom"/>
            <w:shd w:val="clear" w:color="auto" w:fill="D47C18"/>
          </w:tcPr>
          <w:p>
            <w:pPr>
              <w:spacing w:after="0"/>
              <w:rPr>
                <w:sz w:val="21"/>
                <w:szCs w:val="21"/>
                <w:color w:val="auto"/>
              </w:rPr>
            </w:pPr>
          </w:p>
        </w:tc>
        <w:tc>
          <w:tcPr>
            <w:tcW w:w="20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5260" w:type="dxa"/>
            <w:vAlign w:val="bottom"/>
            <w:tcBorders>
              <w:left w:val="single" w:sz="8" w:color="D47C18"/>
            </w:tcBorders>
          </w:tcPr>
          <w:p>
            <w:pPr>
              <w:spacing w:after="0"/>
              <w:rPr>
                <w:sz w:val="21"/>
                <w:szCs w:val="21"/>
                <w:color w:val="auto"/>
              </w:rPr>
            </w:pPr>
          </w:p>
        </w:tc>
        <w:tc>
          <w:tcPr>
            <w:tcW w:w="0" w:type="dxa"/>
            <w:vAlign w:val="bottom"/>
          </w:tcPr>
          <w:p>
            <w:pPr>
              <w:spacing w:after="0"/>
              <w:rPr>
                <w:sz w:val="1"/>
                <w:szCs w:val="1"/>
                <w:color w:val="auto"/>
              </w:rPr>
            </w:pPr>
          </w:p>
        </w:tc>
      </w:tr>
      <w:tr>
        <w:trPr>
          <w:trHeight w:val="44"/>
        </w:trPr>
        <w:tc>
          <w:tcPr>
            <w:tcW w:w="2000" w:type="dxa"/>
            <w:vAlign w:val="bottom"/>
            <w:tcBorders>
              <w:bottom w:val="single" w:sz="8" w:color="D47C18"/>
            </w:tcBorders>
          </w:tcPr>
          <w:p>
            <w:pPr>
              <w:spacing w:after="0"/>
              <w:rPr>
                <w:sz w:val="3"/>
                <w:szCs w:val="3"/>
                <w:color w:val="auto"/>
              </w:rPr>
            </w:pPr>
          </w:p>
        </w:tc>
        <w:tc>
          <w:tcPr>
            <w:tcW w:w="40" w:type="dxa"/>
            <w:vAlign w:val="bottom"/>
            <w:tcBorders>
              <w:bottom w:val="single" w:sz="8" w:color="D47C18"/>
            </w:tcBorders>
            <w:shd w:val="clear" w:color="auto" w:fill="D47C18"/>
          </w:tcPr>
          <w:p>
            <w:pPr>
              <w:spacing w:after="0"/>
              <w:rPr>
                <w:sz w:val="3"/>
                <w:szCs w:val="3"/>
                <w:color w:val="auto"/>
              </w:rPr>
            </w:pPr>
          </w:p>
        </w:tc>
        <w:tc>
          <w:tcPr>
            <w:tcW w:w="2020" w:type="dxa"/>
            <w:vAlign w:val="bottom"/>
            <w:tcBorders>
              <w:bottom w:val="single" w:sz="8" w:color="D47C18"/>
            </w:tcBorders>
          </w:tcPr>
          <w:p>
            <w:pPr>
              <w:spacing w:after="0"/>
              <w:rPr>
                <w:sz w:val="3"/>
                <w:szCs w:val="3"/>
                <w:color w:val="auto"/>
              </w:rPr>
            </w:pPr>
          </w:p>
        </w:tc>
        <w:tc>
          <w:tcPr>
            <w:tcW w:w="40" w:type="dxa"/>
            <w:vAlign w:val="bottom"/>
            <w:tcBorders>
              <w:bottom w:val="single" w:sz="8" w:color="D47C18"/>
            </w:tcBorders>
          </w:tcPr>
          <w:p>
            <w:pPr>
              <w:spacing w:after="0"/>
              <w:rPr>
                <w:sz w:val="3"/>
                <w:szCs w:val="3"/>
                <w:color w:val="auto"/>
              </w:rPr>
            </w:pPr>
          </w:p>
        </w:tc>
        <w:tc>
          <w:tcPr>
            <w:tcW w:w="5260" w:type="dxa"/>
            <w:vAlign w:val="bottom"/>
            <w:tcBorders>
              <w:left w:val="single" w:sz="8" w:color="D47C18"/>
              <w:bottom w:val="single" w:sz="8" w:color="D47C18"/>
            </w:tcBorders>
          </w:tcPr>
          <w:p>
            <w:pPr>
              <w:spacing w:after="0"/>
              <w:rPr>
                <w:sz w:val="3"/>
                <w:szCs w:val="3"/>
                <w:color w:val="auto"/>
              </w:rPr>
            </w:pPr>
          </w:p>
        </w:tc>
        <w:tc>
          <w:tcPr>
            <w:tcW w:w="0" w:type="dxa"/>
            <w:vAlign w:val="bottom"/>
          </w:tcPr>
          <w:p>
            <w:pPr>
              <w:spacing w:after="0"/>
              <w:rPr>
                <w:sz w:val="1"/>
                <w:szCs w:val="1"/>
                <w:color w:val="auto"/>
              </w:rPr>
            </w:pPr>
          </w:p>
        </w:tc>
      </w:tr>
      <w:tr>
        <w:trPr>
          <w:trHeight w:val="800"/>
        </w:trPr>
        <w:tc>
          <w:tcPr>
            <w:tcW w:w="2000" w:type="dxa"/>
            <w:vAlign w:val="bottom"/>
          </w:tcPr>
          <w:p>
            <w:pPr>
              <w:jc w:val="center"/>
              <w:ind w:left="208"/>
              <w:spacing w:after="0"/>
              <w:rPr>
                <w:sz w:val="20"/>
                <w:szCs w:val="20"/>
                <w:color w:val="auto"/>
              </w:rPr>
            </w:pPr>
            <w:r>
              <w:rPr>
                <w:rFonts w:ascii="Arial" w:cs="Arial" w:eastAsia="Arial" w:hAnsi="Arial"/>
                <w:sz w:val="38"/>
                <w:szCs w:val="38"/>
                <w:color w:val="auto"/>
                <w:w w:val="99"/>
              </w:rPr>
              <w:t>50 bps</w:t>
            </w:r>
          </w:p>
        </w:tc>
        <w:tc>
          <w:tcPr>
            <w:tcW w:w="40" w:type="dxa"/>
            <w:vAlign w:val="bottom"/>
            <w:shd w:val="clear" w:color="auto" w:fill="D47C18"/>
          </w:tcPr>
          <w:p>
            <w:pPr>
              <w:spacing w:after="0"/>
              <w:rPr>
                <w:sz w:val="24"/>
                <w:szCs w:val="24"/>
                <w:color w:val="auto"/>
              </w:rPr>
            </w:pPr>
          </w:p>
        </w:tc>
        <w:tc>
          <w:tcPr>
            <w:tcW w:w="2020" w:type="dxa"/>
            <w:vAlign w:val="bottom"/>
          </w:tcPr>
          <w:p>
            <w:pPr>
              <w:jc w:val="center"/>
              <w:ind w:left="194"/>
              <w:spacing w:after="0"/>
              <w:rPr>
                <w:sz w:val="20"/>
                <w:szCs w:val="20"/>
                <w:color w:val="auto"/>
              </w:rPr>
            </w:pPr>
            <w:r>
              <w:rPr>
                <w:rFonts w:ascii="Arial" w:cs="Arial" w:eastAsia="Arial" w:hAnsi="Arial"/>
                <w:sz w:val="38"/>
                <w:szCs w:val="38"/>
                <w:color w:val="auto"/>
                <w:w w:val="99"/>
              </w:rPr>
              <w:t>10 bps</w:t>
            </w:r>
          </w:p>
        </w:tc>
        <w:tc>
          <w:tcPr>
            <w:tcW w:w="40" w:type="dxa"/>
            <w:vAlign w:val="bottom"/>
            <w:shd w:val="clear" w:color="auto" w:fill="D47C18"/>
          </w:tcPr>
          <w:p>
            <w:pPr>
              <w:spacing w:after="0"/>
              <w:rPr>
                <w:sz w:val="24"/>
                <w:szCs w:val="24"/>
                <w:color w:val="auto"/>
              </w:rPr>
            </w:pPr>
          </w:p>
        </w:tc>
        <w:tc>
          <w:tcPr>
            <w:tcW w:w="5260" w:type="dxa"/>
            <w:vAlign w:val="bottom"/>
          </w:tcPr>
          <w:p>
            <w:pPr>
              <w:ind w:left="320"/>
              <w:spacing w:after="0"/>
              <w:rPr>
                <w:sz w:val="20"/>
                <w:szCs w:val="20"/>
                <w:color w:val="auto"/>
              </w:rPr>
            </w:pPr>
            <w:r>
              <w:rPr>
                <w:rFonts w:ascii="Arial" w:cs="Arial" w:eastAsia="Arial" w:hAnsi="Arial"/>
                <w:sz w:val="41"/>
                <w:szCs w:val="41"/>
                <w:b w:val="1"/>
                <w:bCs w:val="1"/>
                <w:color w:val="auto"/>
              </w:rPr>
              <w:t xml:space="preserve">OUP Margin </w:t>
            </w:r>
            <w:r>
              <w:rPr>
                <w:rFonts w:ascii="Arial" w:cs="Arial" w:eastAsia="Arial" w:hAnsi="Arial"/>
                <w:sz w:val="44"/>
                <w:szCs w:val="44"/>
                <w:b w:val="1"/>
                <w:bCs w:val="1"/>
                <w:color w:val="5F81AA"/>
              </w:rPr>
              <w:t>2.1%</w:t>
            </w:r>
          </w:p>
        </w:tc>
        <w:tc>
          <w:tcPr>
            <w:tcW w:w="0" w:type="dxa"/>
            <w:vAlign w:val="bottom"/>
          </w:tcPr>
          <w:p>
            <w:pPr>
              <w:spacing w:after="0"/>
              <w:rPr>
                <w:sz w:val="1"/>
                <w:szCs w:val="1"/>
                <w:color w:val="auto"/>
              </w:rPr>
            </w:pPr>
          </w:p>
        </w:tc>
      </w:tr>
      <w:tr>
        <w:trPr>
          <w:trHeight w:val="223"/>
        </w:trPr>
        <w:tc>
          <w:tcPr>
            <w:tcW w:w="2000" w:type="dxa"/>
            <w:vAlign w:val="bottom"/>
          </w:tcPr>
          <w:p>
            <w:pPr>
              <w:spacing w:after="0"/>
              <w:rPr>
                <w:sz w:val="19"/>
                <w:szCs w:val="19"/>
                <w:color w:val="auto"/>
              </w:rPr>
            </w:pPr>
          </w:p>
        </w:tc>
        <w:tc>
          <w:tcPr>
            <w:tcW w:w="40" w:type="dxa"/>
            <w:vAlign w:val="bottom"/>
            <w:shd w:val="clear" w:color="auto" w:fill="D47C18"/>
          </w:tcPr>
          <w:p>
            <w:pPr>
              <w:spacing w:after="0"/>
              <w:rPr>
                <w:sz w:val="19"/>
                <w:szCs w:val="19"/>
                <w:color w:val="auto"/>
              </w:rPr>
            </w:pPr>
          </w:p>
        </w:tc>
        <w:tc>
          <w:tcPr>
            <w:tcW w:w="2020" w:type="dxa"/>
            <w:vAlign w:val="bottom"/>
          </w:tcPr>
          <w:p>
            <w:pPr>
              <w:spacing w:after="0"/>
              <w:rPr>
                <w:sz w:val="19"/>
                <w:szCs w:val="19"/>
                <w:color w:val="auto"/>
              </w:rPr>
            </w:pPr>
          </w:p>
        </w:tc>
        <w:tc>
          <w:tcPr>
            <w:tcW w:w="40" w:type="dxa"/>
            <w:vAlign w:val="bottom"/>
            <w:shd w:val="clear" w:color="auto" w:fill="D47C18"/>
          </w:tcPr>
          <w:p>
            <w:pPr>
              <w:spacing w:after="0"/>
              <w:rPr>
                <w:sz w:val="19"/>
                <w:szCs w:val="19"/>
                <w:color w:val="auto"/>
              </w:rPr>
            </w:pPr>
          </w:p>
        </w:tc>
        <w:tc>
          <w:tcPr>
            <w:tcW w:w="5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840" w:hanging="310"/>
        <w:spacing w:after="0"/>
        <w:tabs>
          <w:tab w:leader="none" w:pos="840" w:val="left"/>
        </w:tabs>
        <w:numPr>
          <w:ilvl w:val="0"/>
          <w:numId w:val="9"/>
        </w:numPr>
        <w:rPr>
          <w:rFonts w:ascii="Arial" w:cs="Arial" w:eastAsia="Arial" w:hAnsi="Arial"/>
          <w:sz w:val="27"/>
          <w:szCs w:val="27"/>
          <w:color w:val="auto"/>
          <w:vertAlign w:val="superscript"/>
        </w:rPr>
      </w:pPr>
      <w:r>
        <w:rPr>
          <w:rFonts w:ascii="Arial" w:cs="Arial" w:eastAsia="Arial" w:hAnsi="Arial"/>
          <w:sz w:val="19"/>
          <w:szCs w:val="19"/>
          <w:color w:val="auto"/>
        </w:rPr>
        <w:t>Included in these amounts is France, which had revenue of $1.5B (+6% CC) and OUP of $21M (+72% CC).</w:t>
      </w:r>
    </w:p>
    <w:p>
      <w:pPr>
        <w:spacing w:after="0" w:line="69" w:lineRule="exact"/>
        <w:rPr>
          <w:rFonts w:ascii="Arial" w:cs="Arial" w:eastAsia="Arial" w:hAnsi="Arial"/>
          <w:sz w:val="27"/>
          <w:szCs w:val="27"/>
          <w:color w:val="auto"/>
          <w:vertAlign w:val="superscript"/>
        </w:rPr>
      </w:pPr>
    </w:p>
    <w:p>
      <w:pPr>
        <w:ind w:left="800" w:hanging="270"/>
        <w:spacing w:after="0" w:line="183" w:lineRule="auto"/>
        <w:tabs>
          <w:tab w:leader="none" w:pos="800" w:val="left"/>
        </w:tabs>
        <w:numPr>
          <w:ilvl w:val="0"/>
          <w:numId w:val="9"/>
        </w:numPr>
        <w:rPr>
          <w:rFonts w:ascii="Arial" w:cs="Arial" w:eastAsia="Arial" w:hAnsi="Arial"/>
          <w:sz w:val="26"/>
          <w:szCs w:val="26"/>
          <w:color w:val="auto"/>
          <w:vertAlign w:val="superscript"/>
        </w:rPr>
      </w:pPr>
      <w:r>
        <w:rPr>
          <w:rFonts w:ascii="Arial" w:cs="Arial" w:eastAsia="Arial" w:hAnsi="Arial"/>
          <w:sz w:val="18"/>
          <w:szCs w:val="18"/>
          <w:color w:val="auto"/>
        </w:rPr>
        <w:t>On an organic basis, revenue increased 4% (5% in CC).</w:t>
      </w:r>
    </w:p>
    <w:p>
      <w:pPr>
        <w:spacing w:after="0" w:line="69" w:lineRule="exact"/>
        <w:rPr>
          <w:rFonts w:ascii="Arial" w:cs="Arial" w:eastAsia="Arial" w:hAnsi="Arial"/>
          <w:sz w:val="26"/>
          <w:szCs w:val="26"/>
          <w:color w:val="auto"/>
          <w:vertAlign w:val="superscript"/>
        </w:rPr>
      </w:pPr>
    </w:p>
    <w:p>
      <w:pPr>
        <w:ind w:left="800" w:hanging="270"/>
        <w:spacing w:after="0" w:line="183" w:lineRule="auto"/>
        <w:tabs>
          <w:tab w:leader="none" w:pos="800" w:val="left"/>
        </w:tabs>
        <w:numPr>
          <w:ilvl w:val="0"/>
          <w:numId w:val="9"/>
        </w:numPr>
        <w:rPr>
          <w:rFonts w:ascii="Arial" w:cs="Arial" w:eastAsia="Arial" w:hAnsi="Arial"/>
          <w:sz w:val="26"/>
          <w:szCs w:val="26"/>
          <w:color w:val="auto"/>
          <w:vertAlign w:val="superscript"/>
        </w:rPr>
      </w:pPr>
      <w:r>
        <w:rPr>
          <w:rFonts w:ascii="Arial" w:cs="Arial" w:eastAsia="Arial" w:hAnsi="Arial"/>
          <w:sz w:val="18"/>
          <w:szCs w:val="18"/>
          <w:color w:val="auto"/>
        </w:rPr>
        <w:t>Excludes the impact of reorganization charges of $7.6M in 2010.</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429895</wp:posOffset>
            </wp:positionV>
            <wp:extent cx="726821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420"/>
          </w:cols>
          <w:pgMar w:left="680" w:top="449" w:right="799" w:bottom="1440" w:gutter="0" w:footer="0" w:header="0"/>
          <w:type w:val="continuous"/>
        </w:sectPr>
      </w:pPr>
    </w:p>
    <w:bookmarkStart w:id="21" w:name="page22"/>
    <w:bookmarkEnd w:id="21"/>
    <w:p>
      <w:pPr>
        <w:ind w:right="3260"/>
        <w:spacing w:after="0" w:line="289" w:lineRule="auto"/>
        <w:rPr>
          <w:sz w:val="20"/>
          <w:szCs w:val="20"/>
          <w:color w:val="auto"/>
        </w:rPr>
      </w:pPr>
      <w:r>
        <w:rPr>
          <w:rFonts w:ascii="Arial" w:cs="Arial" w:eastAsia="Arial" w:hAnsi="Arial"/>
          <w:sz w:val="25"/>
          <w:szCs w:val="25"/>
          <w:b w:val="1"/>
          <w:bCs w:val="1"/>
          <w:color w:val="FFFFFF"/>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2011 4</w:t>
      </w:r>
      <w:r>
        <w:rPr>
          <w:rFonts w:ascii="Arial" w:cs="Arial" w:eastAsia="Arial" w:hAnsi="Arial"/>
          <w:sz w:val="17"/>
          <w:szCs w:val="17"/>
          <w:b w:val="1"/>
          <w:bCs w:val="1"/>
          <w:color w:val="FFFFFF"/>
        </w:rPr>
        <w:t>th</w:t>
      </w:r>
      <w:r>
        <w:rPr>
          <w:rFonts w:ascii="Arial" w:cs="Arial" w:eastAsia="Arial" w:hAnsi="Arial"/>
          <w:sz w:val="25"/>
          <w:szCs w:val="25"/>
          <w:b w:val="1"/>
          <w:bCs w:val="1"/>
          <w:color w:val="FFFFFF"/>
        </w:rPr>
        <w:t xml:space="preserve"> Quarter Results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February</w:t>
      </w:r>
    </w:p>
    <w:p>
      <w:pPr>
        <w:spacing w:after="0" w:line="604" w:lineRule="exact"/>
        <w:rPr>
          <w:sz w:val="20"/>
          <w:szCs w:val="20"/>
          <w:color w:val="auto"/>
        </w:rPr>
      </w:pPr>
    </w:p>
    <w:p>
      <w:pPr>
        <w:sectPr>
          <w:pgSz w:w="11900" w:h="16838" w:orient="portrait"/>
          <w:cols w:equalWidth="0" w:num="2">
            <w:col w:w="8340" w:space="720"/>
            <w:col w:w="1360"/>
          </w:cols>
          <w:pgMar w:left="680" w:top="449" w:right="799" w:bottom="1440" w:gutter="0" w:footer="0" w:header="0"/>
        </w:sectPr>
      </w:pPr>
    </w:p>
    <w:p>
      <w:pPr>
        <w:spacing w:after="0" w:line="61" w:lineRule="exact"/>
        <w:rPr>
          <w:sz w:val="20"/>
          <w:szCs w:val="20"/>
          <w:color w:val="auto"/>
        </w:rPr>
      </w:pPr>
    </w:p>
    <w:p>
      <w:pPr>
        <w:ind w:left="100"/>
        <w:spacing w:after="0"/>
        <w:rPr>
          <w:sz w:val="20"/>
          <w:szCs w:val="20"/>
          <w:color w:val="auto"/>
        </w:rPr>
      </w:pPr>
      <w:r>
        <w:rPr>
          <w:rFonts w:ascii="Arial" w:cs="Arial" w:eastAsia="Arial" w:hAnsi="Arial"/>
          <w:sz w:val="50"/>
          <w:szCs w:val="50"/>
          <w:color w:val="5F81AA"/>
        </w:rPr>
        <w:t>Southern Europe - Q4 Revenue Growth YoY</w:t>
      </w:r>
    </w:p>
    <w:p>
      <w:pPr>
        <w:spacing w:after="0" w:line="200" w:lineRule="exact"/>
        <w:rPr>
          <w:sz w:val="20"/>
          <w:szCs w:val="20"/>
          <w:color w:val="auto"/>
        </w:rPr>
      </w:pPr>
    </w:p>
    <w:p>
      <w:pPr>
        <w:spacing w:after="0" w:line="344" w:lineRule="exact"/>
        <w:rPr>
          <w:sz w:val="20"/>
          <w:szCs w:val="20"/>
          <w:color w:val="auto"/>
        </w:rPr>
      </w:pPr>
    </w:p>
    <w:p>
      <w:pPr>
        <w:ind w:left="400" w:right="8720" w:hanging="282"/>
        <w:spacing w:after="0" w:line="282" w:lineRule="auto"/>
        <w:tabs>
          <w:tab w:leader="none" w:pos="387" w:val="left"/>
        </w:tabs>
        <w:numPr>
          <w:ilvl w:val="0"/>
          <w:numId w:val="10"/>
        </w:numPr>
        <w:rPr>
          <w:rFonts w:ascii="Arial" w:cs="Arial" w:eastAsia="Arial" w:hAnsi="Arial"/>
          <w:sz w:val="24"/>
          <w:szCs w:val="24"/>
          <w:b w:val="1"/>
          <w:bCs w:val="1"/>
          <w:color w:val="auto"/>
        </w:rPr>
      </w:pPr>
      <w:r>
        <w:rPr>
          <w:rFonts w:ascii="Arial" w:cs="Arial" w:eastAsia="Arial" w:hAnsi="Arial"/>
          <w:sz w:val="24"/>
          <w:szCs w:val="24"/>
          <w:b w:val="1"/>
          <w:bCs w:val="1"/>
          <w:color w:val="auto"/>
        </w:rPr>
        <w:t>of Segment Revenue</w:t>
      </w:r>
    </w:p>
    <w:p>
      <w:pPr>
        <w:spacing w:after="0" w:line="361" w:lineRule="exact"/>
        <w:rPr>
          <w:sz w:val="20"/>
          <w:szCs w:val="20"/>
          <w:color w:val="auto"/>
        </w:rPr>
      </w:pPr>
    </w:p>
    <w:p>
      <w:pPr>
        <w:ind w:left="680"/>
        <w:spacing w:after="0"/>
        <w:rPr>
          <w:sz w:val="20"/>
          <w:szCs w:val="20"/>
          <w:color w:val="auto"/>
        </w:rPr>
      </w:pPr>
      <w:r>
        <w:rPr>
          <w:rFonts w:ascii="Arial" w:cs="Arial" w:eastAsia="Arial" w:hAnsi="Arial"/>
          <w:sz w:val="29"/>
          <w:szCs w:val="29"/>
          <w:b w:val="1"/>
          <w:bCs w:val="1"/>
          <w:color w:val="6698C2"/>
        </w:rPr>
        <w:t>75%</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29"/>
          <w:szCs w:val="29"/>
          <w:b w:val="1"/>
          <w:bCs w:val="1"/>
          <w:color w:val="6698C2"/>
        </w:rPr>
        <w:t>15%</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20"/>
        <w:spacing w:after="0"/>
        <w:rPr>
          <w:sz w:val="20"/>
          <w:szCs w:val="20"/>
          <w:color w:val="auto"/>
        </w:rPr>
      </w:pPr>
      <w:r>
        <w:rPr>
          <w:rFonts w:ascii="Arial" w:cs="Arial" w:eastAsia="Arial" w:hAnsi="Arial"/>
          <w:sz w:val="29"/>
          <w:szCs w:val="29"/>
          <w:b w:val="1"/>
          <w:bCs w:val="1"/>
          <w:color w:val="6698C2"/>
        </w:rPr>
        <w:t>5%</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740"/>
        <w:spacing w:after="0"/>
        <w:rPr>
          <w:sz w:val="20"/>
          <w:szCs w:val="20"/>
          <w:color w:val="auto"/>
        </w:rPr>
      </w:pPr>
      <w:r>
        <w:rPr>
          <w:rFonts w:ascii="Arial" w:cs="Arial" w:eastAsia="Arial" w:hAnsi="Arial"/>
          <w:sz w:val="29"/>
          <w:szCs w:val="29"/>
          <w:b w:val="1"/>
          <w:bCs w:val="1"/>
          <w:color w:val="6698C2"/>
        </w:rPr>
        <w:t>5%</w:t>
      </w:r>
    </w:p>
    <w:p>
      <w:pPr>
        <w:sectPr>
          <w:pgSz w:w="11900" w:h="16838" w:orient="portrait"/>
          <w:cols w:equalWidth="0" w:num="1">
            <w:col w:w="10420"/>
          </w:cols>
          <w:pgMar w:left="680" w:top="449"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Revenue</w:t>
      </w:r>
    </w:p>
    <w:p>
      <w:pPr>
        <w:spacing w:after="0" w:line="37"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Growth - CC</w:t>
      </w:r>
    </w:p>
    <w:p>
      <w:pPr>
        <w:spacing w:after="0" w:line="290" w:lineRule="exact"/>
        <w:rPr>
          <w:sz w:val="20"/>
          <w:szCs w:val="20"/>
          <w:color w:val="auto"/>
        </w:rPr>
      </w:pPr>
    </w:p>
    <w:p>
      <w:pPr>
        <w:sectPr>
          <w:pgSz w:w="11900" w:h="16838" w:orient="portrait"/>
          <w:cols w:equalWidth="0" w:num="2">
            <w:col w:w="4820" w:space="720"/>
            <w:col w:w="4880"/>
          </w:cols>
          <w:pgMar w:left="680" w:top="449" w:right="799" w:bottom="1440" w:gutter="0" w:footer="0" w:header="0"/>
          <w:type w:val="continuous"/>
        </w:sectPr>
      </w:pPr>
    </w:p>
    <w:p>
      <w:pPr>
        <w:jc w:val="right"/>
        <w:spacing w:after="0" w:line="197" w:lineRule="auto"/>
        <w:rPr>
          <w:sz w:val="20"/>
          <w:szCs w:val="20"/>
          <w:color w:val="auto"/>
        </w:rPr>
      </w:pPr>
      <w:r>
        <w:rPr>
          <w:rFonts w:ascii="Arial" w:cs="Arial" w:eastAsia="Arial" w:hAnsi="Arial"/>
          <w:sz w:val="14"/>
          <w:szCs w:val="14"/>
          <w:color w:val="898989"/>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424180</wp:posOffset>
            </wp:positionV>
            <wp:extent cx="726821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420"/>
          </w:cols>
          <w:pgMar w:left="680" w:top="449" w:right="799" w:bottom="1440" w:gutter="0" w:footer="0" w:header="0"/>
          <w:type w:val="continuous"/>
        </w:sectPr>
      </w:pPr>
    </w:p>
    <w:bookmarkStart w:id="22" w:name="page23"/>
    <w:bookmarkEnd w:id="22"/>
    <w:p>
      <w:pPr>
        <w:ind w:right="3260"/>
        <w:spacing w:after="0" w:line="289" w:lineRule="auto"/>
        <w:rPr>
          <w:sz w:val="20"/>
          <w:szCs w:val="20"/>
          <w:color w:val="auto"/>
        </w:rPr>
      </w:pPr>
      <w:r>
        <w:rPr>
          <w:rFonts w:ascii="Arial" w:cs="Arial" w:eastAsia="Arial" w:hAnsi="Arial"/>
          <w:sz w:val="25"/>
          <w:szCs w:val="25"/>
          <w:b w:val="1"/>
          <w:bCs w:val="1"/>
          <w:color w:val="FFFFFF"/>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2011 4</w:t>
      </w:r>
      <w:r>
        <w:rPr>
          <w:rFonts w:ascii="Arial" w:cs="Arial" w:eastAsia="Arial" w:hAnsi="Arial"/>
          <w:sz w:val="17"/>
          <w:szCs w:val="17"/>
          <w:b w:val="1"/>
          <w:bCs w:val="1"/>
          <w:color w:val="FFFFFF"/>
        </w:rPr>
        <w:t>th</w:t>
      </w:r>
      <w:r>
        <w:rPr>
          <w:rFonts w:ascii="Arial" w:cs="Arial" w:eastAsia="Arial" w:hAnsi="Arial"/>
          <w:sz w:val="25"/>
          <w:szCs w:val="25"/>
          <w:b w:val="1"/>
          <w:bCs w:val="1"/>
          <w:color w:val="FFFFFF"/>
        </w:rPr>
        <w:t xml:space="preserve"> Quarter Results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February</w:t>
      </w:r>
    </w:p>
    <w:p>
      <w:pPr>
        <w:spacing w:after="0" w:line="440" w:lineRule="exact"/>
        <w:rPr>
          <w:sz w:val="20"/>
          <w:szCs w:val="20"/>
          <w:color w:val="auto"/>
        </w:rPr>
      </w:pPr>
    </w:p>
    <w:p>
      <w:pPr>
        <w:sectPr>
          <w:pgSz w:w="11900" w:h="16838" w:orient="portrait"/>
          <w:cols w:equalWidth="0" w:num="2">
            <w:col w:w="8340" w:space="720"/>
            <w:col w:w="1360"/>
          </w:cols>
          <w:pgMar w:left="680" w:top="449" w:right="799" w:bottom="1440" w:gutter="0" w:footer="0" w:header="0"/>
        </w:sectPr>
      </w:pPr>
    </w:p>
    <w:p>
      <w:pPr>
        <w:ind w:left="380"/>
        <w:spacing w:after="0"/>
        <w:rPr>
          <w:sz w:val="20"/>
          <w:szCs w:val="20"/>
          <w:color w:val="auto"/>
        </w:rPr>
      </w:pPr>
      <w:r>
        <w:rPr>
          <w:rFonts w:ascii="Arial" w:cs="Arial" w:eastAsia="Arial" w:hAnsi="Arial"/>
          <w:sz w:val="51"/>
          <w:szCs w:val="51"/>
          <w:color w:val="5F81AA"/>
        </w:rPr>
        <w:t>Northern Europe Segment</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32"/>
          <w:szCs w:val="32"/>
          <w:color w:val="5F81AA"/>
        </w:rPr>
        <w:t>(28% of Revenue)</w:t>
      </w:r>
    </w:p>
    <w:p>
      <w:pPr>
        <w:spacing w:after="0" w:line="200" w:lineRule="exact"/>
        <w:rPr>
          <w:sz w:val="20"/>
          <w:szCs w:val="20"/>
          <w:color w:val="auto"/>
        </w:rPr>
      </w:pPr>
    </w:p>
    <w:p>
      <w:pPr>
        <w:spacing w:after="0" w:line="325" w:lineRule="exact"/>
        <w:rPr>
          <w:sz w:val="20"/>
          <w:szCs w:val="20"/>
          <w:color w:val="auto"/>
        </w:rPr>
      </w:pPr>
    </w:p>
    <w:tbl>
      <w:tblPr>
        <w:tblLayout w:type="fixed"/>
        <w:tblInd w:w="500" w:type="dxa"/>
        <w:tblCellMar>
          <w:top w:w="0" w:type="dxa"/>
          <w:left w:w="0" w:type="dxa"/>
          <w:bottom w:w="0" w:type="dxa"/>
          <w:right w:w="0" w:type="dxa"/>
        </w:tblCellMar>
      </w:tblPr>
      <w:tr>
        <w:trPr>
          <w:trHeight w:val="36"/>
        </w:trPr>
        <w:tc>
          <w:tcPr>
            <w:tcW w:w="2000" w:type="dxa"/>
            <w:vAlign w:val="bottom"/>
            <w:vMerge w:val="restart"/>
          </w:tcPr>
          <w:p>
            <w:pPr>
              <w:jc w:val="center"/>
              <w:spacing w:after="0"/>
              <w:rPr>
                <w:sz w:val="20"/>
                <w:szCs w:val="20"/>
                <w:color w:val="auto"/>
              </w:rPr>
            </w:pPr>
            <w:r>
              <w:rPr>
                <w:rFonts w:ascii="Arial" w:cs="Arial" w:eastAsia="Arial" w:hAnsi="Arial"/>
                <w:sz w:val="25"/>
                <w:szCs w:val="25"/>
                <w:b w:val="1"/>
                <w:bCs w:val="1"/>
                <w:color w:val="282A32"/>
              </w:rPr>
              <w:t>As</w:t>
            </w:r>
          </w:p>
        </w:tc>
        <w:tc>
          <w:tcPr>
            <w:tcW w:w="40" w:type="dxa"/>
            <w:vAlign w:val="bottom"/>
          </w:tcPr>
          <w:p>
            <w:pPr>
              <w:spacing w:after="0"/>
              <w:rPr>
                <w:sz w:val="3"/>
                <w:szCs w:val="3"/>
                <w:color w:val="auto"/>
              </w:rPr>
            </w:pPr>
          </w:p>
        </w:tc>
        <w:tc>
          <w:tcPr>
            <w:tcW w:w="2020" w:type="dxa"/>
            <w:vAlign w:val="bottom"/>
            <w:vMerge w:val="restart"/>
          </w:tcPr>
          <w:p>
            <w:pPr>
              <w:jc w:val="center"/>
              <w:spacing w:after="0"/>
              <w:rPr>
                <w:sz w:val="20"/>
                <w:szCs w:val="20"/>
                <w:color w:val="auto"/>
              </w:rPr>
            </w:pPr>
            <w:r>
              <w:rPr>
                <w:rFonts w:ascii="Arial" w:cs="Arial" w:eastAsia="Arial" w:hAnsi="Arial"/>
                <w:sz w:val="25"/>
                <w:szCs w:val="25"/>
                <w:b w:val="1"/>
                <w:bCs w:val="1"/>
                <w:color w:val="282A32"/>
              </w:rPr>
              <w:t>Excluding Non</w:t>
            </w:r>
          </w:p>
        </w:tc>
        <w:tc>
          <w:tcPr>
            <w:tcW w:w="40" w:type="dxa"/>
            <w:vAlign w:val="bottom"/>
          </w:tcPr>
          <w:p>
            <w:pPr>
              <w:spacing w:after="0"/>
              <w:rPr>
                <w:sz w:val="3"/>
                <w:szCs w:val="3"/>
                <w:color w:val="auto"/>
              </w:rPr>
            </w:pPr>
          </w:p>
        </w:tc>
        <w:tc>
          <w:tcPr>
            <w:tcW w:w="5260" w:type="dxa"/>
            <w:vAlign w:val="bottom"/>
            <w:vMerge w:val="restart"/>
          </w:tcPr>
          <w:p>
            <w:pPr>
              <w:ind w:left="320"/>
              <w:spacing w:after="0"/>
              <w:rPr>
                <w:sz w:val="20"/>
                <w:szCs w:val="20"/>
                <w:color w:val="auto"/>
              </w:rPr>
            </w:pPr>
            <w:r>
              <w:rPr>
                <w:rFonts w:ascii="Arial" w:cs="Arial" w:eastAsia="Arial" w:hAnsi="Arial"/>
                <w:sz w:val="41"/>
                <w:szCs w:val="41"/>
                <w:b w:val="1"/>
                <w:bCs w:val="1"/>
                <w:color w:val="auto"/>
              </w:rPr>
              <w:t>Q4 Financial Highlights</w:t>
            </w:r>
          </w:p>
        </w:tc>
        <w:tc>
          <w:tcPr>
            <w:tcW w:w="0" w:type="dxa"/>
            <w:vAlign w:val="bottom"/>
          </w:tcPr>
          <w:p>
            <w:pPr>
              <w:spacing w:after="0" w:line="20" w:lineRule="exact"/>
              <w:rPr>
                <w:sz w:val="1"/>
                <w:szCs w:val="1"/>
                <w:color w:val="auto"/>
              </w:rPr>
            </w:pPr>
          </w:p>
        </w:tc>
      </w:tr>
      <w:tr>
        <w:trPr>
          <w:trHeight w:val="262"/>
        </w:trPr>
        <w:tc>
          <w:tcPr>
            <w:tcW w:w="2000" w:type="dxa"/>
            <w:vAlign w:val="bottom"/>
            <w:vMerge w:val="continue"/>
          </w:tcPr>
          <w:p>
            <w:pPr>
              <w:spacing w:after="0"/>
              <w:rPr>
                <w:sz w:val="22"/>
                <w:szCs w:val="22"/>
                <w:color w:val="auto"/>
              </w:rPr>
            </w:pPr>
          </w:p>
        </w:tc>
        <w:tc>
          <w:tcPr>
            <w:tcW w:w="40" w:type="dxa"/>
            <w:vAlign w:val="bottom"/>
            <w:shd w:val="clear" w:color="auto" w:fill="D47C18"/>
          </w:tcPr>
          <w:p>
            <w:pPr>
              <w:spacing w:after="0"/>
              <w:rPr>
                <w:sz w:val="22"/>
                <w:szCs w:val="22"/>
                <w:color w:val="auto"/>
              </w:rPr>
            </w:pPr>
          </w:p>
        </w:tc>
        <w:tc>
          <w:tcPr>
            <w:tcW w:w="2020" w:type="dxa"/>
            <w:vAlign w:val="bottom"/>
            <w:vMerge w:val="continue"/>
          </w:tcPr>
          <w:p>
            <w:pPr>
              <w:spacing w:after="0"/>
              <w:rPr>
                <w:sz w:val="22"/>
                <w:szCs w:val="22"/>
                <w:color w:val="auto"/>
              </w:rPr>
            </w:pPr>
          </w:p>
        </w:tc>
        <w:tc>
          <w:tcPr>
            <w:tcW w:w="40" w:type="dxa"/>
            <w:vAlign w:val="bottom"/>
            <w:shd w:val="clear" w:color="auto" w:fill="D47C18"/>
          </w:tcPr>
          <w:p>
            <w:pPr>
              <w:spacing w:after="0"/>
              <w:rPr>
                <w:sz w:val="22"/>
                <w:szCs w:val="22"/>
                <w:color w:val="auto"/>
              </w:rPr>
            </w:pPr>
          </w:p>
        </w:tc>
        <w:tc>
          <w:tcPr>
            <w:tcW w:w="5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69"/>
        </w:trPr>
        <w:tc>
          <w:tcPr>
            <w:tcW w:w="2000" w:type="dxa"/>
            <w:vAlign w:val="bottom"/>
          </w:tcPr>
          <w:p>
            <w:pPr>
              <w:jc w:val="center"/>
              <w:spacing w:after="0"/>
              <w:rPr>
                <w:sz w:val="20"/>
                <w:szCs w:val="20"/>
                <w:color w:val="auto"/>
              </w:rPr>
            </w:pPr>
            <w:r>
              <w:rPr>
                <w:rFonts w:ascii="Arial" w:cs="Arial" w:eastAsia="Arial" w:hAnsi="Arial"/>
                <w:sz w:val="25"/>
                <w:szCs w:val="25"/>
                <w:b w:val="1"/>
                <w:bCs w:val="1"/>
                <w:color w:val="282A32"/>
              </w:rPr>
              <w:t>Reported</w:t>
            </w:r>
          </w:p>
        </w:tc>
        <w:tc>
          <w:tcPr>
            <w:tcW w:w="40" w:type="dxa"/>
            <w:vAlign w:val="bottom"/>
            <w:shd w:val="clear" w:color="auto" w:fill="D47C18"/>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25"/>
                <w:szCs w:val="25"/>
                <w:b w:val="1"/>
                <w:bCs w:val="1"/>
                <w:color w:val="282A32"/>
              </w:rPr>
              <w:t>-recurring</w:t>
            </w:r>
          </w:p>
        </w:tc>
        <w:tc>
          <w:tcPr>
            <w:tcW w:w="40" w:type="dxa"/>
            <w:vAlign w:val="bottom"/>
            <w:shd w:val="clear" w:color="auto" w:fill="D47C18"/>
          </w:tcPr>
          <w:p>
            <w:pPr>
              <w:spacing w:after="0"/>
              <w:rPr>
                <w:sz w:val="24"/>
                <w:szCs w:val="24"/>
                <w:color w:val="auto"/>
              </w:rPr>
            </w:pPr>
          </w:p>
        </w:tc>
        <w:tc>
          <w:tcPr>
            <w:tcW w:w="5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00" w:type="dxa"/>
            <w:vAlign w:val="bottom"/>
          </w:tcPr>
          <w:p>
            <w:pPr>
              <w:spacing w:after="0"/>
              <w:rPr>
                <w:sz w:val="24"/>
                <w:szCs w:val="24"/>
                <w:color w:val="auto"/>
              </w:rPr>
            </w:pPr>
          </w:p>
        </w:tc>
        <w:tc>
          <w:tcPr>
            <w:tcW w:w="40" w:type="dxa"/>
            <w:vAlign w:val="bottom"/>
            <w:shd w:val="clear" w:color="auto" w:fill="D47C18"/>
          </w:tcPr>
          <w:p>
            <w:pPr>
              <w:spacing w:after="0"/>
              <w:rPr>
                <w:sz w:val="24"/>
                <w:szCs w:val="24"/>
                <w:color w:val="auto"/>
              </w:rPr>
            </w:pPr>
          </w:p>
        </w:tc>
        <w:tc>
          <w:tcPr>
            <w:tcW w:w="2020" w:type="dxa"/>
            <w:vAlign w:val="bottom"/>
          </w:tcPr>
          <w:p>
            <w:pPr>
              <w:jc w:val="center"/>
              <w:ind w:left="94"/>
              <w:spacing w:after="0"/>
              <w:rPr>
                <w:sz w:val="20"/>
                <w:szCs w:val="20"/>
                <w:color w:val="auto"/>
              </w:rPr>
            </w:pPr>
            <w:r>
              <w:rPr>
                <w:rFonts w:ascii="Arial" w:cs="Arial" w:eastAsia="Arial" w:hAnsi="Arial"/>
                <w:sz w:val="25"/>
                <w:szCs w:val="25"/>
                <w:b w:val="1"/>
                <w:bCs w:val="1"/>
                <w:color w:val="282A32"/>
                <w:w w:val="98"/>
              </w:rPr>
              <w:t xml:space="preserve">Items </w:t>
            </w:r>
            <w:r>
              <w:rPr>
                <w:rFonts w:ascii="Arial" w:cs="Arial" w:eastAsia="Arial" w:hAnsi="Arial"/>
                <w:sz w:val="17"/>
                <w:szCs w:val="17"/>
                <w:b w:val="1"/>
                <w:bCs w:val="1"/>
                <w:color w:val="C46D24"/>
                <w:w w:val="98"/>
              </w:rPr>
              <w:t>(1)</w:t>
            </w:r>
          </w:p>
        </w:tc>
        <w:tc>
          <w:tcPr>
            <w:tcW w:w="40" w:type="dxa"/>
            <w:vAlign w:val="bottom"/>
            <w:shd w:val="clear" w:color="auto" w:fill="D47C18"/>
          </w:tcPr>
          <w:p>
            <w:pPr>
              <w:spacing w:after="0"/>
              <w:rPr>
                <w:sz w:val="24"/>
                <w:szCs w:val="24"/>
                <w:color w:val="auto"/>
              </w:rPr>
            </w:pP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000" w:type="dxa"/>
            <w:vAlign w:val="bottom"/>
            <w:tcBorders>
              <w:bottom w:val="single" w:sz="8" w:color="D47C18"/>
            </w:tcBorders>
          </w:tcPr>
          <w:p>
            <w:pPr>
              <w:spacing w:after="0"/>
              <w:rPr>
                <w:sz w:val="4"/>
                <w:szCs w:val="4"/>
                <w:color w:val="auto"/>
              </w:rPr>
            </w:pPr>
          </w:p>
        </w:tc>
        <w:tc>
          <w:tcPr>
            <w:tcW w:w="40" w:type="dxa"/>
            <w:vAlign w:val="bottom"/>
            <w:tcBorders>
              <w:bottom w:val="single" w:sz="8" w:color="D47C18"/>
            </w:tcBorders>
            <w:shd w:val="clear" w:color="auto" w:fill="D47C18"/>
          </w:tcPr>
          <w:p>
            <w:pPr>
              <w:spacing w:after="0"/>
              <w:rPr>
                <w:sz w:val="4"/>
                <w:szCs w:val="4"/>
                <w:color w:val="auto"/>
              </w:rPr>
            </w:pPr>
          </w:p>
        </w:tc>
        <w:tc>
          <w:tcPr>
            <w:tcW w:w="2020" w:type="dxa"/>
            <w:vAlign w:val="bottom"/>
            <w:tcBorders>
              <w:bottom w:val="single" w:sz="8" w:color="D47C18"/>
            </w:tcBorders>
          </w:tcPr>
          <w:p>
            <w:pPr>
              <w:spacing w:after="0"/>
              <w:rPr>
                <w:sz w:val="4"/>
                <w:szCs w:val="4"/>
                <w:color w:val="auto"/>
              </w:rPr>
            </w:pPr>
          </w:p>
        </w:tc>
        <w:tc>
          <w:tcPr>
            <w:tcW w:w="40" w:type="dxa"/>
            <w:vAlign w:val="bottom"/>
            <w:tcBorders>
              <w:bottom w:val="single" w:sz="8" w:color="D47C18"/>
            </w:tcBorders>
            <w:shd w:val="clear" w:color="auto" w:fill="D47C18"/>
          </w:tcPr>
          <w:p>
            <w:pPr>
              <w:spacing w:after="0"/>
              <w:rPr>
                <w:sz w:val="4"/>
                <w:szCs w:val="4"/>
                <w:color w:val="auto"/>
              </w:rPr>
            </w:pPr>
          </w:p>
        </w:tc>
        <w:tc>
          <w:tcPr>
            <w:tcW w:w="5260" w:type="dxa"/>
            <w:vAlign w:val="bottom"/>
            <w:tcBorders>
              <w:bottom w:val="single" w:sz="8" w:color="D47C18"/>
            </w:tcBorders>
          </w:tcPr>
          <w:p>
            <w:pPr>
              <w:spacing w:after="0"/>
              <w:rPr>
                <w:sz w:val="4"/>
                <w:szCs w:val="4"/>
                <w:color w:val="auto"/>
              </w:rPr>
            </w:pPr>
          </w:p>
        </w:tc>
        <w:tc>
          <w:tcPr>
            <w:tcW w:w="0" w:type="dxa"/>
            <w:vAlign w:val="bottom"/>
          </w:tcPr>
          <w:p>
            <w:pPr>
              <w:spacing w:after="0"/>
              <w:rPr>
                <w:sz w:val="1"/>
                <w:szCs w:val="1"/>
                <w:color w:val="auto"/>
              </w:rPr>
            </w:pPr>
          </w:p>
        </w:tc>
      </w:tr>
      <w:tr>
        <w:trPr>
          <w:trHeight w:val="571"/>
        </w:trPr>
        <w:tc>
          <w:tcPr>
            <w:tcW w:w="2000" w:type="dxa"/>
            <w:vAlign w:val="bottom"/>
          </w:tcPr>
          <w:p>
            <w:pPr>
              <w:jc w:val="right"/>
              <w:ind w:right="368"/>
              <w:spacing w:after="0"/>
              <w:rPr>
                <w:sz w:val="20"/>
                <w:szCs w:val="20"/>
                <w:color w:val="auto"/>
              </w:rPr>
            </w:pPr>
            <w:r>
              <w:rPr>
                <w:rFonts w:ascii="Arial" w:cs="Arial" w:eastAsia="Arial" w:hAnsi="Arial"/>
                <w:sz w:val="38"/>
                <w:szCs w:val="38"/>
                <w:color w:val="auto"/>
              </w:rPr>
              <w:t>3%</w:t>
            </w:r>
          </w:p>
        </w:tc>
        <w:tc>
          <w:tcPr>
            <w:tcW w:w="40" w:type="dxa"/>
            <w:vAlign w:val="bottom"/>
            <w:shd w:val="clear" w:color="auto" w:fill="D47C18"/>
          </w:tcPr>
          <w:p>
            <w:pPr>
              <w:spacing w:after="0"/>
              <w:rPr>
                <w:sz w:val="24"/>
                <w:szCs w:val="24"/>
                <w:color w:val="auto"/>
              </w:rPr>
            </w:pPr>
          </w:p>
        </w:tc>
        <w:tc>
          <w:tcPr>
            <w:tcW w:w="2020" w:type="dxa"/>
            <w:vAlign w:val="bottom"/>
          </w:tcPr>
          <w:p>
            <w:pPr>
              <w:jc w:val="center"/>
              <w:ind w:left="194"/>
              <w:spacing w:after="0"/>
              <w:rPr>
                <w:sz w:val="20"/>
                <w:szCs w:val="20"/>
                <w:color w:val="auto"/>
              </w:rPr>
            </w:pPr>
            <w:r>
              <w:rPr>
                <w:rFonts w:ascii="Arial" w:cs="Arial" w:eastAsia="Arial" w:hAnsi="Arial"/>
                <w:sz w:val="38"/>
                <w:szCs w:val="38"/>
                <w:color w:val="auto"/>
                <w:w w:val="98"/>
              </w:rPr>
              <w:t>3%</w:t>
            </w:r>
          </w:p>
        </w:tc>
        <w:tc>
          <w:tcPr>
            <w:tcW w:w="40" w:type="dxa"/>
            <w:vAlign w:val="bottom"/>
            <w:shd w:val="clear" w:color="auto" w:fill="D47C18"/>
          </w:tcPr>
          <w:p>
            <w:pPr>
              <w:spacing w:after="0"/>
              <w:rPr>
                <w:sz w:val="24"/>
                <w:szCs w:val="24"/>
                <w:color w:val="auto"/>
              </w:rPr>
            </w:pPr>
          </w:p>
        </w:tc>
        <w:tc>
          <w:tcPr>
            <w:tcW w:w="5260" w:type="dxa"/>
            <w:vAlign w:val="bottom"/>
            <w:tcBorders>
              <w:left w:val="single" w:sz="8" w:color="D47C18"/>
            </w:tcBorders>
            <w:vMerge w:val="restart"/>
          </w:tcPr>
          <w:p>
            <w:pPr>
              <w:ind w:left="360"/>
              <w:spacing w:after="0"/>
              <w:rPr>
                <w:sz w:val="20"/>
                <w:szCs w:val="20"/>
                <w:color w:val="auto"/>
              </w:rPr>
            </w:pPr>
            <w:r>
              <w:rPr>
                <w:rFonts w:ascii="Arial" w:cs="Arial" w:eastAsia="Arial" w:hAnsi="Arial"/>
                <w:sz w:val="41"/>
                <w:szCs w:val="41"/>
                <w:b w:val="1"/>
                <w:bCs w:val="1"/>
                <w:color w:val="auto"/>
              </w:rPr>
              <w:t xml:space="preserve">Revenue </w:t>
            </w:r>
            <w:r>
              <w:rPr>
                <w:rFonts w:ascii="Arial" w:cs="Arial" w:eastAsia="Arial" w:hAnsi="Arial"/>
                <w:sz w:val="44"/>
                <w:szCs w:val="44"/>
                <w:b w:val="1"/>
                <w:bCs w:val="1"/>
                <w:color w:val="5F81AA"/>
              </w:rPr>
              <w:t>$1.5B</w:t>
            </w:r>
          </w:p>
        </w:tc>
        <w:tc>
          <w:tcPr>
            <w:tcW w:w="0" w:type="dxa"/>
            <w:vAlign w:val="bottom"/>
          </w:tcPr>
          <w:p>
            <w:pPr>
              <w:spacing w:after="0"/>
              <w:rPr>
                <w:sz w:val="1"/>
                <w:szCs w:val="1"/>
                <w:color w:val="auto"/>
              </w:rPr>
            </w:pPr>
          </w:p>
        </w:tc>
      </w:tr>
      <w:tr>
        <w:trPr>
          <w:trHeight w:val="265"/>
        </w:trPr>
        <w:tc>
          <w:tcPr>
            <w:tcW w:w="2000" w:type="dxa"/>
            <w:vAlign w:val="bottom"/>
            <w:vMerge w:val="restart"/>
          </w:tcPr>
          <w:p>
            <w:pPr>
              <w:jc w:val="center"/>
              <w:ind w:left="188"/>
              <w:spacing w:after="0"/>
              <w:rPr>
                <w:sz w:val="20"/>
                <w:szCs w:val="20"/>
                <w:color w:val="auto"/>
              </w:rPr>
            </w:pPr>
            <w:r>
              <w:rPr>
                <w:rFonts w:ascii="Arial" w:cs="Arial" w:eastAsia="Arial" w:hAnsi="Arial"/>
                <w:sz w:val="38"/>
                <w:szCs w:val="38"/>
                <w:color w:val="auto"/>
                <w:w w:val="99"/>
              </w:rPr>
              <w:t>4% CC</w:t>
            </w:r>
          </w:p>
        </w:tc>
        <w:tc>
          <w:tcPr>
            <w:tcW w:w="40" w:type="dxa"/>
            <w:vAlign w:val="bottom"/>
            <w:shd w:val="clear" w:color="auto" w:fill="D47C18"/>
          </w:tcPr>
          <w:p>
            <w:pPr>
              <w:spacing w:after="0"/>
              <w:rPr>
                <w:sz w:val="23"/>
                <w:szCs w:val="23"/>
                <w:color w:val="auto"/>
              </w:rPr>
            </w:pPr>
          </w:p>
        </w:tc>
        <w:tc>
          <w:tcPr>
            <w:tcW w:w="2020" w:type="dxa"/>
            <w:vAlign w:val="bottom"/>
            <w:vMerge w:val="restart"/>
          </w:tcPr>
          <w:p>
            <w:pPr>
              <w:jc w:val="center"/>
              <w:ind w:left="194"/>
              <w:spacing w:after="0"/>
              <w:rPr>
                <w:sz w:val="20"/>
                <w:szCs w:val="20"/>
                <w:color w:val="auto"/>
              </w:rPr>
            </w:pPr>
            <w:r>
              <w:rPr>
                <w:rFonts w:ascii="Arial" w:cs="Arial" w:eastAsia="Arial" w:hAnsi="Arial"/>
                <w:sz w:val="38"/>
                <w:szCs w:val="38"/>
                <w:color w:val="auto"/>
              </w:rPr>
              <w:t>4% CC</w:t>
            </w:r>
          </w:p>
        </w:tc>
        <w:tc>
          <w:tcPr>
            <w:tcW w:w="40" w:type="dxa"/>
            <w:vAlign w:val="bottom"/>
          </w:tcPr>
          <w:p>
            <w:pPr>
              <w:spacing w:after="0"/>
              <w:rPr>
                <w:sz w:val="23"/>
                <w:szCs w:val="23"/>
                <w:color w:val="auto"/>
              </w:rPr>
            </w:pPr>
          </w:p>
        </w:tc>
        <w:tc>
          <w:tcPr>
            <w:tcW w:w="5260" w:type="dxa"/>
            <w:vAlign w:val="bottom"/>
            <w:tcBorders>
              <w:left w:val="single" w:sz="8" w:color="D47C18"/>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000" w:type="dxa"/>
            <w:vAlign w:val="bottom"/>
            <w:vMerge w:val="continue"/>
          </w:tcPr>
          <w:p>
            <w:pPr>
              <w:spacing w:after="0"/>
              <w:rPr>
                <w:sz w:val="17"/>
                <w:szCs w:val="17"/>
                <w:color w:val="auto"/>
              </w:rPr>
            </w:pPr>
          </w:p>
        </w:tc>
        <w:tc>
          <w:tcPr>
            <w:tcW w:w="40" w:type="dxa"/>
            <w:vAlign w:val="bottom"/>
            <w:shd w:val="clear" w:color="auto" w:fill="D47C18"/>
          </w:tcPr>
          <w:p>
            <w:pPr>
              <w:spacing w:after="0"/>
              <w:rPr>
                <w:sz w:val="17"/>
                <w:szCs w:val="17"/>
                <w:color w:val="auto"/>
              </w:rPr>
            </w:pPr>
          </w:p>
        </w:tc>
        <w:tc>
          <w:tcPr>
            <w:tcW w:w="20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5260" w:type="dxa"/>
            <w:vAlign w:val="bottom"/>
            <w:tcBorders>
              <w:left w:val="single" w:sz="8" w:color="D47C18"/>
            </w:tcBorders>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00" w:type="dxa"/>
            <w:vAlign w:val="bottom"/>
            <w:tcBorders>
              <w:bottom w:val="single" w:sz="8" w:color="D47C18"/>
            </w:tcBorders>
          </w:tcPr>
          <w:p>
            <w:pPr>
              <w:spacing w:after="0"/>
              <w:rPr>
                <w:sz w:val="6"/>
                <w:szCs w:val="6"/>
                <w:color w:val="auto"/>
              </w:rPr>
            </w:pPr>
          </w:p>
        </w:tc>
        <w:tc>
          <w:tcPr>
            <w:tcW w:w="40" w:type="dxa"/>
            <w:vAlign w:val="bottom"/>
            <w:tcBorders>
              <w:bottom w:val="single" w:sz="8" w:color="D47C18"/>
            </w:tcBorders>
            <w:shd w:val="clear" w:color="auto" w:fill="D47C18"/>
          </w:tcPr>
          <w:p>
            <w:pPr>
              <w:spacing w:after="0"/>
              <w:rPr>
                <w:sz w:val="6"/>
                <w:szCs w:val="6"/>
                <w:color w:val="auto"/>
              </w:rPr>
            </w:pPr>
          </w:p>
        </w:tc>
        <w:tc>
          <w:tcPr>
            <w:tcW w:w="2020" w:type="dxa"/>
            <w:vAlign w:val="bottom"/>
            <w:tcBorders>
              <w:bottom w:val="single" w:sz="8" w:color="D47C18"/>
            </w:tcBorders>
          </w:tcPr>
          <w:p>
            <w:pPr>
              <w:spacing w:after="0"/>
              <w:rPr>
                <w:sz w:val="6"/>
                <w:szCs w:val="6"/>
                <w:color w:val="auto"/>
              </w:rPr>
            </w:pPr>
          </w:p>
        </w:tc>
        <w:tc>
          <w:tcPr>
            <w:tcW w:w="40" w:type="dxa"/>
            <w:vAlign w:val="bottom"/>
            <w:tcBorders>
              <w:bottom w:val="single" w:sz="8" w:color="D47C18"/>
            </w:tcBorders>
          </w:tcPr>
          <w:p>
            <w:pPr>
              <w:spacing w:after="0"/>
              <w:rPr>
                <w:sz w:val="6"/>
                <w:szCs w:val="6"/>
                <w:color w:val="auto"/>
              </w:rPr>
            </w:pPr>
          </w:p>
        </w:tc>
        <w:tc>
          <w:tcPr>
            <w:tcW w:w="5260" w:type="dxa"/>
            <w:vAlign w:val="bottom"/>
            <w:tcBorders>
              <w:left w:val="single" w:sz="8" w:color="D47C18"/>
              <w:bottom w:val="single" w:sz="8" w:color="D47C18"/>
            </w:tcBorders>
          </w:tcPr>
          <w:p>
            <w:pPr>
              <w:spacing w:after="0"/>
              <w:rPr>
                <w:sz w:val="6"/>
                <w:szCs w:val="6"/>
                <w:color w:val="auto"/>
              </w:rPr>
            </w:pPr>
          </w:p>
        </w:tc>
        <w:tc>
          <w:tcPr>
            <w:tcW w:w="0" w:type="dxa"/>
            <w:vAlign w:val="bottom"/>
          </w:tcPr>
          <w:p>
            <w:pPr>
              <w:spacing w:after="0"/>
              <w:rPr>
                <w:sz w:val="1"/>
                <w:szCs w:val="1"/>
                <w:color w:val="auto"/>
              </w:rPr>
            </w:pPr>
          </w:p>
        </w:tc>
      </w:tr>
      <w:tr>
        <w:trPr>
          <w:trHeight w:val="551"/>
        </w:trPr>
        <w:tc>
          <w:tcPr>
            <w:tcW w:w="2000" w:type="dxa"/>
            <w:vAlign w:val="bottom"/>
          </w:tcPr>
          <w:p>
            <w:pPr>
              <w:jc w:val="right"/>
              <w:ind w:right="268"/>
              <w:spacing w:after="0"/>
              <w:rPr>
                <w:sz w:val="20"/>
                <w:szCs w:val="20"/>
                <w:color w:val="auto"/>
              </w:rPr>
            </w:pPr>
            <w:r>
              <w:rPr>
                <w:rFonts w:ascii="Arial" w:cs="Arial" w:eastAsia="Arial" w:hAnsi="Arial"/>
                <w:sz w:val="38"/>
                <w:szCs w:val="38"/>
                <w:color w:val="auto"/>
              </w:rPr>
              <w:t>18%</w:t>
            </w:r>
          </w:p>
        </w:tc>
        <w:tc>
          <w:tcPr>
            <w:tcW w:w="40" w:type="dxa"/>
            <w:vAlign w:val="bottom"/>
            <w:tcBorders>
              <w:bottom w:val="single" w:sz="8" w:color="D47C18"/>
            </w:tcBorders>
            <w:shd w:val="clear" w:color="auto" w:fill="D47C18"/>
          </w:tcPr>
          <w:p>
            <w:pPr>
              <w:spacing w:after="0"/>
              <w:rPr>
                <w:sz w:val="24"/>
                <w:szCs w:val="24"/>
                <w:color w:val="auto"/>
              </w:rPr>
            </w:pPr>
          </w:p>
        </w:tc>
        <w:tc>
          <w:tcPr>
            <w:tcW w:w="2020" w:type="dxa"/>
            <w:vAlign w:val="bottom"/>
          </w:tcPr>
          <w:p>
            <w:pPr>
              <w:jc w:val="center"/>
              <w:ind w:left="194"/>
              <w:spacing w:after="0"/>
              <w:rPr>
                <w:sz w:val="20"/>
                <w:szCs w:val="20"/>
                <w:color w:val="auto"/>
              </w:rPr>
            </w:pPr>
            <w:r>
              <w:rPr>
                <w:rFonts w:ascii="Arial" w:cs="Arial" w:eastAsia="Arial" w:hAnsi="Arial"/>
                <w:sz w:val="38"/>
                <w:szCs w:val="38"/>
                <w:color w:val="auto"/>
                <w:w w:val="98"/>
              </w:rPr>
              <w:t>1%</w:t>
            </w:r>
          </w:p>
        </w:tc>
        <w:tc>
          <w:tcPr>
            <w:tcW w:w="40" w:type="dxa"/>
            <w:vAlign w:val="bottom"/>
            <w:tcBorders>
              <w:bottom w:val="single" w:sz="8" w:color="D47C18"/>
            </w:tcBorders>
            <w:shd w:val="clear" w:color="auto" w:fill="D47C18"/>
          </w:tcPr>
          <w:p>
            <w:pPr>
              <w:spacing w:after="0"/>
              <w:rPr>
                <w:sz w:val="24"/>
                <w:szCs w:val="24"/>
                <w:color w:val="auto"/>
              </w:rPr>
            </w:pPr>
          </w:p>
        </w:tc>
        <w:tc>
          <w:tcPr>
            <w:tcW w:w="5260" w:type="dxa"/>
            <w:vAlign w:val="bottom"/>
            <w:tcBorders>
              <w:left w:val="single" w:sz="8" w:color="D47C18"/>
            </w:tcBorders>
            <w:vMerge w:val="restart"/>
          </w:tcPr>
          <w:p>
            <w:pPr>
              <w:ind w:left="360"/>
              <w:spacing w:after="0"/>
              <w:rPr>
                <w:sz w:val="20"/>
                <w:szCs w:val="20"/>
                <w:color w:val="auto"/>
              </w:rPr>
            </w:pPr>
            <w:r>
              <w:rPr>
                <w:rFonts w:ascii="Arial" w:cs="Arial" w:eastAsia="Arial" w:hAnsi="Arial"/>
                <w:sz w:val="41"/>
                <w:szCs w:val="41"/>
                <w:b w:val="1"/>
                <w:bCs w:val="1"/>
                <w:color w:val="auto"/>
              </w:rPr>
              <w:t xml:space="preserve">OUP </w:t>
            </w:r>
            <w:r>
              <w:rPr>
                <w:rFonts w:ascii="Arial" w:cs="Arial" w:eastAsia="Arial" w:hAnsi="Arial"/>
                <w:sz w:val="44"/>
                <w:szCs w:val="44"/>
                <w:b w:val="1"/>
                <w:bCs w:val="1"/>
                <w:color w:val="5F81AA"/>
              </w:rPr>
              <w:t>$52M</w:t>
            </w:r>
          </w:p>
        </w:tc>
        <w:tc>
          <w:tcPr>
            <w:tcW w:w="0" w:type="dxa"/>
            <w:vAlign w:val="bottom"/>
          </w:tcPr>
          <w:p>
            <w:pPr>
              <w:spacing w:after="0"/>
              <w:rPr>
                <w:sz w:val="1"/>
                <w:szCs w:val="1"/>
                <w:color w:val="auto"/>
              </w:rPr>
            </w:pPr>
          </w:p>
        </w:tc>
      </w:tr>
      <w:tr>
        <w:trPr>
          <w:trHeight w:val="265"/>
        </w:trPr>
        <w:tc>
          <w:tcPr>
            <w:tcW w:w="2000" w:type="dxa"/>
            <w:vAlign w:val="bottom"/>
            <w:vMerge w:val="restart"/>
          </w:tcPr>
          <w:p>
            <w:pPr>
              <w:jc w:val="center"/>
              <w:ind w:left="208"/>
              <w:spacing w:after="0"/>
              <w:rPr>
                <w:sz w:val="20"/>
                <w:szCs w:val="20"/>
                <w:color w:val="auto"/>
              </w:rPr>
            </w:pPr>
            <w:r>
              <w:rPr>
                <w:rFonts w:ascii="Arial" w:cs="Arial" w:eastAsia="Arial" w:hAnsi="Arial"/>
                <w:sz w:val="38"/>
                <w:szCs w:val="38"/>
                <w:color w:val="auto"/>
              </w:rPr>
              <w:t>18% CC</w:t>
            </w:r>
          </w:p>
        </w:tc>
        <w:tc>
          <w:tcPr>
            <w:tcW w:w="40" w:type="dxa"/>
            <w:vAlign w:val="bottom"/>
            <w:shd w:val="clear" w:color="auto" w:fill="D47C18"/>
          </w:tcPr>
          <w:p>
            <w:pPr>
              <w:spacing w:after="0"/>
              <w:rPr>
                <w:sz w:val="23"/>
                <w:szCs w:val="23"/>
                <w:color w:val="auto"/>
              </w:rPr>
            </w:pPr>
          </w:p>
        </w:tc>
        <w:tc>
          <w:tcPr>
            <w:tcW w:w="2020" w:type="dxa"/>
            <w:vAlign w:val="bottom"/>
            <w:vMerge w:val="restart"/>
          </w:tcPr>
          <w:p>
            <w:pPr>
              <w:jc w:val="center"/>
              <w:ind w:left="194"/>
              <w:spacing w:after="0"/>
              <w:rPr>
                <w:sz w:val="20"/>
                <w:szCs w:val="20"/>
                <w:color w:val="auto"/>
              </w:rPr>
            </w:pPr>
            <w:r>
              <w:rPr>
                <w:rFonts w:ascii="Arial" w:cs="Arial" w:eastAsia="Arial" w:hAnsi="Arial"/>
                <w:sz w:val="38"/>
                <w:szCs w:val="38"/>
                <w:color w:val="auto"/>
              </w:rPr>
              <w:t>1% CC</w:t>
            </w:r>
          </w:p>
        </w:tc>
        <w:tc>
          <w:tcPr>
            <w:tcW w:w="40" w:type="dxa"/>
            <w:vAlign w:val="bottom"/>
          </w:tcPr>
          <w:p>
            <w:pPr>
              <w:spacing w:after="0"/>
              <w:rPr>
                <w:sz w:val="23"/>
                <w:szCs w:val="23"/>
                <w:color w:val="auto"/>
              </w:rPr>
            </w:pPr>
          </w:p>
        </w:tc>
        <w:tc>
          <w:tcPr>
            <w:tcW w:w="5260" w:type="dxa"/>
            <w:vAlign w:val="bottom"/>
            <w:tcBorders>
              <w:left w:val="single" w:sz="8" w:color="D47C18"/>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00" w:type="dxa"/>
            <w:vAlign w:val="bottom"/>
            <w:vMerge w:val="continue"/>
          </w:tcPr>
          <w:p>
            <w:pPr>
              <w:spacing w:after="0"/>
              <w:rPr>
                <w:sz w:val="21"/>
                <w:szCs w:val="21"/>
                <w:color w:val="auto"/>
              </w:rPr>
            </w:pPr>
          </w:p>
        </w:tc>
        <w:tc>
          <w:tcPr>
            <w:tcW w:w="40" w:type="dxa"/>
            <w:vAlign w:val="bottom"/>
            <w:shd w:val="clear" w:color="auto" w:fill="D47C18"/>
          </w:tcPr>
          <w:p>
            <w:pPr>
              <w:spacing w:after="0"/>
              <w:rPr>
                <w:sz w:val="21"/>
                <w:szCs w:val="21"/>
                <w:color w:val="auto"/>
              </w:rPr>
            </w:pPr>
          </w:p>
        </w:tc>
        <w:tc>
          <w:tcPr>
            <w:tcW w:w="20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5260" w:type="dxa"/>
            <w:vAlign w:val="bottom"/>
            <w:tcBorders>
              <w:left w:val="single" w:sz="8" w:color="D47C18"/>
            </w:tcBorders>
          </w:tcPr>
          <w:p>
            <w:pPr>
              <w:spacing w:after="0"/>
              <w:rPr>
                <w:sz w:val="21"/>
                <w:szCs w:val="21"/>
                <w:color w:val="auto"/>
              </w:rPr>
            </w:pPr>
          </w:p>
        </w:tc>
        <w:tc>
          <w:tcPr>
            <w:tcW w:w="0" w:type="dxa"/>
            <w:vAlign w:val="bottom"/>
          </w:tcPr>
          <w:p>
            <w:pPr>
              <w:spacing w:after="0"/>
              <w:rPr>
                <w:sz w:val="1"/>
                <w:szCs w:val="1"/>
                <w:color w:val="auto"/>
              </w:rPr>
            </w:pPr>
          </w:p>
        </w:tc>
      </w:tr>
      <w:tr>
        <w:trPr>
          <w:trHeight w:val="44"/>
        </w:trPr>
        <w:tc>
          <w:tcPr>
            <w:tcW w:w="2000" w:type="dxa"/>
            <w:vAlign w:val="bottom"/>
            <w:tcBorders>
              <w:bottom w:val="single" w:sz="8" w:color="D47C18"/>
            </w:tcBorders>
          </w:tcPr>
          <w:p>
            <w:pPr>
              <w:spacing w:after="0"/>
              <w:rPr>
                <w:sz w:val="3"/>
                <w:szCs w:val="3"/>
                <w:color w:val="auto"/>
              </w:rPr>
            </w:pPr>
          </w:p>
        </w:tc>
        <w:tc>
          <w:tcPr>
            <w:tcW w:w="40" w:type="dxa"/>
            <w:vAlign w:val="bottom"/>
            <w:tcBorders>
              <w:bottom w:val="single" w:sz="8" w:color="D47C18"/>
            </w:tcBorders>
            <w:shd w:val="clear" w:color="auto" w:fill="D47C18"/>
          </w:tcPr>
          <w:p>
            <w:pPr>
              <w:spacing w:after="0"/>
              <w:rPr>
                <w:sz w:val="3"/>
                <w:szCs w:val="3"/>
                <w:color w:val="auto"/>
              </w:rPr>
            </w:pPr>
          </w:p>
        </w:tc>
        <w:tc>
          <w:tcPr>
            <w:tcW w:w="2020" w:type="dxa"/>
            <w:vAlign w:val="bottom"/>
            <w:tcBorders>
              <w:bottom w:val="single" w:sz="8" w:color="D47C18"/>
            </w:tcBorders>
          </w:tcPr>
          <w:p>
            <w:pPr>
              <w:spacing w:after="0"/>
              <w:rPr>
                <w:sz w:val="3"/>
                <w:szCs w:val="3"/>
                <w:color w:val="auto"/>
              </w:rPr>
            </w:pPr>
          </w:p>
        </w:tc>
        <w:tc>
          <w:tcPr>
            <w:tcW w:w="40" w:type="dxa"/>
            <w:vAlign w:val="bottom"/>
            <w:tcBorders>
              <w:bottom w:val="single" w:sz="8" w:color="D47C18"/>
            </w:tcBorders>
          </w:tcPr>
          <w:p>
            <w:pPr>
              <w:spacing w:after="0"/>
              <w:rPr>
                <w:sz w:val="3"/>
                <w:szCs w:val="3"/>
                <w:color w:val="auto"/>
              </w:rPr>
            </w:pPr>
          </w:p>
        </w:tc>
        <w:tc>
          <w:tcPr>
            <w:tcW w:w="5260" w:type="dxa"/>
            <w:vAlign w:val="bottom"/>
            <w:tcBorders>
              <w:left w:val="single" w:sz="8" w:color="D47C18"/>
              <w:bottom w:val="single" w:sz="8" w:color="D47C18"/>
            </w:tcBorders>
          </w:tcPr>
          <w:p>
            <w:pPr>
              <w:spacing w:after="0"/>
              <w:rPr>
                <w:sz w:val="3"/>
                <w:szCs w:val="3"/>
                <w:color w:val="auto"/>
              </w:rPr>
            </w:pPr>
          </w:p>
        </w:tc>
        <w:tc>
          <w:tcPr>
            <w:tcW w:w="0" w:type="dxa"/>
            <w:vAlign w:val="bottom"/>
          </w:tcPr>
          <w:p>
            <w:pPr>
              <w:spacing w:after="0"/>
              <w:rPr>
                <w:sz w:val="1"/>
                <w:szCs w:val="1"/>
                <w:color w:val="auto"/>
              </w:rPr>
            </w:pPr>
          </w:p>
        </w:tc>
      </w:tr>
      <w:tr>
        <w:trPr>
          <w:trHeight w:val="800"/>
        </w:trPr>
        <w:tc>
          <w:tcPr>
            <w:tcW w:w="2000" w:type="dxa"/>
            <w:vAlign w:val="bottom"/>
          </w:tcPr>
          <w:p>
            <w:pPr>
              <w:jc w:val="center"/>
              <w:ind w:left="208"/>
              <w:spacing w:after="0"/>
              <w:rPr>
                <w:sz w:val="20"/>
                <w:szCs w:val="20"/>
                <w:color w:val="auto"/>
              </w:rPr>
            </w:pPr>
            <w:r>
              <w:rPr>
                <w:rFonts w:ascii="Arial" w:cs="Arial" w:eastAsia="Arial" w:hAnsi="Arial"/>
                <w:sz w:val="38"/>
                <w:szCs w:val="38"/>
                <w:color w:val="auto"/>
                <w:w w:val="99"/>
              </w:rPr>
              <w:t>80 bps</w:t>
            </w:r>
          </w:p>
        </w:tc>
        <w:tc>
          <w:tcPr>
            <w:tcW w:w="40" w:type="dxa"/>
            <w:vAlign w:val="bottom"/>
            <w:shd w:val="clear" w:color="auto" w:fill="D47C18"/>
          </w:tcPr>
          <w:p>
            <w:pPr>
              <w:spacing w:after="0"/>
              <w:rPr>
                <w:sz w:val="24"/>
                <w:szCs w:val="24"/>
                <w:color w:val="auto"/>
              </w:rPr>
            </w:pPr>
          </w:p>
        </w:tc>
        <w:tc>
          <w:tcPr>
            <w:tcW w:w="2020" w:type="dxa"/>
            <w:vAlign w:val="bottom"/>
          </w:tcPr>
          <w:p>
            <w:pPr>
              <w:jc w:val="center"/>
              <w:ind w:left="194"/>
              <w:spacing w:after="0"/>
              <w:rPr>
                <w:sz w:val="20"/>
                <w:szCs w:val="20"/>
                <w:color w:val="auto"/>
              </w:rPr>
            </w:pPr>
            <w:r>
              <w:rPr>
                <w:rFonts w:ascii="Arial" w:cs="Arial" w:eastAsia="Arial" w:hAnsi="Arial"/>
                <w:sz w:val="38"/>
                <w:szCs w:val="38"/>
                <w:color w:val="auto"/>
                <w:w w:val="99"/>
              </w:rPr>
              <w:t>10 bps</w:t>
            </w:r>
          </w:p>
        </w:tc>
        <w:tc>
          <w:tcPr>
            <w:tcW w:w="40" w:type="dxa"/>
            <w:vAlign w:val="bottom"/>
            <w:shd w:val="clear" w:color="auto" w:fill="D47C18"/>
          </w:tcPr>
          <w:p>
            <w:pPr>
              <w:spacing w:after="0"/>
              <w:rPr>
                <w:sz w:val="24"/>
                <w:szCs w:val="24"/>
                <w:color w:val="auto"/>
              </w:rPr>
            </w:pPr>
          </w:p>
        </w:tc>
        <w:tc>
          <w:tcPr>
            <w:tcW w:w="5260" w:type="dxa"/>
            <w:vAlign w:val="bottom"/>
          </w:tcPr>
          <w:p>
            <w:pPr>
              <w:ind w:left="320"/>
              <w:spacing w:after="0"/>
              <w:rPr>
                <w:sz w:val="20"/>
                <w:szCs w:val="20"/>
                <w:color w:val="auto"/>
              </w:rPr>
            </w:pPr>
            <w:r>
              <w:rPr>
                <w:rFonts w:ascii="Arial" w:cs="Arial" w:eastAsia="Arial" w:hAnsi="Arial"/>
                <w:sz w:val="41"/>
                <w:szCs w:val="41"/>
                <w:b w:val="1"/>
                <w:bCs w:val="1"/>
                <w:color w:val="auto"/>
              </w:rPr>
              <w:t xml:space="preserve">OUP Margin </w:t>
            </w:r>
            <w:r>
              <w:rPr>
                <w:rFonts w:ascii="Arial" w:cs="Arial" w:eastAsia="Arial" w:hAnsi="Arial"/>
                <w:sz w:val="44"/>
                <w:szCs w:val="44"/>
                <w:b w:val="1"/>
                <w:bCs w:val="1"/>
                <w:color w:val="5F81AA"/>
              </w:rPr>
              <w:t>3.4%</w:t>
            </w:r>
          </w:p>
        </w:tc>
        <w:tc>
          <w:tcPr>
            <w:tcW w:w="0" w:type="dxa"/>
            <w:vAlign w:val="bottom"/>
          </w:tcPr>
          <w:p>
            <w:pPr>
              <w:spacing w:after="0"/>
              <w:rPr>
                <w:sz w:val="1"/>
                <w:szCs w:val="1"/>
                <w:color w:val="auto"/>
              </w:rPr>
            </w:pPr>
          </w:p>
        </w:tc>
      </w:tr>
      <w:tr>
        <w:trPr>
          <w:trHeight w:val="223"/>
        </w:trPr>
        <w:tc>
          <w:tcPr>
            <w:tcW w:w="2000" w:type="dxa"/>
            <w:vAlign w:val="bottom"/>
          </w:tcPr>
          <w:p>
            <w:pPr>
              <w:spacing w:after="0"/>
              <w:rPr>
                <w:sz w:val="19"/>
                <w:szCs w:val="19"/>
                <w:color w:val="auto"/>
              </w:rPr>
            </w:pPr>
          </w:p>
        </w:tc>
        <w:tc>
          <w:tcPr>
            <w:tcW w:w="40" w:type="dxa"/>
            <w:vAlign w:val="bottom"/>
            <w:shd w:val="clear" w:color="auto" w:fill="D47C18"/>
          </w:tcPr>
          <w:p>
            <w:pPr>
              <w:spacing w:after="0"/>
              <w:rPr>
                <w:sz w:val="19"/>
                <w:szCs w:val="19"/>
                <w:color w:val="auto"/>
              </w:rPr>
            </w:pPr>
          </w:p>
        </w:tc>
        <w:tc>
          <w:tcPr>
            <w:tcW w:w="2020" w:type="dxa"/>
            <w:vAlign w:val="bottom"/>
          </w:tcPr>
          <w:p>
            <w:pPr>
              <w:spacing w:after="0"/>
              <w:rPr>
                <w:sz w:val="19"/>
                <w:szCs w:val="19"/>
                <w:color w:val="auto"/>
              </w:rPr>
            </w:pPr>
          </w:p>
        </w:tc>
        <w:tc>
          <w:tcPr>
            <w:tcW w:w="40" w:type="dxa"/>
            <w:vAlign w:val="bottom"/>
            <w:shd w:val="clear" w:color="auto" w:fill="D47C18"/>
          </w:tcPr>
          <w:p>
            <w:pPr>
              <w:spacing w:after="0"/>
              <w:rPr>
                <w:sz w:val="19"/>
                <w:szCs w:val="19"/>
                <w:color w:val="auto"/>
              </w:rPr>
            </w:pPr>
          </w:p>
        </w:tc>
        <w:tc>
          <w:tcPr>
            <w:tcW w:w="5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800" w:hanging="270"/>
        <w:spacing w:after="0"/>
        <w:tabs>
          <w:tab w:leader="none" w:pos="800" w:val="left"/>
        </w:tabs>
        <w:numPr>
          <w:ilvl w:val="0"/>
          <w:numId w:val="11"/>
        </w:numPr>
        <w:rPr>
          <w:rFonts w:ascii="Arial" w:cs="Arial" w:eastAsia="Arial" w:hAnsi="Arial"/>
          <w:sz w:val="27"/>
          <w:szCs w:val="27"/>
          <w:color w:val="auto"/>
          <w:vertAlign w:val="superscript"/>
        </w:rPr>
      </w:pPr>
      <w:r>
        <w:rPr>
          <w:rFonts w:ascii="Arial" w:cs="Arial" w:eastAsia="Arial" w:hAnsi="Arial"/>
          <w:sz w:val="19"/>
          <w:szCs w:val="19"/>
          <w:color w:val="auto"/>
        </w:rPr>
        <w:t>Excludes the impact of reorganization charges of $12.0M in 2011.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429895</wp:posOffset>
            </wp:positionV>
            <wp:extent cx="726821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420"/>
          </w:cols>
          <w:pgMar w:left="680" w:top="449" w:right="799" w:bottom="1440" w:gutter="0" w:footer="0" w:header="0"/>
          <w:type w:val="continuous"/>
        </w:sectPr>
      </w:pPr>
    </w:p>
    <w:bookmarkStart w:id="23" w:name="page24"/>
    <w:bookmarkEnd w:id="23"/>
    <w:p>
      <w:pPr>
        <w:ind w:left="440" w:right="3260"/>
        <w:spacing w:after="0" w:line="289" w:lineRule="auto"/>
        <w:rPr>
          <w:sz w:val="20"/>
          <w:szCs w:val="20"/>
          <w:color w:val="auto"/>
        </w:rPr>
      </w:pPr>
      <w:r>
        <w:rPr>
          <w:rFonts w:ascii="Arial" w:cs="Arial" w:eastAsia="Arial" w:hAnsi="Arial"/>
          <w:sz w:val="25"/>
          <w:szCs w:val="25"/>
          <w:b w:val="1"/>
          <w:bCs w:val="1"/>
          <w:color w:val="FFFFFF"/>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2011 4</w:t>
      </w:r>
      <w:r>
        <w:rPr>
          <w:rFonts w:ascii="Arial" w:cs="Arial" w:eastAsia="Arial" w:hAnsi="Arial"/>
          <w:sz w:val="17"/>
          <w:szCs w:val="17"/>
          <w:b w:val="1"/>
          <w:bCs w:val="1"/>
          <w:color w:val="FFFFFF"/>
        </w:rPr>
        <w:t>th</w:t>
      </w:r>
      <w:r>
        <w:rPr>
          <w:rFonts w:ascii="Arial" w:cs="Arial" w:eastAsia="Arial" w:hAnsi="Arial"/>
          <w:sz w:val="25"/>
          <w:szCs w:val="25"/>
          <w:b w:val="1"/>
          <w:bCs w:val="1"/>
          <w:color w:val="FFFFFF"/>
        </w:rPr>
        <w:t xml:space="preserve"> Quarter Results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February</w:t>
      </w:r>
    </w:p>
    <w:p>
      <w:pPr>
        <w:spacing w:after="0" w:line="523" w:lineRule="exact"/>
        <w:rPr>
          <w:sz w:val="20"/>
          <w:szCs w:val="20"/>
          <w:color w:val="auto"/>
        </w:rPr>
      </w:pPr>
    </w:p>
    <w:p>
      <w:pPr>
        <w:sectPr>
          <w:pgSz w:w="11900" w:h="16838" w:orient="portrait"/>
          <w:cols w:equalWidth="0" w:num="2">
            <w:col w:w="8780" w:space="720"/>
            <w:col w:w="1940"/>
          </w:cols>
          <w:pgMar w:left="240" w:top="449" w:right="219" w:bottom="1440" w:gutter="0" w:footer="0" w:header="0"/>
        </w:sectPr>
      </w:pPr>
    </w:p>
    <w:p>
      <w:pPr>
        <w:ind w:left="880"/>
        <w:spacing w:after="0"/>
        <w:rPr>
          <w:sz w:val="20"/>
          <w:szCs w:val="20"/>
          <w:color w:val="auto"/>
        </w:rPr>
      </w:pPr>
      <w:r>
        <w:rPr>
          <w:rFonts w:ascii="Arial" w:cs="Arial" w:eastAsia="Arial" w:hAnsi="Arial"/>
          <w:sz w:val="51"/>
          <w:szCs w:val="51"/>
          <w:color w:val="5F81AA"/>
        </w:rPr>
        <w:t>Northern Europe - Q4 Revenue Growth YoY</w:t>
      </w:r>
    </w:p>
    <w:p>
      <w:pPr>
        <w:spacing w:after="0" w:line="260" w:lineRule="exact"/>
        <w:rPr>
          <w:sz w:val="20"/>
          <w:szCs w:val="20"/>
          <w:color w:val="auto"/>
        </w:rPr>
      </w:pPr>
    </w:p>
    <w:p>
      <w:pPr>
        <w:ind w:left="820" w:right="9340" w:hanging="291"/>
        <w:spacing w:after="0" w:line="304" w:lineRule="auto"/>
        <w:tabs>
          <w:tab w:leader="none" w:pos="807" w:val="left"/>
        </w:tabs>
        <w:numPr>
          <w:ilvl w:val="0"/>
          <w:numId w:val="12"/>
        </w:numPr>
        <w:rPr>
          <w:rFonts w:ascii="Arial" w:cs="Arial" w:eastAsia="Arial" w:hAnsi="Arial"/>
          <w:sz w:val="23"/>
          <w:szCs w:val="23"/>
          <w:b w:val="1"/>
          <w:bCs w:val="1"/>
          <w:color w:val="auto"/>
        </w:rPr>
      </w:pPr>
      <w:r>
        <w:rPr>
          <w:rFonts w:ascii="Arial" w:cs="Arial" w:eastAsia="Arial" w:hAnsi="Arial"/>
          <w:sz w:val="23"/>
          <w:szCs w:val="23"/>
          <w:b w:val="1"/>
          <w:bCs w:val="1"/>
          <w:color w:val="auto"/>
        </w:rPr>
        <w:t>of Segment Revenue</w:t>
      </w:r>
    </w:p>
    <w:p>
      <w:pPr>
        <w:spacing w:after="0" w:line="185" w:lineRule="exact"/>
        <w:rPr>
          <w:sz w:val="20"/>
          <w:szCs w:val="20"/>
          <w:color w:val="auto"/>
        </w:rPr>
      </w:pPr>
    </w:p>
    <w:p>
      <w:pPr>
        <w:ind w:left="1040"/>
        <w:spacing w:after="0"/>
        <w:rPr>
          <w:sz w:val="20"/>
          <w:szCs w:val="20"/>
          <w:color w:val="auto"/>
        </w:rPr>
      </w:pPr>
      <w:r>
        <w:rPr>
          <w:rFonts w:ascii="Arial" w:cs="Arial" w:eastAsia="Arial" w:hAnsi="Arial"/>
          <w:sz w:val="29"/>
          <w:szCs w:val="29"/>
          <w:b w:val="1"/>
          <w:bCs w:val="1"/>
          <w:color w:val="6698C2"/>
        </w:rPr>
        <w:t>21%</w:t>
      </w:r>
    </w:p>
    <w:p>
      <w:pPr>
        <w:spacing w:after="0" w:line="200" w:lineRule="exact"/>
        <w:rPr>
          <w:sz w:val="20"/>
          <w:szCs w:val="20"/>
          <w:color w:val="auto"/>
        </w:rPr>
      </w:pPr>
    </w:p>
    <w:p>
      <w:pPr>
        <w:spacing w:after="0" w:line="216" w:lineRule="exact"/>
        <w:rPr>
          <w:sz w:val="20"/>
          <w:szCs w:val="20"/>
          <w:color w:val="auto"/>
        </w:rPr>
      </w:pPr>
    </w:p>
    <w:p>
      <w:pPr>
        <w:ind w:left="1040"/>
        <w:spacing w:after="0"/>
        <w:rPr>
          <w:sz w:val="20"/>
          <w:szCs w:val="20"/>
          <w:color w:val="auto"/>
        </w:rPr>
      </w:pPr>
      <w:r>
        <w:rPr>
          <w:rFonts w:ascii="Arial" w:cs="Arial" w:eastAsia="Arial" w:hAnsi="Arial"/>
          <w:sz w:val="29"/>
          <w:szCs w:val="29"/>
          <w:b w:val="1"/>
          <w:bCs w:val="1"/>
          <w:color w:val="6698C2"/>
        </w:rPr>
        <w:t>17%</w:t>
      </w:r>
    </w:p>
    <w:p>
      <w:pPr>
        <w:spacing w:after="0" w:line="368" w:lineRule="exact"/>
        <w:rPr>
          <w:sz w:val="20"/>
          <w:szCs w:val="20"/>
          <w:color w:val="auto"/>
        </w:rPr>
      </w:pPr>
    </w:p>
    <w:p>
      <w:pPr>
        <w:ind w:left="980"/>
        <w:spacing w:after="0"/>
        <w:rPr>
          <w:sz w:val="20"/>
          <w:szCs w:val="20"/>
          <w:color w:val="auto"/>
        </w:rPr>
      </w:pPr>
      <w:r>
        <w:rPr>
          <w:rFonts w:ascii="Arial" w:cs="Arial" w:eastAsia="Arial" w:hAnsi="Arial"/>
          <w:sz w:val="29"/>
          <w:szCs w:val="29"/>
          <w:b w:val="1"/>
          <w:bCs w:val="1"/>
          <w:color w:val="6698C2"/>
        </w:rPr>
        <w:t>15%</w:t>
      </w:r>
    </w:p>
    <w:p>
      <w:pPr>
        <w:spacing w:after="0" w:line="368" w:lineRule="exact"/>
        <w:rPr>
          <w:sz w:val="20"/>
          <w:szCs w:val="20"/>
          <w:color w:val="auto"/>
        </w:rPr>
      </w:pPr>
    </w:p>
    <w:p>
      <w:pPr>
        <w:ind w:left="1020"/>
        <w:spacing w:after="0"/>
        <w:rPr>
          <w:sz w:val="20"/>
          <w:szCs w:val="20"/>
          <w:color w:val="auto"/>
        </w:rPr>
      </w:pPr>
      <w:r>
        <w:rPr>
          <w:rFonts w:ascii="Arial" w:cs="Arial" w:eastAsia="Arial" w:hAnsi="Arial"/>
          <w:sz w:val="29"/>
          <w:szCs w:val="29"/>
          <w:b w:val="1"/>
          <w:bCs w:val="1"/>
          <w:color w:val="6698C2"/>
        </w:rPr>
        <w:t>12%</w:t>
      </w:r>
    </w:p>
    <w:p>
      <w:pPr>
        <w:spacing w:after="0" w:line="200" w:lineRule="exact"/>
        <w:rPr>
          <w:sz w:val="20"/>
          <w:szCs w:val="20"/>
          <w:color w:val="auto"/>
        </w:rPr>
      </w:pPr>
    </w:p>
    <w:p>
      <w:pPr>
        <w:spacing w:after="0" w:line="216" w:lineRule="exact"/>
        <w:rPr>
          <w:sz w:val="20"/>
          <w:szCs w:val="20"/>
          <w:color w:val="auto"/>
        </w:rPr>
      </w:pPr>
    </w:p>
    <w:p>
      <w:pPr>
        <w:ind w:left="1000"/>
        <w:spacing w:after="0"/>
        <w:rPr>
          <w:sz w:val="20"/>
          <w:szCs w:val="20"/>
          <w:color w:val="auto"/>
        </w:rPr>
      </w:pPr>
      <w:r>
        <w:rPr>
          <w:rFonts w:ascii="Arial" w:cs="Arial" w:eastAsia="Arial" w:hAnsi="Arial"/>
          <w:sz w:val="29"/>
          <w:szCs w:val="29"/>
          <w:b w:val="1"/>
          <w:bCs w:val="1"/>
          <w:color w:val="6698C2"/>
        </w:rPr>
        <w:t>10%</w:t>
      </w:r>
    </w:p>
    <w:p>
      <w:pPr>
        <w:spacing w:after="0" w:line="368" w:lineRule="exact"/>
        <w:rPr>
          <w:sz w:val="20"/>
          <w:szCs w:val="20"/>
          <w:color w:val="auto"/>
        </w:rPr>
      </w:pPr>
    </w:p>
    <w:p>
      <w:pPr>
        <w:ind w:left="1120"/>
        <w:spacing w:after="0"/>
        <w:rPr>
          <w:sz w:val="20"/>
          <w:szCs w:val="20"/>
          <w:color w:val="auto"/>
        </w:rPr>
      </w:pPr>
      <w:r>
        <w:rPr>
          <w:rFonts w:ascii="Arial" w:cs="Arial" w:eastAsia="Arial" w:hAnsi="Arial"/>
          <w:sz w:val="29"/>
          <w:szCs w:val="29"/>
          <w:b w:val="1"/>
          <w:bCs w:val="1"/>
          <w:color w:val="6698C2"/>
        </w:rPr>
        <w:t>7%</w:t>
      </w:r>
    </w:p>
    <w:p>
      <w:pPr>
        <w:spacing w:after="0" w:line="368" w:lineRule="exact"/>
        <w:rPr>
          <w:sz w:val="20"/>
          <w:szCs w:val="20"/>
          <w:color w:val="auto"/>
        </w:rPr>
      </w:pPr>
    </w:p>
    <w:p>
      <w:pPr>
        <w:ind w:left="1040"/>
        <w:spacing w:after="0"/>
        <w:rPr>
          <w:sz w:val="20"/>
          <w:szCs w:val="20"/>
          <w:color w:val="auto"/>
        </w:rPr>
      </w:pPr>
      <w:r>
        <w:rPr>
          <w:rFonts w:ascii="Arial" w:cs="Arial" w:eastAsia="Arial" w:hAnsi="Arial"/>
          <w:sz w:val="29"/>
          <w:szCs w:val="29"/>
          <w:b w:val="1"/>
          <w:bCs w:val="1"/>
          <w:color w:val="6698C2"/>
        </w:rPr>
        <w:t>18%</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380" w:type="dxa"/>
            <w:vAlign w:val="bottom"/>
          </w:tcPr>
          <w:p>
            <w:pPr>
              <w:jc w:val="center"/>
              <w:ind w:left="3429"/>
              <w:spacing w:after="0"/>
              <w:rPr>
                <w:sz w:val="20"/>
                <w:szCs w:val="20"/>
                <w:color w:val="auto"/>
              </w:rPr>
            </w:pPr>
            <w:r>
              <w:rPr>
                <w:rFonts w:ascii="Arial" w:cs="Arial" w:eastAsia="Arial" w:hAnsi="Arial"/>
                <w:sz w:val="22"/>
                <w:szCs w:val="22"/>
                <w:b w:val="1"/>
                <w:bCs w:val="1"/>
                <w:color w:val="auto"/>
              </w:rPr>
              <w:t>Revenue</w:t>
            </w:r>
          </w:p>
        </w:tc>
        <w:tc>
          <w:tcPr>
            <w:tcW w:w="4020" w:type="dxa"/>
            <w:vAlign w:val="bottom"/>
          </w:tcPr>
          <w:p>
            <w:pPr>
              <w:ind w:left="460"/>
              <w:spacing w:after="0"/>
              <w:rPr>
                <w:sz w:val="20"/>
                <w:szCs w:val="20"/>
                <w:color w:val="auto"/>
              </w:rPr>
            </w:pPr>
            <w:r>
              <w:rPr>
                <w:rFonts w:ascii="Arial" w:cs="Arial" w:eastAsia="Arial" w:hAnsi="Arial"/>
                <w:sz w:val="22"/>
                <w:szCs w:val="22"/>
                <w:b w:val="1"/>
                <w:bCs w:val="1"/>
                <w:color w:val="auto"/>
              </w:rPr>
              <w:t>Revenue Growth - CC</w:t>
            </w:r>
          </w:p>
        </w:tc>
        <w:tc>
          <w:tcPr>
            <w:tcW w:w="2040" w:type="dxa"/>
            <w:vAlign w:val="bottom"/>
          </w:tcPr>
          <w:p>
            <w:pPr>
              <w:jc w:val="right"/>
              <w:ind w:right="509"/>
              <w:spacing w:after="0"/>
              <w:rPr>
                <w:sz w:val="20"/>
                <w:szCs w:val="20"/>
                <w:color w:val="auto"/>
              </w:rPr>
            </w:pPr>
            <w:r>
              <w:rPr>
                <w:rFonts w:ascii="Arial" w:cs="Arial" w:eastAsia="Arial" w:hAnsi="Arial"/>
                <w:sz w:val="14"/>
                <w:szCs w:val="14"/>
                <w:color w:val="898989"/>
              </w:rPr>
              <w:t>13</w:t>
            </w:r>
          </w:p>
        </w:tc>
      </w:tr>
      <w:tr>
        <w:trPr>
          <w:trHeight w:val="295"/>
        </w:trPr>
        <w:tc>
          <w:tcPr>
            <w:tcW w:w="5380" w:type="dxa"/>
            <w:vAlign w:val="bottom"/>
          </w:tcPr>
          <w:p>
            <w:pPr>
              <w:jc w:val="center"/>
              <w:ind w:left="3409"/>
              <w:spacing w:after="0"/>
              <w:rPr>
                <w:sz w:val="20"/>
                <w:szCs w:val="20"/>
                <w:color w:val="auto"/>
              </w:rPr>
            </w:pPr>
            <w:r>
              <w:rPr>
                <w:rFonts w:ascii="Arial" w:cs="Arial" w:eastAsia="Arial" w:hAnsi="Arial"/>
                <w:sz w:val="22"/>
                <w:szCs w:val="22"/>
                <w:b w:val="1"/>
                <w:bCs w:val="1"/>
                <w:color w:val="auto"/>
              </w:rPr>
              <w:t>Growth</w:t>
            </w:r>
          </w:p>
        </w:tc>
        <w:tc>
          <w:tcPr>
            <w:tcW w:w="40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94"/>
        </w:trPr>
        <w:tc>
          <w:tcPr>
            <w:tcW w:w="538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type w:val="continuous"/>
        </w:sectPr>
      </w:pPr>
    </w:p>
    <w:bookmarkStart w:id="24" w:name="page25"/>
    <w:bookmarkEnd w:id="24"/>
    <w:p>
      <w:pPr>
        <w:ind w:right="3260"/>
        <w:spacing w:after="0" w:line="289" w:lineRule="auto"/>
        <w:rPr>
          <w:sz w:val="20"/>
          <w:szCs w:val="20"/>
          <w:color w:val="auto"/>
        </w:rPr>
      </w:pPr>
      <w:r>
        <w:rPr>
          <w:rFonts w:ascii="Arial" w:cs="Arial" w:eastAsia="Arial" w:hAnsi="Arial"/>
          <w:sz w:val="25"/>
          <w:szCs w:val="25"/>
          <w:b w:val="1"/>
          <w:bCs w:val="1"/>
          <w:color w:val="FFFFFF"/>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2011 4</w:t>
      </w:r>
      <w:r>
        <w:rPr>
          <w:rFonts w:ascii="Arial" w:cs="Arial" w:eastAsia="Arial" w:hAnsi="Arial"/>
          <w:sz w:val="17"/>
          <w:szCs w:val="17"/>
          <w:b w:val="1"/>
          <w:bCs w:val="1"/>
          <w:color w:val="FFFFFF"/>
        </w:rPr>
        <w:t>th</w:t>
      </w:r>
      <w:r>
        <w:rPr>
          <w:rFonts w:ascii="Arial" w:cs="Arial" w:eastAsia="Arial" w:hAnsi="Arial"/>
          <w:sz w:val="25"/>
          <w:szCs w:val="25"/>
          <w:b w:val="1"/>
          <w:bCs w:val="1"/>
          <w:color w:val="FFFFFF"/>
        </w:rPr>
        <w:t xml:space="preserve"> Quarter Results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February</w:t>
      </w:r>
    </w:p>
    <w:p>
      <w:pPr>
        <w:spacing w:after="0" w:line="594" w:lineRule="exact"/>
        <w:rPr>
          <w:sz w:val="20"/>
          <w:szCs w:val="20"/>
          <w:color w:val="auto"/>
        </w:rPr>
      </w:pPr>
    </w:p>
    <w:p>
      <w:pPr>
        <w:sectPr>
          <w:pgSz w:w="11900" w:h="16838" w:orient="portrait"/>
          <w:cols w:equalWidth="0" w:num="2">
            <w:col w:w="8340" w:space="720"/>
            <w:col w:w="1360"/>
          </w:cols>
          <w:pgMar w:left="680" w:top="449" w:right="799" w:bottom="1440" w:gutter="0" w:footer="0" w:header="0"/>
        </w:sectPr>
      </w:pPr>
    </w:p>
    <w:p>
      <w:pPr>
        <w:ind w:left="320"/>
        <w:spacing w:after="0"/>
        <w:rPr>
          <w:sz w:val="20"/>
          <w:szCs w:val="20"/>
          <w:color w:val="auto"/>
        </w:rPr>
      </w:pPr>
      <w:r>
        <w:rPr>
          <w:rFonts w:ascii="Arial" w:cs="Arial" w:eastAsia="Arial" w:hAnsi="Arial"/>
          <w:sz w:val="51"/>
          <w:szCs w:val="51"/>
          <w:color w:val="5F81AA"/>
        </w:rPr>
        <w:t>APME Segment</w:t>
      </w:r>
    </w:p>
    <w:p>
      <w:pPr>
        <w:spacing w:after="0" w:line="4" w:lineRule="exact"/>
        <w:rPr>
          <w:sz w:val="20"/>
          <w:szCs w:val="20"/>
          <w:color w:val="auto"/>
        </w:rPr>
      </w:pPr>
    </w:p>
    <w:p>
      <w:pPr>
        <w:ind w:left="320"/>
        <w:spacing w:after="0"/>
        <w:rPr>
          <w:sz w:val="20"/>
          <w:szCs w:val="20"/>
          <w:color w:val="auto"/>
        </w:rPr>
      </w:pPr>
      <w:r>
        <w:rPr>
          <w:rFonts w:ascii="Arial" w:cs="Arial" w:eastAsia="Arial" w:hAnsi="Arial"/>
          <w:sz w:val="32"/>
          <w:szCs w:val="32"/>
          <w:color w:val="5F81AA"/>
        </w:rPr>
        <w:t>(13% of Revenue)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120" w:type="dxa"/>
        <w:tblCellMar>
          <w:top w:w="0" w:type="dxa"/>
          <w:left w:w="0" w:type="dxa"/>
          <w:bottom w:w="0" w:type="dxa"/>
          <w:right w:w="0" w:type="dxa"/>
        </w:tblCellMar>
      </w:tblPr>
      <w:tr>
        <w:trPr>
          <w:trHeight w:val="333"/>
        </w:trPr>
        <w:tc>
          <w:tcPr>
            <w:tcW w:w="2540" w:type="dxa"/>
            <w:vAlign w:val="bottom"/>
            <w:tcBorders>
              <w:right w:val="single" w:sz="8" w:color="D47C18"/>
            </w:tcBorders>
          </w:tcPr>
          <w:p>
            <w:pPr>
              <w:ind w:left="1060"/>
              <w:spacing w:after="0"/>
              <w:rPr>
                <w:sz w:val="20"/>
                <w:szCs w:val="20"/>
                <w:color w:val="auto"/>
              </w:rPr>
            </w:pPr>
            <w:r>
              <w:rPr>
                <w:rFonts w:ascii="Arial" w:cs="Arial" w:eastAsia="Arial" w:hAnsi="Arial"/>
                <w:sz w:val="29"/>
                <w:szCs w:val="29"/>
                <w:b w:val="1"/>
                <w:bCs w:val="1"/>
                <w:color w:val="282A32"/>
              </w:rPr>
              <w:t>As</w:t>
            </w:r>
          </w:p>
        </w:tc>
        <w:tc>
          <w:tcPr>
            <w:tcW w:w="5220" w:type="dxa"/>
            <w:vAlign w:val="bottom"/>
            <w:vMerge w:val="restart"/>
          </w:tcPr>
          <w:p>
            <w:pPr>
              <w:ind w:left="300"/>
              <w:spacing w:after="0"/>
              <w:rPr>
                <w:sz w:val="20"/>
                <w:szCs w:val="20"/>
                <w:color w:val="auto"/>
              </w:rPr>
            </w:pPr>
            <w:r>
              <w:rPr>
                <w:rFonts w:ascii="Arial" w:cs="Arial" w:eastAsia="Arial" w:hAnsi="Arial"/>
                <w:sz w:val="41"/>
                <w:szCs w:val="41"/>
                <w:b w:val="1"/>
                <w:bCs w:val="1"/>
                <w:color w:val="auto"/>
              </w:rPr>
              <w:t>Q4 Financial Highlights</w:t>
            </w:r>
          </w:p>
        </w:tc>
        <w:tc>
          <w:tcPr>
            <w:tcW w:w="0" w:type="dxa"/>
            <w:vAlign w:val="bottom"/>
          </w:tcPr>
          <w:p>
            <w:pPr>
              <w:spacing w:after="0"/>
              <w:rPr>
                <w:sz w:val="1"/>
                <w:szCs w:val="1"/>
                <w:color w:val="auto"/>
              </w:rPr>
            </w:pPr>
          </w:p>
        </w:tc>
      </w:tr>
      <w:tr>
        <w:trPr>
          <w:trHeight w:val="468"/>
        </w:trPr>
        <w:tc>
          <w:tcPr>
            <w:tcW w:w="2540" w:type="dxa"/>
            <w:vAlign w:val="bottom"/>
            <w:tcBorders>
              <w:right w:val="single" w:sz="8" w:color="D47C18"/>
            </w:tcBorders>
          </w:tcPr>
          <w:p>
            <w:pPr>
              <w:jc w:val="center"/>
              <w:ind w:left="3"/>
              <w:spacing w:after="0"/>
              <w:rPr>
                <w:sz w:val="20"/>
                <w:szCs w:val="20"/>
                <w:color w:val="auto"/>
              </w:rPr>
            </w:pPr>
            <w:r>
              <w:rPr>
                <w:rFonts w:ascii="Arial" w:cs="Arial" w:eastAsia="Arial" w:hAnsi="Arial"/>
                <w:sz w:val="29"/>
                <w:szCs w:val="29"/>
                <w:b w:val="1"/>
                <w:bCs w:val="1"/>
                <w:color w:val="282A32"/>
                <w:w w:val="95"/>
              </w:rPr>
              <w:t>Reported</w:t>
            </w:r>
            <w:r>
              <w:rPr>
                <w:rFonts w:ascii="Arial" w:cs="Arial" w:eastAsia="Arial" w:hAnsi="Arial"/>
                <w:sz w:val="34"/>
                <w:szCs w:val="34"/>
                <w:b w:val="1"/>
                <w:bCs w:val="1"/>
                <w:color w:val="C46D24"/>
                <w:w w:val="95"/>
                <w:vertAlign w:val="superscript"/>
              </w:rPr>
              <w:t>(1)</w:t>
            </w:r>
          </w:p>
        </w:tc>
        <w:tc>
          <w:tcPr>
            <w:tcW w:w="5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540" w:type="dxa"/>
            <w:vAlign w:val="bottom"/>
            <w:tcBorders>
              <w:bottom w:val="single" w:sz="8" w:color="D47C18"/>
              <w:right w:val="single" w:sz="8" w:color="D47C18"/>
            </w:tcBorders>
          </w:tcPr>
          <w:p>
            <w:pPr>
              <w:spacing w:after="0"/>
              <w:rPr>
                <w:sz w:val="21"/>
                <w:szCs w:val="21"/>
                <w:color w:val="auto"/>
              </w:rPr>
            </w:pPr>
          </w:p>
        </w:tc>
        <w:tc>
          <w:tcPr>
            <w:tcW w:w="5220" w:type="dxa"/>
            <w:vAlign w:val="bottom"/>
            <w:tcBorders>
              <w:bottom w:val="single" w:sz="8" w:color="D47C18"/>
            </w:tcBorders>
          </w:tcPr>
          <w:p>
            <w:pPr>
              <w:spacing w:after="0"/>
              <w:rPr>
                <w:sz w:val="21"/>
                <w:szCs w:val="21"/>
                <w:color w:val="auto"/>
              </w:rPr>
            </w:pPr>
          </w:p>
        </w:tc>
        <w:tc>
          <w:tcPr>
            <w:tcW w:w="0" w:type="dxa"/>
            <w:vAlign w:val="bottom"/>
          </w:tcPr>
          <w:p>
            <w:pPr>
              <w:spacing w:after="0"/>
              <w:rPr>
                <w:sz w:val="1"/>
                <w:szCs w:val="1"/>
                <w:color w:val="auto"/>
              </w:rPr>
            </w:pPr>
          </w:p>
        </w:tc>
      </w:tr>
      <w:tr>
        <w:trPr>
          <w:trHeight w:val="571"/>
        </w:trPr>
        <w:tc>
          <w:tcPr>
            <w:tcW w:w="2540" w:type="dxa"/>
            <w:vAlign w:val="bottom"/>
            <w:tcBorders>
              <w:right w:val="single" w:sz="8" w:color="D47C18"/>
            </w:tcBorders>
          </w:tcPr>
          <w:p>
            <w:pPr>
              <w:jc w:val="right"/>
              <w:ind w:right="563"/>
              <w:spacing w:after="0"/>
              <w:rPr>
                <w:sz w:val="20"/>
                <w:szCs w:val="20"/>
                <w:color w:val="auto"/>
              </w:rPr>
            </w:pPr>
            <w:r>
              <w:rPr>
                <w:rFonts w:ascii="Arial" w:cs="Arial" w:eastAsia="Arial" w:hAnsi="Arial"/>
                <w:sz w:val="38"/>
                <w:szCs w:val="38"/>
                <w:color w:val="auto"/>
              </w:rPr>
              <w:t>18%</w:t>
            </w:r>
          </w:p>
        </w:tc>
        <w:tc>
          <w:tcPr>
            <w:tcW w:w="5220" w:type="dxa"/>
            <w:vAlign w:val="bottom"/>
            <w:vMerge w:val="restart"/>
          </w:tcPr>
          <w:p>
            <w:pPr>
              <w:ind w:left="340"/>
              <w:spacing w:after="0"/>
              <w:rPr>
                <w:sz w:val="20"/>
                <w:szCs w:val="20"/>
                <w:color w:val="auto"/>
              </w:rPr>
            </w:pPr>
            <w:r>
              <w:rPr>
                <w:rFonts w:ascii="Arial" w:cs="Arial" w:eastAsia="Arial" w:hAnsi="Arial"/>
                <w:sz w:val="41"/>
                <w:szCs w:val="41"/>
                <w:b w:val="1"/>
                <w:bCs w:val="1"/>
                <w:color w:val="auto"/>
              </w:rPr>
              <w:t xml:space="preserve">Revenue </w:t>
            </w:r>
            <w:r>
              <w:rPr>
                <w:rFonts w:ascii="Arial" w:cs="Arial" w:eastAsia="Arial" w:hAnsi="Arial"/>
                <w:sz w:val="44"/>
                <w:szCs w:val="44"/>
                <w:b w:val="1"/>
                <w:bCs w:val="1"/>
                <w:color w:val="5F81AA"/>
              </w:rPr>
              <w:t>$695M</w:t>
            </w:r>
          </w:p>
        </w:tc>
        <w:tc>
          <w:tcPr>
            <w:tcW w:w="0" w:type="dxa"/>
            <w:vAlign w:val="bottom"/>
          </w:tcPr>
          <w:p>
            <w:pPr>
              <w:spacing w:after="0"/>
              <w:rPr>
                <w:sz w:val="1"/>
                <w:szCs w:val="1"/>
                <w:color w:val="auto"/>
              </w:rPr>
            </w:pPr>
          </w:p>
        </w:tc>
      </w:tr>
      <w:tr>
        <w:trPr>
          <w:trHeight w:val="265"/>
        </w:trPr>
        <w:tc>
          <w:tcPr>
            <w:tcW w:w="2540" w:type="dxa"/>
            <w:vAlign w:val="bottom"/>
            <w:tcBorders>
              <w:right w:val="single" w:sz="8" w:color="D47C18"/>
            </w:tcBorders>
            <w:vMerge w:val="restart"/>
          </w:tcPr>
          <w:p>
            <w:pPr>
              <w:jc w:val="center"/>
              <w:ind w:left="123"/>
              <w:spacing w:after="0"/>
              <w:rPr>
                <w:sz w:val="20"/>
                <w:szCs w:val="20"/>
                <w:color w:val="auto"/>
              </w:rPr>
            </w:pPr>
            <w:r>
              <w:rPr>
                <w:rFonts w:ascii="Arial" w:cs="Arial" w:eastAsia="Arial" w:hAnsi="Arial"/>
                <w:sz w:val="38"/>
                <w:szCs w:val="38"/>
                <w:color w:val="auto"/>
                <w:w w:val="98"/>
              </w:rPr>
              <w:t>14% CC</w:t>
            </w:r>
          </w:p>
        </w:tc>
        <w:tc>
          <w:tcPr>
            <w:tcW w:w="52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540" w:type="dxa"/>
            <w:vAlign w:val="bottom"/>
            <w:tcBorders>
              <w:right w:val="single" w:sz="8" w:color="D47C18"/>
            </w:tcBorders>
            <w:vMerge w:val="continue"/>
          </w:tcPr>
          <w:p>
            <w:pPr>
              <w:spacing w:after="0"/>
              <w:rPr>
                <w:sz w:val="17"/>
                <w:szCs w:val="17"/>
                <w:color w:val="auto"/>
              </w:rPr>
            </w:pPr>
          </w:p>
        </w:tc>
        <w:tc>
          <w:tcPr>
            <w:tcW w:w="5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540" w:type="dxa"/>
            <w:vAlign w:val="bottom"/>
            <w:tcBorders>
              <w:bottom w:val="single" w:sz="8" w:color="D47C18"/>
              <w:right w:val="single" w:sz="8" w:color="D47C18"/>
            </w:tcBorders>
          </w:tcPr>
          <w:p>
            <w:pPr>
              <w:spacing w:after="0"/>
              <w:rPr>
                <w:sz w:val="6"/>
                <w:szCs w:val="6"/>
                <w:color w:val="auto"/>
              </w:rPr>
            </w:pPr>
          </w:p>
        </w:tc>
        <w:tc>
          <w:tcPr>
            <w:tcW w:w="5220" w:type="dxa"/>
            <w:vAlign w:val="bottom"/>
            <w:tcBorders>
              <w:bottom w:val="single" w:sz="8" w:color="D47C18"/>
            </w:tcBorders>
          </w:tcPr>
          <w:p>
            <w:pPr>
              <w:spacing w:after="0"/>
              <w:rPr>
                <w:sz w:val="6"/>
                <w:szCs w:val="6"/>
                <w:color w:val="auto"/>
              </w:rPr>
            </w:pPr>
          </w:p>
        </w:tc>
        <w:tc>
          <w:tcPr>
            <w:tcW w:w="0" w:type="dxa"/>
            <w:vAlign w:val="bottom"/>
          </w:tcPr>
          <w:p>
            <w:pPr>
              <w:spacing w:after="0"/>
              <w:rPr>
                <w:sz w:val="1"/>
                <w:szCs w:val="1"/>
                <w:color w:val="auto"/>
              </w:rPr>
            </w:pPr>
          </w:p>
        </w:tc>
      </w:tr>
      <w:tr>
        <w:trPr>
          <w:trHeight w:val="571"/>
        </w:trPr>
        <w:tc>
          <w:tcPr>
            <w:tcW w:w="2540" w:type="dxa"/>
            <w:vAlign w:val="bottom"/>
            <w:tcBorders>
              <w:right w:val="single" w:sz="8" w:color="D47C18"/>
            </w:tcBorders>
          </w:tcPr>
          <w:p>
            <w:pPr>
              <w:jc w:val="right"/>
              <w:ind w:right="463"/>
              <w:spacing w:after="0"/>
              <w:rPr>
                <w:sz w:val="20"/>
                <w:szCs w:val="20"/>
                <w:color w:val="auto"/>
              </w:rPr>
            </w:pPr>
            <w:r>
              <w:rPr>
                <w:rFonts w:ascii="Arial" w:cs="Arial" w:eastAsia="Arial" w:hAnsi="Arial"/>
                <w:sz w:val="38"/>
                <w:szCs w:val="38"/>
                <w:color w:val="auto"/>
              </w:rPr>
              <w:t>121%</w:t>
            </w:r>
          </w:p>
        </w:tc>
        <w:tc>
          <w:tcPr>
            <w:tcW w:w="5220" w:type="dxa"/>
            <w:vAlign w:val="bottom"/>
            <w:vMerge w:val="restart"/>
          </w:tcPr>
          <w:p>
            <w:pPr>
              <w:ind w:left="340"/>
              <w:spacing w:after="0"/>
              <w:rPr>
                <w:sz w:val="20"/>
                <w:szCs w:val="20"/>
                <w:color w:val="auto"/>
              </w:rPr>
            </w:pPr>
            <w:r>
              <w:rPr>
                <w:rFonts w:ascii="Arial" w:cs="Arial" w:eastAsia="Arial" w:hAnsi="Arial"/>
                <w:sz w:val="41"/>
                <w:szCs w:val="41"/>
                <w:b w:val="1"/>
                <w:bCs w:val="1"/>
                <w:color w:val="auto"/>
              </w:rPr>
              <w:t xml:space="preserve">OUP </w:t>
            </w:r>
            <w:r>
              <w:rPr>
                <w:rFonts w:ascii="Arial" w:cs="Arial" w:eastAsia="Arial" w:hAnsi="Arial"/>
                <w:sz w:val="44"/>
                <w:szCs w:val="44"/>
                <w:b w:val="1"/>
                <w:bCs w:val="1"/>
                <w:color w:val="5F81AA"/>
              </w:rPr>
              <w:t>$22M</w:t>
            </w:r>
          </w:p>
        </w:tc>
        <w:tc>
          <w:tcPr>
            <w:tcW w:w="0" w:type="dxa"/>
            <w:vAlign w:val="bottom"/>
          </w:tcPr>
          <w:p>
            <w:pPr>
              <w:spacing w:after="0"/>
              <w:rPr>
                <w:sz w:val="1"/>
                <w:szCs w:val="1"/>
                <w:color w:val="auto"/>
              </w:rPr>
            </w:pPr>
          </w:p>
        </w:tc>
      </w:tr>
      <w:tr>
        <w:trPr>
          <w:trHeight w:val="265"/>
        </w:trPr>
        <w:tc>
          <w:tcPr>
            <w:tcW w:w="2540" w:type="dxa"/>
            <w:vAlign w:val="bottom"/>
            <w:tcBorders>
              <w:right w:val="single" w:sz="8" w:color="D47C18"/>
            </w:tcBorders>
            <w:vMerge w:val="restart"/>
          </w:tcPr>
          <w:p>
            <w:pPr>
              <w:jc w:val="center"/>
              <w:ind w:left="123"/>
              <w:spacing w:after="0"/>
              <w:rPr>
                <w:sz w:val="20"/>
                <w:szCs w:val="20"/>
                <w:color w:val="auto"/>
              </w:rPr>
            </w:pPr>
            <w:r>
              <w:rPr>
                <w:rFonts w:ascii="Arial" w:cs="Arial" w:eastAsia="Arial" w:hAnsi="Arial"/>
                <w:sz w:val="38"/>
                <w:szCs w:val="38"/>
                <w:color w:val="auto"/>
              </w:rPr>
              <w:t>115% CC</w:t>
            </w:r>
          </w:p>
        </w:tc>
        <w:tc>
          <w:tcPr>
            <w:tcW w:w="52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540" w:type="dxa"/>
            <w:vAlign w:val="bottom"/>
            <w:tcBorders>
              <w:right w:val="single" w:sz="8" w:color="D47C18"/>
            </w:tcBorders>
            <w:vMerge w:val="continue"/>
          </w:tcPr>
          <w:p>
            <w:pPr>
              <w:spacing w:after="0"/>
              <w:rPr>
                <w:sz w:val="21"/>
                <w:szCs w:val="21"/>
                <w:color w:val="auto"/>
              </w:rPr>
            </w:pPr>
          </w:p>
        </w:tc>
        <w:tc>
          <w:tcPr>
            <w:tcW w:w="5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
        </w:trPr>
        <w:tc>
          <w:tcPr>
            <w:tcW w:w="2540" w:type="dxa"/>
            <w:vAlign w:val="bottom"/>
            <w:tcBorders>
              <w:bottom w:val="single" w:sz="8" w:color="D47C18"/>
              <w:right w:val="single" w:sz="8" w:color="D47C18"/>
            </w:tcBorders>
          </w:tcPr>
          <w:p>
            <w:pPr>
              <w:spacing w:after="0"/>
              <w:rPr>
                <w:sz w:val="3"/>
                <w:szCs w:val="3"/>
                <w:color w:val="auto"/>
              </w:rPr>
            </w:pPr>
          </w:p>
        </w:tc>
        <w:tc>
          <w:tcPr>
            <w:tcW w:w="5220" w:type="dxa"/>
            <w:vAlign w:val="bottom"/>
            <w:tcBorders>
              <w:bottom w:val="single" w:sz="8" w:color="D47C18"/>
            </w:tcBorders>
          </w:tcPr>
          <w:p>
            <w:pPr>
              <w:spacing w:after="0"/>
              <w:rPr>
                <w:sz w:val="3"/>
                <w:szCs w:val="3"/>
                <w:color w:val="auto"/>
              </w:rPr>
            </w:pPr>
          </w:p>
        </w:tc>
        <w:tc>
          <w:tcPr>
            <w:tcW w:w="0" w:type="dxa"/>
            <w:vAlign w:val="bottom"/>
          </w:tcPr>
          <w:p>
            <w:pPr>
              <w:spacing w:after="0"/>
              <w:rPr>
                <w:sz w:val="1"/>
                <w:szCs w:val="1"/>
                <w:color w:val="auto"/>
              </w:rPr>
            </w:pPr>
          </w:p>
        </w:tc>
      </w:tr>
      <w:tr>
        <w:trPr>
          <w:trHeight w:val="800"/>
        </w:trPr>
        <w:tc>
          <w:tcPr>
            <w:tcW w:w="2540" w:type="dxa"/>
            <w:vAlign w:val="bottom"/>
            <w:tcBorders>
              <w:right w:val="single" w:sz="8" w:color="D47C18"/>
            </w:tcBorders>
          </w:tcPr>
          <w:p>
            <w:pPr>
              <w:jc w:val="center"/>
              <w:ind w:left="123"/>
              <w:spacing w:after="0"/>
              <w:rPr>
                <w:sz w:val="20"/>
                <w:szCs w:val="20"/>
                <w:color w:val="auto"/>
              </w:rPr>
            </w:pPr>
            <w:r>
              <w:rPr>
                <w:rFonts w:ascii="Arial" w:cs="Arial" w:eastAsia="Arial" w:hAnsi="Arial"/>
                <w:sz w:val="38"/>
                <w:szCs w:val="38"/>
                <w:color w:val="auto"/>
              </w:rPr>
              <w:t>140 bps</w:t>
            </w:r>
          </w:p>
        </w:tc>
        <w:tc>
          <w:tcPr>
            <w:tcW w:w="5220" w:type="dxa"/>
            <w:vAlign w:val="bottom"/>
          </w:tcPr>
          <w:p>
            <w:pPr>
              <w:ind w:left="300"/>
              <w:spacing w:after="0"/>
              <w:rPr>
                <w:sz w:val="20"/>
                <w:szCs w:val="20"/>
                <w:color w:val="auto"/>
              </w:rPr>
            </w:pPr>
            <w:r>
              <w:rPr>
                <w:rFonts w:ascii="Arial" w:cs="Arial" w:eastAsia="Arial" w:hAnsi="Arial"/>
                <w:sz w:val="41"/>
                <w:szCs w:val="41"/>
                <w:b w:val="1"/>
                <w:bCs w:val="1"/>
                <w:color w:val="auto"/>
              </w:rPr>
              <w:t xml:space="preserve">OUP Margin </w:t>
            </w:r>
            <w:r>
              <w:rPr>
                <w:rFonts w:ascii="Arial" w:cs="Arial" w:eastAsia="Arial" w:hAnsi="Arial"/>
                <w:sz w:val="44"/>
                <w:szCs w:val="44"/>
                <w:b w:val="1"/>
                <w:bCs w:val="1"/>
                <w:color w:val="5F81AA"/>
              </w:rPr>
              <w:t>3.1%</w:t>
            </w:r>
          </w:p>
        </w:tc>
        <w:tc>
          <w:tcPr>
            <w:tcW w:w="0" w:type="dxa"/>
            <w:vAlign w:val="bottom"/>
          </w:tcPr>
          <w:p>
            <w:pPr>
              <w:spacing w:after="0"/>
              <w:rPr>
                <w:sz w:val="1"/>
                <w:szCs w:val="1"/>
                <w:color w:val="auto"/>
              </w:rPr>
            </w:pPr>
          </w:p>
        </w:tc>
      </w:tr>
      <w:tr>
        <w:trPr>
          <w:trHeight w:val="223"/>
        </w:trPr>
        <w:tc>
          <w:tcPr>
            <w:tcW w:w="2540" w:type="dxa"/>
            <w:vAlign w:val="bottom"/>
            <w:tcBorders>
              <w:right w:val="single" w:sz="8" w:color="D47C18"/>
            </w:tcBorders>
          </w:tcPr>
          <w:p>
            <w:pPr>
              <w:spacing w:after="0"/>
              <w:rPr>
                <w:sz w:val="19"/>
                <w:szCs w:val="19"/>
                <w:color w:val="auto"/>
              </w:rPr>
            </w:pPr>
          </w:p>
        </w:tc>
        <w:tc>
          <w:tcPr>
            <w:tcW w:w="5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1380" w:hanging="267"/>
        <w:spacing w:after="0"/>
        <w:tabs>
          <w:tab w:leader="none" w:pos="1380" w:val="left"/>
        </w:tabs>
        <w:numPr>
          <w:ilvl w:val="0"/>
          <w:numId w:val="13"/>
        </w:numPr>
        <w:rPr>
          <w:rFonts w:ascii="Arial" w:cs="Arial" w:eastAsia="Arial" w:hAnsi="Arial"/>
          <w:sz w:val="27"/>
          <w:szCs w:val="27"/>
          <w:color w:val="auto"/>
          <w:vertAlign w:val="superscript"/>
        </w:rPr>
      </w:pPr>
      <w:r>
        <w:rPr>
          <w:rFonts w:ascii="Arial" w:cs="Arial" w:eastAsia="Arial" w:hAnsi="Arial"/>
          <w:sz w:val="19"/>
          <w:szCs w:val="19"/>
          <w:color w:val="auto"/>
        </w:rPr>
        <w:t>On an organic basis, revenue increased 9% (5% in CC).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429895</wp:posOffset>
            </wp:positionV>
            <wp:extent cx="726821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420"/>
          </w:cols>
          <w:pgMar w:left="680" w:top="449" w:right="799" w:bottom="1440" w:gutter="0" w:footer="0" w:header="0"/>
          <w:type w:val="continuous"/>
        </w:sectPr>
      </w:pPr>
    </w:p>
    <w:bookmarkStart w:id="25" w:name="page26"/>
    <w:bookmarkEnd w:id="25"/>
    <w:p>
      <w:pPr>
        <w:ind w:left="12" w:right="3260"/>
        <w:spacing w:after="0" w:line="289" w:lineRule="auto"/>
        <w:rPr>
          <w:sz w:val="20"/>
          <w:szCs w:val="20"/>
          <w:color w:val="auto"/>
        </w:rPr>
      </w:pPr>
      <w:r>
        <w:rPr>
          <w:rFonts w:ascii="Arial" w:cs="Arial" w:eastAsia="Arial" w:hAnsi="Arial"/>
          <w:sz w:val="25"/>
          <w:szCs w:val="25"/>
          <w:b w:val="1"/>
          <w:bCs w:val="1"/>
          <w:color w:val="FFFFFF"/>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2011 4</w:t>
      </w:r>
      <w:r>
        <w:rPr>
          <w:rFonts w:ascii="Arial" w:cs="Arial" w:eastAsia="Arial" w:hAnsi="Arial"/>
          <w:sz w:val="17"/>
          <w:szCs w:val="17"/>
          <w:b w:val="1"/>
          <w:bCs w:val="1"/>
          <w:color w:val="FFFFFF"/>
        </w:rPr>
        <w:t>th</w:t>
      </w:r>
      <w:r>
        <w:rPr>
          <w:rFonts w:ascii="Arial" w:cs="Arial" w:eastAsia="Arial" w:hAnsi="Arial"/>
          <w:sz w:val="25"/>
          <w:szCs w:val="25"/>
          <w:b w:val="1"/>
          <w:bCs w:val="1"/>
          <w:color w:val="FFFFFF"/>
        </w:rPr>
        <w:t xml:space="preserve"> Quarter Results 2012</w:t>
      </w:r>
    </w:p>
    <w:p>
      <w:pPr>
        <w:spacing w:after="0" w:line="309" w:lineRule="exact"/>
        <w:rPr>
          <w:sz w:val="20"/>
          <w:szCs w:val="20"/>
          <w:color w:val="auto"/>
        </w:rPr>
      </w:pPr>
    </w:p>
    <w:p>
      <w:pPr>
        <w:ind w:left="432"/>
        <w:spacing w:after="0"/>
        <w:rPr>
          <w:sz w:val="20"/>
          <w:szCs w:val="20"/>
          <w:color w:val="auto"/>
        </w:rPr>
      </w:pPr>
      <w:r>
        <w:rPr>
          <w:rFonts w:ascii="Arial" w:cs="Arial" w:eastAsia="Arial" w:hAnsi="Arial"/>
          <w:sz w:val="51"/>
          <w:szCs w:val="51"/>
          <w:color w:val="5F81AA"/>
        </w:rPr>
        <w:t>APME - Q4 Revenue Growth YoY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92" w:right="6780" w:hanging="292"/>
        <w:spacing w:after="0" w:line="304" w:lineRule="auto"/>
        <w:tabs>
          <w:tab w:leader="none" w:pos="279" w:val="left"/>
        </w:tabs>
        <w:numPr>
          <w:ilvl w:val="0"/>
          <w:numId w:val="14"/>
        </w:numPr>
        <w:rPr>
          <w:rFonts w:ascii="Arial" w:cs="Arial" w:eastAsia="Arial" w:hAnsi="Arial"/>
          <w:sz w:val="23"/>
          <w:szCs w:val="23"/>
          <w:b w:val="1"/>
          <w:bCs w:val="1"/>
          <w:color w:val="auto"/>
        </w:rPr>
      </w:pPr>
      <w:r>
        <w:rPr>
          <w:rFonts w:ascii="Arial" w:cs="Arial" w:eastAsia="Arial" w:hAnsi="Arial"/>
          <w:sz w:val="23"/>
          <w:szCs w:val="23"/>
          <w:b w:val="1"/>
          <w:bCs w:val="1"/>
          <w:color w:val="auto"/>
        </w:rPr>
        <w:t>of Segment Revenue</w:t>
      </w:r>
    </w:p>
    <w:p>
      <w:pPr>
        <w:spacing w:after="0" w:line="220" w:lineRule="exact"/>
        <w:rPr>
          <w:sz w:val="20"/>
          <w:szCs w:val="20"/>
          <w:color w:val="auto"/>
        </w:rPr>
      </w:pPr>
    </w:p>
    <w:p>
      <w:pPr>
        <w:ind w:left="532"/>
        <w:spacing w:after="0"/>
        <w:rPr>
          <w:sz w:val="20"/>
          <w:szCs w:val="20"/>
          <w:color w:val="auto"/>
        </w:rPr>
      </w:pPr>
      <w:r>
        <w:rPr>
          <w:rFonts w:ascii="Arial" w:cs="Arial" w:eastAsia="Arial" w:hAnsi="Arial"/>
          <w:sz w:val="29"/>
          <w:szCs w:val="29"/>
          <w:b w:val="1"/>
          <w:bCs w:val="1"/>
          <w:color w:val="6698C2"/>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12"/>
        <w:spacing w:after="0"/>
        <w:rPr>
          <w:sz w:val="20"/>
          <w:szCs w:val="20"/>
          <w:color w:val="auto"/>
        </w:rPr>
      </w:pPr>
      <w:r>
        <w:rPr>
          <w:rFonts w:ascii="Arial" w:cs="Arial" w:eastAsia="Arial" w:hAnsi="Arial"/>
          <w:sz w:val="29"/>
          <w:szCs w:val="29"/>
          <w:b w:val="1"/>
          <w:bCs w:val="1"/>
          <w:color w:val="6698C2"/>
        </w:rPr>
        <w:t>26%</w:t>
      </w:r>
    </w:p>
    <w:p>
      <w:pPr>
        <w:spacing w:after="0" w:line="260" w:lineRule="exact"/>
        <w:rPr>
          <w:sz w:val="20"/>
          <w:szCs w:val="20"/>
          <w:color w:val="auto"/>
        </w:rPr>
      </w:pPr>
    </w:p>
    <w:p>
      <w:pPr>
        <w:ind w:left="512"/>
        <w:spacing w:after="0"/>
        <w:tabs>
          <w:tab w:leader="none" w:pos="2952" w:val="left"/>
        </w:tabs>
        <w:rPr>
          <w:sz w:val="20"/>
          <w:szCs w:val="20"/>
          <w:color w:val="auto"/>
        </w:rPr>
      </w:pPr>
      <w:r>
        <w:rPr>
          <w:rFonts w:ascii="Arial" w:cs="Arial" w:eastAsia="Arial" w:hAnsi="Arial"/>
          <w:sz w:val="57"/>
          <w:szCs w:val="57"/>
          <w:b w:val="1"/>
          <w:bCs w:val="1"/>
          <w:color w:val="6698C2"/>
          <w:vertAlign w:val="subscript"/>
        </w:rPr>
        <w:t>30%</w:t>
      </w:r>
      <w:r>
        <w:rPr>
          <w:sz w:val="20"/>
          <w:szCs w:val="20"/>
          <w:color w:val="auto"/>
        </w:rPr>
        <w:tab/>
      </w:r>
      <w:r>
        <w:rPr>
          <w:rFonts w:ascii="Arial" w:cs="Arial" w:eastAsia="Arial" w:hAnsi="Arial"/>
          <w:sz w:val="16"/>
          <w:szCs w:val="16"/>
          <w:b w:val="1"/>
          <w:bCs w:val="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3952"/>
        <w:spacing w:after="0"/>
        <w:tabs>
          <w:tab w:leader="none" w:pos="5792" w:val="left"/>
        </w:tabs>
        <w:rPr>
          <w:sz w:val="20"/>
          <w:szCs w:val="20"/>
          <w:color w:val="auto"/>
        </w:rPr>
      </w:pPr>
      <w:r>
        <w:rPr>
          <w:rFonts w:ascii="Arial" w:cs="Arial" w:eastAsia="Arial" w:hAnsi="Arial"/>
          <w:sz w:val="22"/>
          <w:szCs w:val="22"/>
          <w:b w:val="1"/>
          <w:bCs w:val="1"/>
          <w:color w:val="auto"/>
        </w:rPr>
        <w:t>Revenue</w:t>
      </w:r>
      <w:r>
        <w:rPr>
          <w:sz w:val="20"/>
          <w:szCs w:val="20"/>
          <w:color w:val="auto"/>
        </w:rPr>
        <w:tab/>
      </w:r>
      <w:r>
        <w:rPr>
          <w:rFonts w:ascii="Arial" w:cs="Arial" w:eastAsia="Arial" w:hAnsi="Arial"/>
          <w:sz w:val="22"/>
          <w:szCs w:val="22"/>
          <w:b w:val="1"/>
          <w:bCs w:val="1"/>
          <w:color w:val="auto"/>
        </w:rPr>
        <w:t>Revenue Growth - CC</w:t>
      </w:r>
    </w:p>
    <w:p>
      <w:pPr>
        <w:spacing w:after="0" w:line="37" w:lineRule="exact"/>
        <w:rPr>
          <w:sz w:val="20"/>
          <w:szCs w:val="20"/>
          <w:color w:val="auto"/>
        </w:rPr>
      </w:pPr>
    </w:p>
    <w:p>
      <w:pPr>
        <w:jc w:val="center"/>
        <w:ind w:left="452"/>
        <w:spacing w:after="0"/>
        <w:rPr>
          <w:sz w:val="20"/>
          <w:szCs w:val="20"/>
          <w:color w:val="auto"/>
        </w:rPr>
      </w:pPr>
      <w:r>
        <w:rPr>
          <w:rFonts w:ascii="Arial" w:cs="Arial" w:eastAsia="Arial" w:hAnsi="Arial"/>
          <w:sz w:val="22"/>
          <w:szCs w:val="22"/>
          <w:b w:val="1"/>
          <w:bCs w:val="1"/>
          <w:color w:val="auto"/>
        </w:rPr>
        <w:t>Growth</w:t>
      </w:r>
    </w:p>
    <w:p>
      <w:pPr>
        <w:ind w:left="852" w:hanging="274"/>
        <w:spacing w:after="0" w:line="223" w:lineRule="auto"/>
        <w:tabs>
          <w:tab w:leader="none" w:pos="852" w:val="left"/>
        </w:tabs>
        <w:numPr>
          <w:ilvl w:val="0"/>
          <w:numId w:val="15"/>
        </w:numPr>
        <w:rPr>
          <w:rFonts w:ascii="Arial" w:cs="Arial" w:eastAsia="Arial" w:hAnsi="Arial"/>
          <w:sz w:val="27"/>
          <w:szCs w:val="27"/>
          <w:color w:val="auto"/>
          <w:vertAlign w:val="superscript"/>
        </w:rPr>
      </w:pPr>
      <w:r>
        <w:rPr>
          <w:rFonts w:ascii="Arial" w:cs="Arial" w:eastAsia="Arial" w:hAnsi="Arial"/>
          <w:sz w:val="19"/>
          <w:szCs w:val="19"/>
          <w:color w:val="auto"/>
        </w:rPr>
        <w:t>On an organic basis, Other revenue growth was 11% (+13% 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460375</wp:posOffset>
            </wp:positionV>
            <wp:extent cx="726821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February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15</w:t>
      </w:r>
    </w:p>
    <w:p>
      <w:pPr>
        <w:sectPr>
          <w:pgSz w:w="11900" w:h="16838" w:orient="portrait"/>
          <w:cols w:equalWidth="0" w:num="2">
            <w:col w:w="8352" w:space="720"/>
            <w:col w:w="1360"/>
          </w:cols>
          <w:pgMar w:left="668" w:top="449" w:right="799" w:bottom="1440" w:gutter="0" w:footer="0" w:header="0"/>
        </w:sectPr>
      </w:pPr>
    </w:p>
    <w:bookmarkStart w:id="26" w:name="page27"/>
    <w:bookmarkEnd w:id="26"/>
    <w:p>
      <w:pPr>
        <w:ind w:right="3260"/>
        <w:spacing w:after="0" w:line="289" w:lineRule="auto"/>
        <w:rPr>
          <w:sz w:val="20"/>
          <w:szCs w:val="20"/>
          <w:color w:val="auto"/>
        </w:rPr>
      </w:pPr>
      <w:r>
        <w:rPr>
          <w:rFonts w:ascii="Arial" w:cs="Arial" w:eastAsia="Arial" w:hAnsi="Arial"/>
          <w:sz w:val="25"/>
          <w:szCs w:val="25"/>
          <w:b w:val="1"/>
          <w:bCs w:val="1"/>
          <w:color w:val="FFFFFF"/>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2011 4</w:t>
      </w:r>
      <w:r>
        <w:rPr>
          <w:rFonts w:ascii="Arial" w:cs="Arial" w:eastAsia="Arial" w:hAnsi="Arial"/>
          <w:sz w:val="17"/>
          <w:szCs w:val="17"/>
          <w:b w:val="1"/>
          <w:bCs w:val="1"/>
          <w:color w:val="FFFFFF"/>
        </w:rPr>
        <w:t>th</w:t>
      </w:r>
      <w:r>
        <w:rPr>
          <w:rFonts w:ascii="Arial" w:cs="Arial" w:eastAsia="Arial" w:hAnsi="Arial"/>
          <w:sz w:val="25"/>
          <w:szCs w:val="25"/>
          <w:b w:val="1"/>
          <w:bCs w:val="1"/>
          <w:color w:val="FFFFFF"/>
        </w:rPr>
        <w:t xml:space="preserve"> Quarter Results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February</w:t>
      </w:r>
    </w:p>
    <w:p>
      <w:pPr>
        <w:spacing w:after="0" w:line="440" w:lineRule="exact"/>
        <w:rPr>
          <w:sz w:val="20"/>
          <w:szCs w:val="20"/>
          <w:color w:val="auto"/>
        </w:rPr>
      </w:pPr>
    </w:p>
    <w:p>
      <w:pPr>
        <w:sectPr>
          <w:pgSz w:w="11900" w:h="16838" w:orient="portrait"/>
          <w:cols w:equalWidth="0" w:num="2">
            <w:col w:w="8340" w:space="720"/>
            <w:col w:w="1360"/>
          </w:cols>
          <w:pgMar w:left="680" w:top="449" w:right="799" w:bottom="1440" w:gutter="0" w:footer="0" w:header="0"/>
        </w:sectPr>
      </w:pPr>
    </w:p>
    <w:p>
      <w:pPr>
        <w:ind w:left="380"/>
        <w:spacing w:after="0"/>
        <w:rPr>
          <w:sz w:val="20"/>
          <w:szCs w:val="20"/>
          <w:color w:val="auto"/>
        </w:rPr>
      </w:pPr>
      <w:r>
        <w:rPr>
          <w:rFonts w:ascii="Arial" w:cs="Arial" w:eastAsia="Arial" w:hAnsi="Arial"/>
          <w:sz w:val="51"/>
          <w:szCs w:val="51"/>
          <w:color w:val="5F81AA"/>
        </w:rPr>
        <w:t>Right Management Segment</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32"/>
          <w:szCs w:val="32"/>
          <w:color w:val="5F81AA"/>
        </w:rPr>
        <w:t>(1% of Revenue)</w:t>
      </w:r>
    </w:p>
    <w:p>
      <w:pPr>
        <w:spacing w:after="0" w:line="200" w:lineRule="exact"/>
        <w:rPr>
          <w:sz w:val="20"/>
          <w:szCs w:val="20"/>
          <w:color w:val="auto"/>
        </w:rPr>
      </w:pPr>
    </w:p>
    <w:p>
      <w:pPr>
        <w:spacing w:after="0" w:line="325" w:lineRule="exact"/>
        <w:rPr>
          <w:sz w:val="20"/>
          <w:szCs w:val="20"/>
          <w:color w:val="auto"/>
        </w:rPr>
      </w:pPr>
    </w:p>
    <w:tbl>
      <w:tblPr>
        <w:tblLayout w:type="fixed"/>
        <w:tblInd w:w="500" w:type="dxa"/>
        <w:tblCellMar>
          <w:top w:w="0" w:type="dxa"/>
          <w:left w:w="0" w:type="dxa"/>
          <w:bottom w:w="0" w:type="dxa"/>
          <w:right w:w="0" w:type="dxa"/>
        </w:tblCellMar>
      </w:tblPr>
      <w:tr>
        <w:trPr>
          <w:trHeight w:val="36"/>
        </w:trPr>
        <w:tc>
          <w:tcPr>
            <w:tcW w:w="2100" w:type="dxa"/>
            <w:vAlign w:val="bottom"/>
            <w:vMerge w:val="restart"/>
          </w:tcPr>
          <w:p>
            <w:pPr>
              <w:jc w:val="center"/>
              <w:spacing w:after="0"/>
              <w:rPr>
                <w:sz w:val="20"/>
                <w:szCs w:val="20"/>
                <w:color w:val="auto"/>
              </w:rPr>
            </w:pPr>
            <w:r>
              <w:rPr>
                <w:rFonts w:ascii="Arial" w:cs="Arial" w:eastAsia="Arial" w:hAnsi="Arial"/>
                <w:sz w:val="25"/>
                <w:szCs w:val="25"/>
                <w:b w:val="1"/>
                <w:bCs w:val="1"/>
                <w:color w:val="282A32"/>
              </w:rPr>
              <w:t>As</w:t>
            </w:r>
          </w:p>
        </w:tc>
        <w:tc>
          <w:tcPr>
            <w:tcW w:w="40" w:type="dxa"/>
            <w:vAlign w:val="bottom"/>
          </w:tcPr>
          <w:p>
            <w:pPr>
              <w:spacing w:after="0"/>
              <w:rPr>
                <w:sz w:val="3"/>
                <w:szCs w:val="3"/>
                <w:color w:val="auto"/>
              </w:rPr>
            </w:pPr>
          </w:p>
        </w:tc>
        <w:tc>
          <w:tcPr>
            <w:tcW w:w="2040" w:type="dxa"/>
            <w:vAlign w:val="bottom"/>
            <w:vMerge w:val="restart"/>
          </w:tcPr>
          <w:p>
            <w:pPr>
              <w:ind w:left="420"/>
              <w:spacing w:after="0"/>
              <w:rPr>
                <w:sz w:val="20"/>
                <w:szCs w:val="20"/>
                <w:color w:val="auto"/>
              </w:rPr>
            </w:pPr>
            <w:r>
              <w:rPr>
                <w:rFonts w:ascii="Arial" w:cs="Arial" w:eastAsia="Arial" w:hAnsi="Arial"/>
                <w:sz w:val="25"/>
                <w:szCs w:val="25"/>
                <w:b w:val="1"/>
                <w:bCs w:val="1"/>
                <w:color w:val="282A32"/>
              </w:rPr>
              <w:t>Excluding</w:t>
            </w:r>
          </w:p>
        </w:tc>
        <w:tc>
          <w:tcPr>
            <w:tcW w:w="40" w:type="dxa"/>
            <w:vAlign w:val="bottom"/>
          </w:tcPr>
          <w:p>
            <w:pPr>
              <w:spacing w:after="0"/>
              <w:rPr>
                <w:sz w:val="3"/>
                <w:szCs w:val="3"/>
                <w:color w:val="auto"/>
              </w:rPr>
            </w:pPr>
          </w:p>
        </w:tc>
        <w:tc>
          <w:tcPr>
            <w:tcW w:w="5260" w:type="dxa"/>
            <w:vAlign w:val="bottom"/>
            <w:vMerge w:val="restart"/>
          </w:tcPr>
          <w:p>
            <w:pPr>
              <w:ind w:left="320"/>
              <w:spacing w:after="0"/>
              <w:rPr>
                <w:sz w:val="20"/>
                <w:szCs w:val="20"/>
                <w:color w:val="auto"/>
              </w:rPr>
            </w:pPr>
            <w:r>
              <w:rPr>
                <w:rFonts w:ascii="Arial" w:cs="Arial" w:eastAsia="Arial" w:hAnsi="Arial"/>
                <w:sz w:val="41"/>
                <w:szCs w:val="41"/>
                <w:b w:val="1"/>
                <w:bCs w:val="1"/>
                <w:color w:val="auto"/>
              </w:rPr>
              <w:t>Q4 Financial Highlights</w:t>
            </w:r>
          </w:p>
        </w:tc>
        <w:tc>
          <w:tcPr>
            <w:tcW w:w="0" w:type="dxa"/>
            <w:vAlign w:val="bottom"/>
          </w:tcPr>
          <w:p>
            <w:pPr>
              <w:spacing w:after="0" w:line="20" w:lineRule="exact"/>
              <w:rPr>
                <w:sz w:val="1"/>
                <w:szCs w:val="1"/>
                <w:color w:val="auto"/>
              </w:rPr>
            </w:pPr>
          </w:p>
        </w:tc>
      </w:tr>
      <w:tr>
        <w:trPr>
          <w:trHeight w:val="262"/>
        </w:trPr>
        <w:tc>
          <w:tcPr>
            <w:tcW w:w="2100" w:type="dxa"/>
            <w:vAlign w:val="bottom"/>
            <w:vMerge w:val="continue"/>
          </w:tcPr>
          <w:p>
            <w:pPr>
              <w:spacing w:after="0"/>
              <w:rPr>
                <w:sz w:val="22"/>
                <w:szCs w:val="22"/>
                <w:color w:val="auto"/>
              </w:rPr>
            </w:pPr>
          </w:p>
        </w:tc>
        <w:tc>
          <w:tcPr>
            <w:tcW w:w="40" w:type="dxa"/>
            <w:vAlign w:val="bottom"/>
            <w:shd w:val="clear" w:color="auto" w:fill="D47C18"/>
          </w:tcPr>
          <w:p>
            <w:pPr>
              <w:spacing w:after="0"/>
              <w:rPr>
                <w:sz w:val="22"/>
                <w:szCs w:val="22"/>
                <w:color w:val="auto"/>
              </w:rPr>
            </w:pPr>
          </w:p>
        </w:tc>
        <w:tc>
          <w:tcPr>
            <w:tcW w:w="2040" w:type="dxa"/>
            <w:vAlign w:val="bottom"/>
            <w:vMerge w:val="continue"/>
          </w:tcPr>
          <w:p>
            <w:pPr>
              <w:spacing w:after="0"/>
              <w:rPr>
                <w:sz w:val="22"/>
                <w:szCs w:val="22"/>
                <w:color w:val="auto"/>
              </w:rPr>
            </w:pPr>
          </w:p>
        </w:tc>
        <w:tc>
          <w:tcPr>
            <w:tcW w:w="40" w:type="dxa"/>
            <w:vAlign w:val="bottom"/>
            <w:shd w:val="clear" w:color="auto" w:fill="D47C18"/>
          </w:tcPr>
          <w:p>
            <w:pPr>
              <w:spacing w:after="0"/>
              <w:rPr>
                <w:sz w:val="22"/>
                <w:szCs w:val="22"/>
                <w:color w:val="auto"/>
              </w:rPr>
            </w:pPr>
          </w:p>
        </w:tc>
        <w:tc>
          <w:tcPr>
            <w:tcW w:w="5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69"/>
        </w:trPr>
        <w:tc>
          <w:tcPr>
            <w:tcW w:w="2100" w:type="dxa"/>
            <w:vAlign w:val="bottom"/>
          </w:tcPr>
          <w:p>
            <w:pPr>
              <w:jc w:val="center"/>
              <w:spacing w:after="0"/>
              <w:rPr>
                <w:sz w:val="20"/>
                <w:szCs w:val="20"/>
                <w:color w:val="auto"/>
              </w:rPr>
            </w:pPr>
            <w:r>
              <w:rPr>
                <w:rFonts w:ascii="Arial" w:cs="Arial" w:eastAsia="Arial" w:hAnsi="Arial"/>
                <w:sz w:val="25"/>
                <w:szCs w:val="25"/>
                <w:b w:val="1"/>
                <w:bCs w:val="1"/>
                <w:color w:val="282A32"/>
              </w:rPr>
              <w:t>Reported</w:t>
            </w:r>
          </w:p>
        </w:tc>
        <w:tc>
          <w:tcPr>
            <w:tcW w:w="40" w:type="dxa"/>
            <w:vAlign w:val="bottom"/>
            <w:shd w:val="clear" w:color="auto" w:fill="D47C18"/>
          </w:tcPr>
          <w:p>
            <w:pPr>
              <w:spacing w:after="0"/>
              <w:rPr>
                <w:sz w:val="24"/>
                <w:szCs w:val="24"/>
                <w:color w:val="auto"/>
              </w:rPr>
            </w:pPr>
          </w:p>
        </w:tc>
        <w:tc>
          <w:tcPr>
            <w:tcW w:w="2040" w:type="dxa"/>
            <w:vAlign w:val="bottom"/>
          </w:tcPr>
          <w:p>
            <w:pPr>
              <w:ind w:left="180"/>
              <w:spacing w:after="0"/>
              <w:rPr>
                <w:sz w:val="20"/>
                <w:szCs w:val="20"/>
                <w:color w:val="auto"/>
              </w:rPr>
            </w:pPr>
            <w:r>
              <w:rPr>
                <w:rFonts w:ascii="Arial" w:cs="Arial" w:eastAsia="Arial" w:hAnsi="Arial"/>
                <w:sz w:val="25"/>
                <w:szCs w:val="25"/>
                <w:b w:val="1"/>
                <w:bCs w:val="1"/>
                <w:color w:val="282A32"/>
              </w:rPr>
              <w:t>Non-recurring</w:t>
            </w:r>
          </w:p>
        </w:tc>
        <w:tc>
          <w:tcPr>
            <w:tcW w:w="40" w:type="dxa"/>
            <w:vAlign w:val="bottom"/>
            <w:shd w:val="clear" w:color="auto" w:fill="D47C18"/>
          </w:tcPr>
          <w:p>
            <w:pPr>
              <w:spacing w:after="0"/>
              <w:rPr>
                <w:sz w:val="24"/>
                <w:szCs w:val="24"/>
                <w:color w:val="auto"/>
              </w:rPr>
            </w:pPr>
          </w:p>
        </w:tc>
        <w:tc>
          <w:tcPr>
            <w:tcW w:w="5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100" w:type="dxa"/>
            <w:vAlign w:val="bottom"/>
          </w:tcPr>
          <w:p>
            <w:pPr>
              <w:spacing w:after="0"/>
              <w:rPr>
                <w:sz w:val="24"/>
                <w:szCs w:val="24"/>
                <w:color w:val="auto"/>
              </w:rPr>
            </w:pPr>
          </w:p>
        </w:tc>
        <w:tc>
          <w:tcPr>
            <w:tcW w:w="40" w:type="dxa"/>
            <w:vAlign w:val="bottom"/>
            <w:shd w:val="clear" w:color="auto" w:fill="D47C18"/>
          </w:tcPr>
          <w:p>
            <w:pPr>
              <w:spacing w:after="0"/>
              <w:rPr>
                <w:sz w:val="24"/>
                <w:szCs w:val="24"/>
                <w:color w:val="auto"/>
              </w:rPr>
            </w:pPr>
          </w:p>
        </w:tc>
        <w:tc>
          <w:tcPr>
            <w:tcW w:w="2040" w:type="dxa"/>
            <w:vAlign w:val="bottom"/>
          </w:tcPr>
          <w:p>
            <w:pPr>
              <w:ind w:left="700"/>
              <w:spacing w:after="0"/>
              <w:rPr>
                <w:sz w:val="20"/>
                <w:szCs w:val="20"/>
                <w:color w:val="auto"/>
              </w:rPr>
            </w:pPr>
            <w:r>
              <w:rPr>
                <w:rFonts w:ascii="Arial" w:cs="Arial" w:eastAsia="Arial" w:hAnsi="Arial"/>
                <w:sz w:val="25"/>
                <w:szCs w:val="25"/>
                <w:b w:val="1"/>
                <w:bCs w:val="1"/>
                <w:color w:val="282A32"/>
              </w:rPr>
              <w:t>Items</w:t>
            </w:r>
            <w:r>
              <w:rPr>
                <w:rFonts w:ascii="Arial" w:cs="Arial" w:eastAsia="Arial" w:hAnsi="Arial"/>
                <w:sz w:val="17"/>
                <w:szCs w:val="17"/>
                <w:b w:val="1"/>
                <w:bCs w:val="1"/>
                <w:color w:val="C46D24"/>
              </w:rPr>
              <w:t>(1)</w:t>
            </w:r>
          </w:p>
        </w:tc>
        <w:tc>
          <w:tcPr>
            <w:tcW w:w="40" w:type="dxa"/>
            <w:vAlign w:val="bottom"/>
            <w:shd w:val="clear" w:color="auto" w:fill="D47C18"/>
          </w:tcPr>
          <w:p>
            <w:pPr>
              <w:spacing w:after="0"/>
              <w:rPr>
                <w:sz w:val="24"/>
                <w:szCs w:val="24"/>
                <w:color w:val="auto"/>
              </w:rPr>
            </w:pP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100" w:type="dxa"/>
            <w:vAlign w:val="bottom"/>
            <w:tcBorders>
              <w:bottom w:val="single" w:sz="8" w:color="D47C18"/>
            </w:tcBorders>
          </w:tcPr>
          <w:p>
            <w:pPr>
              <w:spacing w:after="0"/>
              <w:rPr>
                <w:sz w:val="4"/>
                <w:szCs w:val="4"/>
                <w:color w:val="auto"/>
              </w:rPr>
            </w:pPr>
          </w:p>
        </w:tc>
        <w:tc>
          <w:tcPr>
            <w:tcW w:w="40" w:type="dxa"/>
            <w:vAlign w:val="bottom"/>
            <w:tcBorders>
              <w:bottom w:val="single" w:sz="8" w:color="D47C18"/>
            </w:tcBorders>
            <w:shd w:val="clear" w:color="auto" w:fill="D47C18"/>
          </w:tcPr>
          <w:p>
            <w:pPr>
              <w:spacing w:after="0"/>
              <w:rPr>
                <w:sz w:val="4"/>
                <w:szCs w:val="4"/>
                <w:color w:val="auto"/>
              </w:rPr>
            </w:pPr>
          </w:p>
        </w:tc>
        <w:tc>
          <w:tcPr>
            <w:tcW w:w="2040" w:type="dxa"/>
            <w:vAlign w:val="bottom"/>
            <w:tcBorders>
              <w:bottom w:val="single" w:sz="8" w:color="D47C18"/>
            </w:tcBorders>
          </w:tcPr>
          <w:p>
            <w:pPr>
              <w:spacing w:after="0"/>
              <w:rPr>
                <w:sz w:val="4"/>
                <w:szCs w:val="4"/>
                <w:color w:val="auto"/>
              </w:rPr>
            </w:pPr>
          </w:p>
        </w:tc>
        <w:tc>
          <w:tcPr>
            <w:tcW w:w="40" w:type="dxa"/>
            <w:vAlign w:val="bottom"/>
            <w:tcBorders>
              <w:bottom w:val="single" w:sz="8" w:color="D47C18"/>
            </w:tcBorders>
            <w:shd w:val="clear" w:color="auto" w:fill="D47C18"/>
          </w:tcPr>
          <w:p>
            <w:pPr>
              <w:spacing w:after="0"/>
              <w:rPr>
                <w:sz w:val="4"/>
                <w:szCs w:val="4"/>
                <w:color w:val="auto"/>
              </w:rPr>
            </w:pPr>
          </w:p>
        </w:tc>
        <w:tc>
          <w:tcPr>
            <w:tcW w:w="5260" w:type="dxa"/>
            <w:vAlign w:val="bottom"/>
            <w:tcBorders>
              <w:bottom w:val="single" w:sz="8" w:color="D47C18"/>
            </w:tcBorders>
          </w:tcPr>
          <w:p>
            <w:pPr>
              <w:spacing w:after="0"/>
              <w:rPr>
                <w:sz w:val="4"/>
                <w:szCs w:val="4"/>
                <w:color w:val="auto"/>
              </w:rPr>
            </w:pPr>
          </w:p>
        </w:tc>
        <w:tc>
          <w:tcPr>
            <w:tcW w:w="0" w:type="dxa"/>
            <w:vAlign w:val="bottom"/>
          </w:tcPr>
          <w:p>
            <w:pPr>
              <w:spacing w:after="0"/>
              <w:rPr>
                <w:sz w:val="1"/>
                <w:szCs w:val="1"/>
                <w:color w:val="auto"/>
              </w:rPr>
            </w:pPr>
          </w:p>
        </w:tc>
      </w:tr>
      <w:tr>
        <w:trPr>
          <w:trHeight w:val="571"/>
        </w:trPr>
        <w:tc>
          <w:tcPr>
            <w:tcW w:w="2100" w:type="dxa"/>
            <w:vAlign w:val="bottom"/>
          </w:tcPr>
          <w:p>
            <w:pPr>
              <w:jc w:val="center"/>
              <w:ind w:left="188"/>
              <w:spacing w:after="0"/>
              <w:rPr>
                <w:sz w:val="20"/>
                <w:szCs w:val="20"/>
                <w:color w:val="auto"/>
              </w:rPr>
            </w:pPr>
            <w:r>
              <w:rPr>
                <w:rFonts w:ascii="Arial" w:cs="Arial" w:eastAsia="Arial" w:hAnsi="Arial"/>
                <w:sz w:val="38"/>
                <w:szCs w:val="38"/>
                <w:color w:val="auto"/>
                <w:w w:val="98"/>
              </w:rPr>
              <w:t>8%</w:t>
            </w:r>
          </w:p>
        </w:tc>
        <w:tc>
          <w:tcPr>
            <w:tcW w:w="40" w:type="dxa"/>
            <w:vAlign w:val="bottom"/>
            <w:shd w:val="clear" w:color="auto" w:fill="D47C18"/>
          </w:tcPr>
          <w:p>
            <w:pPr>
              <w:spacing w:after="0"/>
              <w:rPr>
                <w:sz w:val="24"/>
                <w:szCs w:val="24"/>
                <w:color w:val="auto"/>
              </w:rPr>
            </w:pPr>
          </w:p>
        </w:tc>
        <w:tc>
          <w:tcPr>
            <w:tcW w:w="2040" w:type="dxa"/>
            <w:vAlign w:val="bottom"/>
          </w:tcPr>
          <w:p>
            <w:pPr>
              <w:ind w:left="920"/>
              <w:spacing w:after="0"/>
              <w:rPr>
                <w:sz w:val="20"/>
                <w:szCs w:val="20"/>
                <w:color w:val="auto"/>
              </w:rPr>
            </w:pPr>
            <w:r>
              <w:rPr>
                <w:rFonts w:ascii="Arial" w:cs="Arial" w:eastAsia="Arial" w:hAnsi="Arial"/>
                <w:sz w:val="38"/>
                <w:szCs w:val="38"/>
                <w:color w:val="auto"/>
              </w:rPr>
              <w:t>8%</w:t>
            </w:r>
          </w:p>
        </w:tc>
        <w:tc>
          <w:tcPr>
            <w:tcW w:w="40" w:type="dxa"/>
            <w:vAlign w:val="bottom"/>
            <w:shd w:val="clear" w:color="auto" w:fill="D47C18"/>
          </w:tcPr>
          <w:p>
            <w:pPr>
              <w:spacing w:after="0"/>
              <w:rPr>
                <w:sz w:val="24"/>
                <w:szCs w:val="24"/>
                <w:color w:val="auto"/>
              </w:rPr>
            </w:pPr>
          </w:p>
        </w:tc>
        <w:tc>
          <w:tcPr>
            <w:tcW w:w="5260" w:type="dxa"/>
            <w:vAlign w:val="bottom"/>
            <w:tcBorders>
              <w:left w:val="single" w:sz="8" w:color="D47C18"/>
            </w:tcBorders>
            <w:vMerge w:val="restart"/>
          </w:tcPr>
          <w:p>
            <w:pPr>
              <w:ind w:left="360"/>
              <w:spacing w:after="0"/>
              <w:rPr>
                <w:sz w:val="20"/>
                <w:szCs w:val="20"/>
                <w:color w:val="auto"/>
              </w:rPr>
            </w:pPr>
            <w:r>
              <w:rPr>
                <w:rFonts w:ascii="Arial" w:cs="Arial" w:eastAsia="Arial" w:hAnsi="Arial"/>
                <w:sz w:val="41"/>
                <w:szCs w:val="41"/>
                <w:b w:val="1"/>
                <w:bCs w:val="1"/>
                <w:color w:val="auto"/>
              </w:rPr>
              <w:t xml:space="preserve">Revenue </w:t>
            </w:r>
            <w:r>
              <w:rPr>
                <w:rFonts w:ascii="Arial" w:cs="Arial" w:eastAsia="Arial" w:hAnsi="Arial"/>
                <w:sz w:val="44"/>
                <w:szCs w:val="44"/>
                <w:b w:val="1"/>
                <w:bCs w:val="1"/>
                <w:color w:val="5F81AA"/>
              </w:rPr>
              <w:t>$80M</w:t>
            </w:r>
          </w:p>
        </w:tc>
        <w:tc>
          <w:tcPr>
            <w:tcW w:w="0" w:type="dxa"/>
            <w:vAlign w:val="bottom"/>
          </w:tcPr>
          <w:p>
            <w:pPr>
              <w:spacing w:after="0"/>
              <w:rPr>
                <w:sz w:val="1"/>
                <w:szCs w:val="1"/>
                <w:color w:val="auto"/>
              </w:rPr>
            </w:pPr>
          </w:p>
        </w:tc>
      </w:tr>
      <w:tr>
        <w:trPr>
          <w:trHeight w:val="265"/>
        </w:trPr>
        <w:tc>
          <w:tcPr>
            <w:tcW w:w="2100" w:type="dxa"/>
            <w:vAlign w:val="bottom"/>
            <w:vMerge w:val="restart"/>
          </w:tcPr>
          <w:p>
            <w:pPr>
              <w:jc w:val="center"/>
              <w:ind w:left="188"/>
              <w:spacing w:after="0"/>
              <w:rPr>
                <w:sz w:val="20"/>
                <w:szCs w:val="20"/>
                <w:color w:val="auto"/>
              </w:rPr>
            </w:pPr>
            <w:r>
              <w:rPr>
                <w:rFonts w:ascii="Arial" w:cs="Arial" w:eastAsia="Arial" w:hAnsi="Arial"/>
                <w:sz w:val="38"/>
                <w:szCs w:val="38"/>
                <w:color w:val="auto"/>
              </w:rPr>
              <w:t>9% CC</w:t>
            </w:r>
          </w:p>
        </w:tc>
        <w:tc>
          <w:tcPr>
            <w:tcW w:w="40" w:type="dxa"/>
            <w:vAlign w:val="bottom"/>
            <w:shd w:val="clear" w:color="auto" w:fill="D47C18"/>
          </w:tcPr>
          <w:p>
            <w:pPr>
              <w:spacing w:after="0"/>
              <w:rPr>
                <w:sz w:val="23"/>
                <w:szCs w:val="23"/>
                <w:color w:val="auto"/>
              </w:rPr>
            </w:pPr>
          </w:p>
        </w:tc>
        <w:tc>
          <w:tcPr>
            <w:tcW w:w="2040" w:type="dxa"/>
            <w:vAlign w:val="bottom"/>
            <w:vMerge w:val="restart"/>
          </w:tcPr>
          <w:p>
            <w:pPr>
              <w:ind w:left="600"/>
              <w:spacing w:after="0"/>
              <w:rPr>
                <w:sz w:val="20"/>
                <w:szCs w:val="20"/>
                <w:color w:val="auto"/>
              </w:rPr>
            </w:pPr>
            <w:r>
              <w:rPr>
                <w:rFonts w:ascii="Arial" w:cs="Arial" w:eastAsia="Arial" w:hAnsi="Arial"/>
                <w:sz w:val="38"/>
                <w:szCs w:val="38"/>
                <w:color w:val="auto"/>
              </w:rPr>
              <w:t>9% CC</w:t>
            </w:r>
          </w:p>
        </w:tc>
        <w:tc>
          <w:tcPr>
            <w:tcW w:w="40" w:type="dxa"/>
            <w:vAlign w:val="bottom"/>
          </w:tcPr>
          <w:p>
            <w:pPr>
              <w:spacing w:after="0"/>
              <w:rPr>
                <w:sz w:val="23"/>
                <w:szCs w:val="23"/>
                <w:color w:val="auto"/>
              </w:rPr>
            </w:pPr>
          </w:p>
        </w:tc>
        <w:tc>
          <w:tcPr>
            <w:tcW w:w="5260" w:type="dxa"/>
            <w:vAlign w:val="bottom"/>
            <w:tcBorders>
              <w:left w:val="single" w:sz="8" w:color="D47C18"/>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100" w:type="dxa"/>
            <w:vAlign w:val="bottom"/>
            <w:vMerge w:val="continue"/>
          </w:tcPr>
          <w:p>
            <w:pPr>
              <w:spacing w:after="0"/>
              <w:rPr>
                <w:sz w:val="17"/>
                <w:szCs w:val="17"/>
                <w:color w:val="auto"/>
              </w:rPr>
            </w:pPr>
          </w:p>
        </w:tc>
        <w:tc>
          <w:tcPr>
            <w:tcW w:w="40" w:type="dxa"/>
            <w:vAlign w:val="bottom"/>
            <w:shd w:val="clear" w:color="auto" w:fill="D47C18"/>
          </w:tcPr>
          <w:p>
            <w:pPr>
              <w:spacing w:after="0"/>
              <w:rPr>
                <w:sz w:val="17"/>
                <w:szCs w:val="17"/>
                <w:color w:val="auto"/>
              </w:rPr>
            </w:pPr>
          </w:p>
        </w:tc>
        <w:tc>
          <w:tcPr>
            <w:tcW w:w="20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5260" w:type="dxa"/>
            <w:vAlign w:val="bottom"/>
            <w:tcBorders>
              <w:left w:val="single" w:sz="8" w:color="D47C18"/>
            </w:tcBorders>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100" w:type="dxa"/>
            <w:vAlign w:val="bottom"/>
            <w:tcBorders>
              <w:bottom w:val="single" w:sz="8" w:color="D47C18"/>
            </w:tcBorders>
          </w:tcPr>
          <w:p>
            <w:pPr>
              <w:spacing w:after="0"/>
              <w:rPr>
                <w:sz w:val="6"/>
                <w:szCs w:val="6"/>
                <w:color w:val="auto"/>
              </w:rPr>
            </w:pPr>
          </w:p>
        </w:tc>
        <w:tc>
          <w:tcPr>
            <w:tcW w:w="40" w:type="dxa"/>
            <w:vAlign w:val="bottom"/>
            <w:tcBorders>
              <w:bottom w:val="single" w:sz="8" w:color="D47C18"/>
            </w:tcBorders>
            <w:shd w:val="clear" w:color="auto" w:fill="D47C18"/>
          </w:tcPr>
          <w:p>
            <w:pPr>
              <w:spacing w:after="0"/>
              <w:rPr>
                <w:sz w:val="6"/>
                <w:szCs w:val="6"/>
                <w:color w:val="auto"/>
              </w:rPr>
            </w:pPr>
          </w:p>
        </w:tc>
        <w:tc>
          <w:tcPr>
            <w:tcW w:w="2040" w:type="dxa"/>
            <w:vAlign w:val="bottom"/>
            <w:tcBorders>
              <w:bottom w:val="single" w:sz="8" w:color="D47C18"/>
            </w:tcBorders>
          </w:tcPr>
          <w:p>
            <w:pPr>
              <w:spacing w:after="0"/>
              <w:rPr>
                <w:sz w:val="6"/>
                <w:szCs w:val="6"/>
                <w:color w:val="auto"/>
              </w:rPr>
            </w:pPr>
          </w:p>
        </w:tc>
        <w:tc>
          <w:tcPr>
            <w:tcW w:w="40" w:type="dxa"/>
            <w:vAlign w:val="bottom"/>
            <w:tcBorders>
              <w:bottom w:val="single" w:sz="8" w:color="D47C18"/>
            </w:tcBorders>
          </w:tcPr>
          <w:p>
            <w:pPr>
              <w:spacing w:after="0"/>
              <w:rPr>
                <w:sz w:val="6"/>
                <w:szCs w:val="6"/>
                <w:color w:val="auto"/>
              </w:rPr>
            </w:pPr>
          </w:p>
        </w:tc>
        <w:tc>
          <w:tcPr>
            <w:tcW w:w="5260" w:type="dxa"/>
            <w:vAlign w:val="bottom"/>
            <w:tcBorders>
              <w:left w:val="single" w:sz="8" w:color="D47C18"/>
              <w:bottom w:val="single" w:sz="8" w:color="D47C18"/>
            </w:tcBorders>
          </w:tcPr>
          <w:p>
            <w:pPr>
              <w:spacing w:after="0"/>
              <w:rPr>
                <w:sz w:val="6"/>
                <w:szCs w:val="6"/>
                <w:color w:val="auto"/>
              </w:rPr>
            </w:pPr>
          </w:p>
        </w:tc>
        <w:tc>
          <w:tcPr>
            <w:tcW w:w="0" w:type="dxa"/>
            <w:vAlign w:val="bottom"/>
          </w:tcPr>
          <w:p>
            <w:pPr>
              <w:spacing w:after="0"/>
              <w:rPr>
                <w:sz w:val="1"/>
                <w:szCs w:val="1"/>
                <w:color w:val="auto"/>
              </w:rPr>
            </w:pPr>
          </w:p>
        </w:tc>
      </w:tr>
      <w:tr>
        <w:trPr>
          <w:trHeight w:val="551"/>
        </w:trPr>
        <w:tc>
          <w:tcPr>
            <w:tcW w:w="2100" w:type="dxa"/>
            <w:vAlign w:val="bottom"/>
          </w:tcPr>
          <w:p>
            <w:pPr>
              <w:jc w:val="center"/>
              <w:spacing w:after="0"/>
              <w:rPr>
                <w:sz w:val="20"/>
                <w:szCs w:val="20"/>
                <w:color w:val="auto"/>
              </w:rPr>
            </w:pPr>
            <w:r>
              <w:rPr>
                <w:rFonts w:ascii="Arial" w:cs="Arial" w:eastAsia="Arial" w:hAnsi="Arial"/>
                <w:sz w:val="38"/>
                <w:szCs w:val="38"/>
                <w:color w:val="auto"/>
              </w:rPr>
              <w:t>N/A</w:t>
            </w:r>
          </w:p>
        </w:tc>
        <w:tc>
          <w:tcPr>
            <w:tcW w:w="40" w:type="dxa"/>
            <w:vAlign w:val="bottom"/>
            <w:tcBorders>
              <w:bottom w:val="single" w:sz="8" w:color="D47C18"/>
            </w:tcBorders>
            <w:shd w:val="clear" w:color="auto" w:fill="D47C18"/>
          </w:tcPr>
          <w:p>
            <w:pPr>
              <w:spacing w:after="0"/>
              <w:rPr>
                <w:sz w:val="24"/>
                <w:szCs w:val="24"/>
                <w:color w:val="auto"/>
              </w:rPr>
            </w:pPr>
          </w:p>
        </w:tc>
        <w:tc>
          <w:tcPr>
            <w:tcW w:w="2040" w:type="dxa"/>
            <w:vAlign w:val="bottom"/>
          </w:tcPr>
          <w:p>
            <w:pPr>
              <w:ind w:left="700"/>
              <w:spacing w:after="0"/>
              <w:rPr>
                <w:sz w:val="20"/>
                <w:szCs w:val="20"/>
                <w:color w:val="auto"/>
              </w:rPr>
            </w:pPr>
            <w:r>
              <w:rPr>
                <w:rFonts w:ascii="Arial" w:cs="Arial" w:eastAsia="Arial" w:hAnsi="Arial"/>
                <w:sz w:val="38"/>
                <w:szCs w:val="38"/>
                <w:color w:val="auto"/>
              </w:rPr>
              <w:t>N/A</w:t>
            </w:r>
          </w:p>
        </w:tc>
        <w:tc>
          <w:tcPr>
            <w:tcW w:w="40" w:type="dxa"/>
            <w:vAlign w:val="bottom"/>
            <w:tcBorders>
              <w:bottom w:val="single" w:sz="8" w:color="D47C18"/>
            </w:tcBorders>
            <w:shd w:val="clear" w:color="auto" w:fill="D47C18"/>
          </w:tcPr>
          <w:p>
            <w:pPr>
              <w:spacing w:after="0"/>
              <w:rPr>
                <w:sz w:val="24"/>
                <w:szCs w:val="24"/>
                <w:color w:val="auto"/>
              </w:rPr>
            </w:pPr>
          </w:p>
        </w:tc>
        <w:tc>
          <w:tcPr>
            <w:tcW w:w="5260" w:type="dxa"/>
            <w:vAlign w:val="bottom"/>
            <w:tcBorders>
              <w:left w:val="single" w:sz="8" w:color="D47C18"/>
            </w:tcBorders>
            <w:vMerge w:val="restart"/>
          </w:tcPr>
          <w:p>
            <w:pPr>
              <w:ind w:left="360"/>
              <w:spacing w:after="0"/>
              <w:rPr>
                <w:sz w:val="20"/>
                <w:szCs w:val="20"/>
                <w:color w:val="auto"/>
              </w:rPr>
            </w:pPr>
            <w:r>
              <w:rPr>
                <w:rFonts w:ascii="Arial" w:cs="Arial" w:eastAsia="Arial" w:hAnsi="Arial"/>
                <w:sz w:val="41"/>
                <w:szCs w:val="41"/>
                <w:b w:val="1"/>
                <w:bCs w:val="1"/>
                <w:color w:val="auto"/>
              </w:rPr>
              <w:t xml:space="preserve">OUP </w:t>
            </w:r>
            <w:r>
              <w:rPr>
                <w:rFonts w:ascii="Arial" w:cs="Arial" w:eastAsia="Arial" w:hAnsi="Arial"/>
                <w:sz w:val="44"/>
                <w:szCs w:val="44"/>
                <w:b w:val="1"/>
                <w:bCs w:val="1"/>
                <w:color w:val="5F81AA"/>
              </w:rPr>
              <w:t>($6M)</w:t>
            </w:r>
          </w:p>
        </w:tc>
        <w:tc>
          <w:tcPr>
            <w:tcW w:w="0" w:type="dxa"/>
            <w:vAlign w:val="bottom"/>
          </w:tcPr>
          <w:p>
            <w:pPr>
              <w:spacing w:after="0"/>
              <w:rPr>
                <w:sz w:val="1"/>
                <w:szCs w:val="1"/>
                <w:color w:val="auto"/>
              </w:rPr>
            </w:pPr>
          </w:p>
        </w:tc>
      </w:tr>
      <w:tr>
        <w:trPr>
          <w:trHeight w:val="265"/>
        </w:trPr>
        <w:tc>
          <w:tcPr>
            <w:tcW w:w="2100" w:type="dxa"/>
            <w:vAlign w:val="bottom"/>
            <w:vMerge w:val="restart"/>
          </w:tcPr>
          <w:p>
            <w:pPr>
              <w:jc w:val="center"/>
              <w:spacing w:after="0"/>
              <w:rPr>
                <w:sz w:val="20"/>
                <w:szCs w:val="20"/>
                <w:color w:val="auto"/>
              </w:rPr>
            </w:pPr>
            <w:r>
              <w:rPr>
                <w:rFonts w:ascii="Arial" w:cs="Arial" w:eastAsia="Arial" w:hAnsi="Arial"/>
                <w:sz w:val="38"/>
                <w:szCs w:val="38"/>
                <w:color w:val="auto"/>
              </w:rPr>
              <w:t>N/A</w:t>
            </w:r>
          </w:p>
        </w:tc>
        <w:tc>
          <w:tcPr>
            <w:tcW w:w="40" w:type="dxa"/>
            <w:vAlign w:val="bottom"/>
            <w:shd w:val="clear" w:color="auto" w:fill="D47C18"/>
          </w:tcPr>
          <w:p>
            <w:pPr>
              <w:spacing w:after="0"/>
              <w:rPr>
                <w:sz w:val="23"/>
                <w:szCs w:val="23"/>
                <w:color w:val="auto"/>
              </w:rPr>
            </w:pPr>
          </w:p>
        </w:tc>
        <w:tc>
          <w:tcPr>
            <w:tcW w:w="2040" w:type="dxa"/>
            <w:vAlign w:val="bottom"/>
            <w:vMerge w:val="restart"/>
          </w:tcPr>
          <w:p>
            <w:pPr>
              <w:ind w:left="700"/>
              <w:spacing w:after="0"/>
              <w:rPr>
                <w:sz w:val="20"/>
                <w:szCs w:val="20"/>
                <w:color w:val="auto"/>
              </w:rPr>
            </w:pPr>
            <w:r>
              <w:rPr>
                <w:rFonts w:ascii="Arial" w:cs="Arial" w:eastAsia="Arial" w:hAnsi="Arial"/>
                <w:sz w:val="38"/>
                <w:szCs w:val="38"/>
                <w:color w:val="auto"/>
              </w:rPr>
              <w:t>N/A</w:t>
            </w:r>
          </w:p>
        </w:tc>
        <w:tc>
          <w:tcPr>
            <w:tcW w:w="40" w:type="dxa"/>
            <w:vAlign w:val="bottom"/>
          </w:tcPr>
          <w:p>
            <w:pPr>
              <w:spacing w:after="0"/>
              <w:rPr>
                <w:sz w:val="23"/>
                <w:szCs w:val="23"/>
                <w:color w:val="auto"/>
              </w:rPr>
            </w:pPr>
          </w:p>
        </w:tc>
        <w:tc>
          <w:tcPr>
            <w:tcW w:w="5260" w:type="dxa"/>
            <w:vAlign w:val="bottom"/>
            <w:tcBorders>
              <w:left w:val="single" w:sz="8" w:color="D47C18"/>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100" w:type="dxa"/>
            <w:vAlign w:val="bottom"/>
            <w:vMerge w:val="continue"/>
          </w:tcPr>
          <w:p>
            <w:pPr>
              <w:spacing w:after="0"/>
              <w:rPr>
                <w:sz w:val="21"/>
                <w:szCs w:val="21"/>
                <w:color w:val="auto"/>
              </w:rPr>
            </w:pPr>
          </w:p>
        </w:tc>
        <w:tc>
          <w:tcPr>
            <w:tcW w:w="40" w:type="dxa"/>
            <w:vAlign w:val="bottom"/>
            <w:shd w:val="clear" w:color="auto" w:fill="D47C18"/>
          </w:tcPr>
          <w:p>
            <w:pPr>
              <w:spacing w:after="0"/>
              <w:rPr>
                <w:sz w:val="21"/>
                <w:szCs w:val="21"/>
                <w:color w:val="auto"/>
              </w:rPr>
            </w:pPr>
          </w:p>
        </w:tc>
        <w:tc>
          <w:tcPr>
            <w:tcW w:w="204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5260" w:type="dxa"/>
            <w:vAlign w:val="bottom"/>
            <w:tcBorders>
              <w:left w:val="single" w:sz="8" w:color="D47C18"/>
            </w:tcBorders>
          </w:tcPr>
          <w:p>
            <w:pPr>
              <w:spacing w:after="0"/>
              <w:rPr>
                <w:sz w:val="21"/>
                <w:szCs w:val="21"/>
                <w:color w:val="auto"/>
              </w:rPr>
            </w:pPr>
          </w:p>
        </w:tc>
        <w:tc>
          <w:tcPr>
            <w:tcW w:w="0" w:type="dxa"/>
            <w:vAlign w:val="bottom"/>
          </w:tcPr>
          <w:p>
            <w:pPr>
              <w:spacing w:after="0"/>
              <w:rPr>
                <w:sz w:val="1"/>
                <w:szCs w:val="1"/>
                <w:color w:val="auto"/>
              </w:rPr>
            </w:pPr>
          </w:p>
        </w:tc>
      </w:tr>
      <w:tr>
        <w:trPr>
          <w:trHeight w:val="44"/>
        </w:trPr>
        <w:tc>
          <w:tcPr>
            <w:tcW w:w="2100" w:type="dxa"/>
            <w:vAlign w:val="bottom"/>
            <w:tcBorders>
              <w:bottom w:val="single" w:sz="8" w:color="D47C18"/>
            </w:tcBorders>
          </w:tcPr>
          <w:p>
            <w:pPr>
              <w:spacing w:after="0"/>
              <w:rPr>
                <w:sz w:val="3"/>
                <w:szCs w:val="3"/>
                <w:color w:val="auto"/>
              </w:rPr>
            </w:pPr>
          </w:p>
        </w:tc>
        <w:tc>
          <w:tcPr>
            <w:tcW w:w="40" w:type="dxa"/>
            <w:vAlign w:val="bottom"/>
            <w:tcBorders>
              <w:bottom w:val="single" w:sz="8" w:color="D47C18"/>
            </w:tcBorders>
            <w:shd w:val="clear" w:color="auto" w:fill="D47C18"/>
          </w:tcPr>
          <w:p>
            <w:pPr>
              <w:spacing w:after="0"/>
              <w:rPr>
                <w:sz w:val="3"/>
                <w:szCs w:val="3"/>
                <w:color w:val="auto"/>
              </w:rPr>
            </w:pPr>
          </w:p>
        </w:tc>
        <w:tc>
          <w:tcPr>
            <w:tcW w:w="2040" w:type="dxa"/>
            <w:vAlign w:val="bottom"/>
            <w:tcBorders>
              <w:bottom w:val="single" w:sz="8" w:color="D47C18"/>
            </w:tcBorders>
          </w:tcPr>
          <w:p>
            <w:pPr>
              <w:spacing w:after="0"/>
              <w:rPr>
                <w:sz w:val="3"/>
                <w:szCs w:val="3"/>
                <w:color w:val="auto"/>
              </w:rPr>
            </w:pPr>
          </w:p>
        </w:tc>
        <w:tc>
          <w:tcPr>
            <w:tcW w:w="40" w:type="dxa"/>
            <w:vAlign w:val="bottom"/>
            <w:tcBorders>
              <w:bottom w:val="single" w:sz="8" w:color="D47C18"/>
            </w:tcBorders>
          </w:tcPr>
          <w:p>
            <w:pPr>
              <w:spacing w:after="0"/>
              <w:rPr>
                <w:sz w:val="3"/>
                <w:szCs w:val="3"/>
                <w:color w:val="auto"/>
              </w:rPr>
            </w:pPr>
          </w:p>
        </w:tc>
        <w:tc>
          <w:tcPr>
            <w:tcW w:w="5260" w:type="dxa"/>
            <w:vAlign w:val="bottom"/>
            <w:tcBorders>
              <w:left w:val="single" w:sz="8" w:color="D47C18"/>
              <w:bottom w:val="single" w:sz="8" w:color="D47C18"/>
            </w:tcBorders>
          </w:tcPr>
          <w:p>
            <w:pPr>
              <w:spacing w:after="0"/>
              <w:rPr>
                <w:sz w:val="3"/>
                <w:szCs w:val="3"/>
                <w:color w:val="auto"/>
              </w:rPr>
            </w:pPr>
          </w:p>
        </w:tc>
        <w:tc>
          <w:tcPr>
            <w:tcW w:w="0" w:type="dxa"/>
            <w:vAlign w:val="bottom"/>
          </w:tcPr>
          <w:p>
            <w:pPr>
              <w:spacing w:after="0"/>
              <w:rPr>
                <w:sz w:val="1"/>
                <w:szCs w:val="1"/>
                <w:color w:val="auto"/>
              </w:rPr>
            </w:pPr>
          </w:p>
        </w:tc>
      </w:tr>
      <w:tr>
        <w:trPr>
          <w:trHeight w:val="800"/>
        </w:trPr>
        <w:tc>
          <w:tcPr>
            <w:tcW w:w="2100" w:type="dxa"/>
            <w:vAlign w:val="bottom"/>
          </w:tcPr>
          <w:p>
            <w:pPr>
              <w:jc w:val="center"/>
              <w:ind w:left="188"/>
              <w:spacing w:after="0"/>
              <w:rPr>
                <w:sz w:val="20"/>
                <w:szCs w:val="20"/>
                <w:color w:val="auto"/>
              </w:rPr>
            </w:pPr>
            <w:r>
              <w:rPr>
                <w:rFonts w:ascii="Arial" w:cs="Arial" w:eastAsia="Arial" w:hAnsi="Arial"/>
                <w:sz w:val="38"/>
                <w:szCs w:val="38"/>
                <w:color w:val="auto"/>
              </w:rPr>
              <w:t>1240 bps</w:t>
            </w:r>
          </w:p>
        </w:tc>
        <w:tc>
          <w:tcPr>
            <w:tcW w:w="40" w:type="dxa"/>
            <w:vAlign w:val="bottom"/>
            <w:shd w:val="clear" w:color="auto" w:fill="D47C18"/>
          </w:tcPr>
          <w:p>
            <w:pPr>
              <w:spacing w:after="0"/>
              <w:rPr>
                <w:sz w:val="24"/>
                <w:szCs w:val="24"/>
                <w:color w:val="auto"/>
              </w:rPr>
            </w:pPr>
          </w:p>
        </w:tc>
        <w:tc>
          <w:tcPr>
            <w:tcW w:w="2040" w:type="dxa"/>
            <w:vAlign w:val="bottom"/>
          </w:tcPr>
          <w:p>
            <w:pPr>
              <w:ind w:left="620"/>
              <w:spacing w:after="0"/>
              <w:rPr>
                <w:sz w:val="20"/>
                <w:szCs w:val="20"/>
                <w:color w:val="auto"/>
              </w:rPr>
            </w:pPr>
            <w:r>
              <w:rPr>
                <w:rFonts w:ascii="Arial" w:cs="Arial" w:eastAsia="Arial" w:hAnsi="Arial"/>
                <w:sz w:val="38"/>
                <w:szCs w:val="38"/>
                <w:color w:val="auto"/>
              </w:rPr>
              <w:t>70 bps</w:t>
            </w:r>
          </w:p>
        </w:tc>
        <w:tc>
          <w:tcPr>
            <w:tcW w:w="40" w:type="dxa"/>
            <w:vAlign w:val="bottom"/>
            <w:shd w:val="clear" w:color="auto" w:fill="D47C18"/>
          </w:tcPr>
          <w:p>
            <w:pPr>
              <w:spacing w:after="0"/>
              <w:rPr>
                <w:sz w:val="24"/>
                <w:szCs w:val="24"/>
                <w:color w:val="auto"/>
              </w:rPr>
            </w:pPr>
          </w:p>
        </w:tc>
        <w:tc>
          <w:tcPr>
            <w:tcW w:w="5260" w:type="dxa"/>
            <w:vAlign w:val="bottom"/>
          </w:tcPr>
          <w:p>
            <w:pPr>
              <w:ind w:left="320"/>
              <w:spacing w:after="0"/>
              <w:rPr>
                <w:sz w:val="20"/>
                <w:szCs w:val="20"/>
                <w:color w:val="auto"/>
              </w:rPr>
            </w:pPr>
            <w:r>
              <w:rPr>
                <w:rFonts w:ascii="Arial" w:cs="Arial" w:eastAsia="Arial" w:hAnsi="Arial"/>
                <w:sz w:val="41"/>
                <w:szCs w:val="41"/>
                <w:b w:val="1"/>
                <w:bCs w:val="1"/>
                <w:color w:val="auto"/>
              </w:rPr>
              <w:t xml:space="preserve">OUP Margin </w:t>
            </w:r>
            <w:r>
              <w:rPr>
                <w:rFonts w:ascii="Arial" w:cs="Arial" w:eastAsia="Arial" w:hAnsi="Arial"/>
                <w:sz w:val="44"/>
                <w:szCs w:val="44"/>
                <w:b w:val="1"/>
                <w:bCs w:val="1"/>
                <w:color w:val="5F81AA"/>
              </w:rPr>
              <w:t>(7.0%)</w:t>
            </w:r>
          </w:p>
        </w:tc>
        <w:tc>
          <w:tcPr>
            <w:tcW w:w="0" w:type="dxa"/>
            <w:vAlign w:val="bottom"/>
          </w:tcPr>
          <w:p>
            <w:pPr>
              <w:spacing w:after="0"/>
              <w:rPr>
                <w:sz w:val="1"/>
                <w:szCs w:val="1"/>
                <w:color w:val="auto"/>
              </w:rPr>
            </w:pPr>
          </w:p>
        </w:tc>
      </w:tr>
      <w:tr>
        <w:trPr>
          <w:trHeight w:val="223"/>
        </w:trPr>
        <w:tc>
          <w:tcPr>
            <w:tcW w:w="2100" w:type="dxa"/>
            <w:vAlign w:val="bottom"/>
          </w:tcPr>
          <w:p>
            <w:pPr>
              <w:spacing w:after="0"/>
              <w:rPr>
                <w:sz w:val="19"/>
                <w:szCs w:val="19"/>
                <w:color w:val="auto"/>
              </w:rPr>
            </w:pPr>
          </w:p>
        </w:tc>
        <w:tc>
          <w:tcPr>
            <w:tcW w:w="40" w:type="dxa"/>
            <w:vAlign w:val="bottom"/>
            <w:shd w:val="clear" w:color="auto" w:fill="D47C18"/>
          </w:tcPr>
          <w:p>
            <w:pPr>
              <w:spacing w:after="0"/>
              <w:rPr>
                <w:sz w:val="19"/>
                <w:szCs w:val="19"/>
                <w:color w:val="auto"/>
              </w:rPr>
            </w:pPr>
          </w:p>
        </w:tc>
        <w:tc>
          <w:tcPr>
            <w:tcW w:w="2040" w:type="dxa"/>
            <w:vAlign w:val="bottom"/>
          </w:tcPr>
          <w:p>
            <w:pPr>
              <w:spacing w:after="0"/>
              <w:rPr>
                <w:sz w:val="19"/>
                <w:szCs w:val="19"/>
                <w:color w:val="auto"/>
              </w:rPr>
            </w:pPr>
          </w:p>
        </w:tc>
        <w:tc>
          <w:tcPr>
            <w:tcW w:w="40" w:type="dxa"/>
            <w:vAlign w:val="bottom"/>
            <w:shd w:val="clear" w:color="auto" w:fill="D47C18"/>
          </w:tcPr>
          <w:p>
            <w:pPr>
              <w:spacing w:after="0"/>
              <w:rPr>
                <w:sz w:val="19"/>
                <w:szCs w:val="19"/>
                <w:color w:val="auto"/>
              </w:rPr>
            </w:pPr>
          </w:p>
        </w:tc>
        <w:tc>
          <w:tcPr>
            <w:tcW w:w="5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800" w:hanging="270"/>
        <w:spacing w:after="0"/>
        <w:tabs>
          <w:tab w:leader="none" w:pos="800" w:val="left"/>
        </w:tabs>
        <w:numPr>
          <w:ilvl w:val="0"/>
          <w:numId w:val="16"/>
        </w:numPr>
        <w:rPr>
          <w:rFonts w:ascii="Arial" w:cs="Arial" w:eastAsia="Arial" w:hAnsi="Arial"/>
          <w:sz w:val="27"/>
          <w:szCs w:val="27"/>
          <w:color w:val="auto"/>
          <w:vertAlign w:val="superscript"/>
        </w:rPr>
      </w:pPr>
      <w:r>
        <w:rPr>
          <w:rFonts w:ascii="Arial" w:cs="Arial" w:eastAsia="Arial" w:hAnsi="Arial"/>
          <w:sz w:val="19"/>
          <w:szCs w:val="19"/>
          <w:color w:val="auto"/>
        </w:rPr>
        <w:t>Excludes the impact of reorganization charges of $6.1M in 2011 and $16.8M in 2010.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429895</wp:posOffset>
            </wp:positionV>
            <wp:extent cx="726821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420"/>
          </w:cols>
          <w:pgMar w:left="680" w:top="449" w:right="799" w:bottom="1440" w:gutter="0" w:footer="0" w:header="0"/>
          <w:type w:val="continuous"/>
        </w:sectPr>
      </w:pPr>
    </w:p>
    <w:bookmarkStart w:id="27" w:name="page28"/>
    <w:bookmarkEnd w:id="27"/>
    <w:p>
      <w:pPr>
        <w:ind w:right="3260"/>
        <w:spacing w:after="0" w:line="289" w:lineRule="auto"/>
        <w:rPr>
          <w:sz w:val="20"/>
          <w:szCs w:val="20"/>
          <w:color w:val="auto"/>
        </w:rPr>
      </w:pPr>
      <w:r>
        <w:rPr>
          <w:rFonts w:ascii="Arial" w:cs="Arial" w:eastAsia="Arial" w:hAnsi="Arial"/>
          <w:sz w:val="25"/>
          <w:szCs w:val="25"/>
          <w:b w:val="1"/>
          <w:bCs w:val="1"/>
          <w:color w:val="FFFFFF"/>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2011 4</w:t>
      </w:r>
      <w:r>
        <w:rPr>
          <w:rFonts w:ascii="Arial" w:cs="Arial" w:eastAsia="Arial" w:hAnsi="Arial"/>
          <w:sz w:val="17"/>
          <w:szCs w:val="17"/>
          <w:b w:val="1"/>
          <w:bCs w:val="1"/>
          <w:color w:val="FFFFFF"/>
        </w:rPr>
        <w:t>th</w:t>
      </w:r>
      <w:r>
        <w:rPr>
          <w:rFonts w:ascii="Arial" w:cs="Arial" w:eastAsia="Arial" w:hAnsi="Arial"/>
          <w:sz w:val="25"/>
          <w:szCs w:val="25"/>
          <w:b w:val="1"/>
          <w:bCs w:val="1"/>
          <w:color w:val="FFFFFF"/>
        </w:rPr>
        <w:t xml:space="preserve"> Quarter Results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February</w:t>
      </w:r>
    </w:p>
    <w:p>
      <w:pPr>
        <w:spacing w:after="0" w:line="582" w:lineRule="exact"/>
        <w:rPr>
          <w:sz w:val="20"/>
          <w:szCs w:val="20"/>
          <w:color w:val="auto"/>
        </w:rPr>
      </w:pPr>
    </w:p>
    <w:p>
      <w:pPr>
        <w:sectPr>
          <w:pgSz w:w="11900" w:h="16838" w:orient="portrait"/>
          <w:cols w:equalWidth="0" w:num="2">
            <w:col w:w="8340" w:space="720"/>
            <w:col w:w="1400"/>
          </w:cols>
          <w:pgMar w:left="680" w:top="449" w:right="759" w:bottom="1440" w:gutter="0" w:footer="0" w:header="0"/>
        </w:sectPr>
      </w:pPr>
    </w:p>
    <w:p>
      <w:pPr>
        <w:ind w:left="400"/>
        <w:spacing w:after="0"/>
        <w:rPr>
          <w:sz w:val="20"/>
          <w:szCs w:val="20"/>
          <w:color w:val="auto"/>
        </w:rPr>
      </w:pPr>
      <w:r>
        <w:rPr>
          <w:rFonts w:ascii="Arial" w:cs="Arial" w:eastAsia="Arial" w:hAnsi="Arial"/>
          <w:sz w:val="51"/>
          <w:szCs w:val="51"/>
          <w:color w:val="5F81AA"/>
        </w:rPr>
        <w:t>Cash Flow Summary - Full Year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540" w:type="dxa"/>
        <w:tblCellMar>
          <w:top w:w="0" w:type="dxa"/>
          <w:left w:w="0" w:type="dxa"/>
          <w:bottom w:w="0" w:type="dxa"/>
          <w:right w:w="0" w:type="dxa"/>
        </w:tblCellMar>
      </w:tblPr>
      <w:tr>
        <w:trPr>
          <w:trHeight w:val="421"/>
        </w:trPr>
        <w:tc>
          <w:tcPr>
            <w:tcW w:w="5600" w:type="dxa"/>
            <w:vAlign w:val="bottom"/>
          </w:tcPr>
          <w:p>
            <w:pPr>
              <w:spacing w:after="0"/>
              <w:rPr>
                <w:sz w:val="20"/>
                <w:szCs w:val="20"/>
                <w:color w:val="auto"/>
              </w:rPr>
            </w:pPr>
            <w:r>
              <w:rPr>
                <w:rFonts w:ascii="Arial" w:cs="Arial" w:eastAsia="Arial" w:hAnsi="Arial"/>
                <w:sz w:val="29"/>
                <w:szCs w:val="29"/>
                <w:color w:val="5F81AA"/>
              </w:rPr>
              <w:t>($ in millions)</w:t>
            </w:r>
          </w:p>
        </w:tc>
        <w:tc>
          <w:tcPr>
            <w:tcW w:w="1580" w:type="dxa"/>
            <w:vAlign w:val="bottom"/>
          </w:tcPr>
          <w:p>
            <w:pPr>
              <w:jc w:val="right"/>
              <w:spacing w:after="0"/>
              <w:rPr>
                <w:sz w:val="20"/>
                <w:szCs w:val="20"/>
                <w:color w:val="auto"/>
              </w:rPr>
            </w:pPr>
            <w:r>
              <w:rPr>
                <w:rFonts w:ascii="Arial" w:cs="Arial" w:eastAsia="Arial" w:hAnsi="Arial"/>
                <w:sz w:val="32"/>
                <w:szCs w:val="32"/>
                <w:b w:val="1"/>
                <w:bCs w:val="1"/>
                <w:color w:val="5F81AA"/>
              </w:rPr>
              <w:t>2011</w:t>
            </w:r>
          </w:p>
        </w:tc>
        <w:tc>
          <w:tcPr>
            <w:tcW w:w="1980" w:type="dxa"/>
            <w:vAlign w:val="bottom"/>
            <w:gridSpan w:val="2"/>
          </w:tcPr>
          <w:p>
            <w:pPr>
              <w:jc w:val="right"/>
              <w:spacing w:after="0"/>
              <w:rPr>
                <w:sz w:val="20"/>
                <w:szCs w:val="20"/>
                <w:color w:val="auto"/>
              </w:rPr>
            </w:pPr>
            <w:r>
              <w:rPr>
                <w:rFonts w:ascii="Arial" w:cs="Arial" w:eastAsia="Arial" w:hAnsi="Arial"/>
                <w:sz w:val="32"/>
                <w:szCs w:val="32"/>
                <w:b w:val="1"/>
                <w:bCs w:val="1"/>
                <w:color w:val="5F81AA"/>
              </w:rPr>
              <w:t>2010</w:t>
            </w:r>
          </w:p>
        </w:tc>
        <w:tc>
          <w:tcPr>
            <w:tcW w:w="0" w:type="dxa"/>
            <w:vAlign w:val="bottom"/>
          </w:tcPr>
          <w:p>
            <w:pPr>
              <w:spacing w:after="0"/>
              <w:rPr>
                <w:sz w:val="1"/>
                <w:szCs w:val="1"/>
                <w:color w:val="auto"/>
              </w:rPr>
            </w:pPr>
          </w:p>
        </w:tc>
      </w:tr>
      <w:tr>
        <w:trPr>
          <w:trHeight w:val="622"/>
        </w:trPr>
        <w:tc>
          <w:tcPr>
            <w:tcW w:w="5600" w:type="dxa"/>
            <w:vAlign w:val="bottom"/>
          </w:tcPr>
          <w:p>
            <w:pPr>
              <w:spacing w:after="0"/>
              <w:rPr>
                <w:sz w:val="20"/>
                <w:szCs w:val="20"/>
                <w:color w:val="auto"/>
              </w:rPr>
            </w:pPr>
            <w:r>
              <w:rPr>
                <w:rFonts w:ascii="Arial" w:cs="Arial" w:eastAsia="Arial" w:hAnsi="Arial"/>
                <w:sz w:val="29"/>
                <w:szCs w:val="29"/>
                <w:b w:val="1"/>
                <w:bCs w:val="1"/>
                <w:color w:val="auto"/>
              </w:rPr>
              <w:t>Cash from Operations</w:t>
            </w:r>
          </w:p>
        </w:tc>
        <w:tc>
          <w:tcPr>
            <w:tcW w:w="1580" w:type="dxa"/>
            <w:vAlign w:val="bottom"/>
          </w:tcPr>
          <w:p>
            <w:pPr>
              <w:jc w:val="right"/>
              <w:spacing w:after="0"/>
              <w:rPr>
                <w:sz w:val="20"/>
                <w:szCs w:val="20"/>
                <w:color w:val="auto"/>
              </w:rPr>
            </w:pPr>
            <w:r>
              <w:rPr>
                <w:rFonts w:ascii="Arial" w:cs="Arial" w:eastAsia="Arial" w:hAnsi="Arial"/>
                <w:sz w:val="29"/>
                <w:szCs w:val="29"/>
                <w:b w:val="1"/>
                <w:bCs w:val="1"/>
                <w:color w:val="auto"/>
              </w:rPr>
              <w:t>69</w:t>
            </w:r>
          </w:p>
        </w:tc>
        <w:tc>
          <w:tcPr>
            <w:tcW w:w="1980" w:type="dxa"/>
            <w:vAlign w:val="bottom"/>
            <w:gridSpan w:val="2"/>
          </w:tcPr>
          <w:p>
            <w:pPr>
              <w:jc w:val="right"/>
              <w:spacing w:after="0"/>
              <w:rPr>
                <w:sz w:val="20"/>
                <w:szCs w:val="20"/>
                <w:color w:val="auto"/>
              </w:rPr>
            </w:pPr>
            <w:r>
              <w:rPr>
                <w:rFonts w:ascii="Arial" w:cs="Arial" w:eastAsia="Arial" w:hAnsi="Arial"/>
                <w:sz w:val="29"/>
                <w:szCs w:val="29"/>
                <w:b w:val="1"/>
                <w:bCs w:val="1"/>
                <w:color w:val="auto"/>
              </w:rPr>
              <w:t>182</w:t>
            </w:r>
          </w:p>
        </w:tc>
        <w:tc>
          <w:tcPr>
            <w:tcW w:w="0" w:type="dxa"/>
            <w:vAlign w:val="bottom"/>
          </w:tcPr>
          <w:p>
            <w:pPr>
              <w:spacing w:after="0"/>
              <w:rPr>
                <w:sz w:val="1"/>
                <w:szCs w:val="1"/>
                <w:color w:val="auto"/>
              </w:rPr>
            </w:pPr>
          </w:p>
        </w:tc>
      </w:tr>
      <w:tr>
        <w:trPr>
          <w:trHeight w:val="511"/>
        </w:trPr>
        <w:tc>
          <w:tcPr>
            <w:tcW w:w="5600" w:type="dxa"/>
            <w:vAlign w:val="bottom"/>
          </w:tcPr>
          <w:p>
            <w:pPr>
              <w:spacing w:after="0"/>
              <w:rPr>
                <w:sz w:val="20"/>
                <w:szCs w:val="20"/>
                <w:color w:val="auto"/>
              </w:rPr>
            </w:pPr>
            <w:r>
              <w:rPr>
                <w:rFonts w:ascii="Arial" w:cs="Arial" w:eastAsia="Arial" w:hAnsi="Arial"/>
                <w:sz w:val="29"/>
                <w:szCs w:val="29"/>
                <w:b w:val="1"/>
                <w:bCs w:val="1"/>
                <w:color w:val="auto"/>
              </w:rPr>
              <w:t>Capital Expenditures</w:t>
            </w:r>
          </w:p>
        </w:tc>
        <w:tc>
          <w:tcPr>
            <w:tcW w:w="1580" w:type="dxa"/>
            <w:vAlign w:val="bottom"/>
          </w:tcPr>
          <w:p>
            <w:pPr>
              <w:jc w:val="right"/>
              <w:spacing w:after="0"/>
              <w:rPr>
                <w:sz w:val="20"/>
                <w:szCs w:val="20"/>
                <w:color w:val="auto"/>
              </w:rPr>
            </w:pPr>
            <w:r>
              <w:rPr>
                <w:rFonts w:ascii="Arial" w:cs="Arial" w:eastAsia="Arial" w:hAnsi="Arial"/>
                <w:sz w:val="29"/>
                <w:szCs w:val="29"/>
                <w:b w:val="1"/>
                <w:bCs w:val="1"/>
                <w:color w:val="auto"/>
              </w:rPr>
              <w:t>(65)</w:t>
            </w:r>
          </w:p>
        </w:tc>
        <w:tc>
          <w:tcPr>
            <w:tcW w:w="1980" w:type="dxa"/>
            <w:vAlign w:val="bottom"/>
            <w:gridSpan w:val="2"/>
          </w:tcPr>
          <w:p>
            <w:pPr>
              <w:jc w:val="right"/>
              <w:spacing w:after="0"/>
              <w:rPr>
                <w:sz w:val="20"/>
                <w:szCs w:val="20"/>
                <w:color w:val="auto"/>
              </w:rPr>
            </w:pPr>
            <w:r>
              <w:rPr>
                <w:rFonts w:ascii="Arial" w:cs="Arial" w:eastAsia="Arial" w:hAnsi="Arial"/>
                <w:sz w:val="29"/>
                <w:szCs w:val="29"/>
                <w:b w:val="1"/>
                <w:bCs w:val="1"/>
                <w:color w:val="auto"/>
              </w:rPr>
              <w:t>(58)</w:t>
            </w:r>
          </w:p>
        </w:tc>
        <w:tc>
          <w:tcPr>
            <w:tcW w:w="0" w:type="dxa"/>
            <w:vAlign w:val="bottom"/>
          </w:tcPr>
          <w:p>
            <w:pPr>
              <w:spacing w:after="0"/>
              <w:rPr>
                <w:sz w:val="1"/>
                <w:szCs w:val="1"/>
                <w:color w:val="auto"/>
              </w:rPr>
            </w:pPr>
          </w:p>
        </w:tc>
      </w:tr>
      <w:tr>
        <w:trPr>
          <w:trHeight w:val="152"/>
        </w:trPr>
        <w:tc>
          <w:tcPr>
            <w:tcW w:w="5600" w:type="dxa"/>
            <w:vAlign w:val="bottom"/>
            <w:vMerge w:val="restart"/>
          </w:tcPr>
          <w:p>
            <w:pPr>
              <w:ind w:left="560"/>
              <w:spacing w:after="0"/>
              <w:rPr>
                <w:sz w:val="20"/>
                <w:szCs w:val="20"/>
                <w:color w:val="auto"/>
              </w:rPr>
            </w:pPr>
            <w:r>
              <w:rPr>
                <w:rFonts w:ascii="Arial" w:cs="Arial" w:eastAsia="Arial" w:hAnsi="Arial"/>
                <w:sz w:val="29"/>
                <w:szCs w:val="29"/>
                <w:b w:val="1"/>
                <w:bCs w:val="1"/>
                <w:color w:val="auto"/>
              </w:rPr>
              <w:t>Free Cash Flow</w:t>
            </w:r>
          </w:p>
        </w:tc>
        <w:tc>
          <w:tcPr>
            <w:tcW w:w="1580" w:type="dxa"/>
            <w:vAlign w:val="bottom"/>
            <w:tcBorders>
              <w:bottom w:val="single" w:sz="8" w:color="auto"/>
            </w:tcBorders>
          </w:tcPr>
          <w:p>
            <w:pPr>
              <w:spacing w:after="0"/>
              <w:rPr>
                <w:sz w:val="13"/>
                <w:szCs w:val="13"/>
                <w:color w:val="auto"/>
              </w:rPr>
            </w:pPr>
          </w:p>
        </w:tc>
        <w:tc>
          <w:tcPr>
            <w:tcW w:w="400" w:type="dxa"/>
            <w:vAlign w:val="bottom"/>
            <w:vMerge w:val="restart"/>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5600" w:type="dxa"/>
            <w:vAlign w:val="bottom"/>
            <w:vMerge w:val="continue"/>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9"/>
                <w:szCs w:val="29"/>
                <w:b w:val="1"/>
                <w:bCs w:val="1"/>
                <w:color w:val="auto"/>
              </w:rPr>
              <w:t>4</w:t>
            </w:r>
          </w:p>
        </w:tc>
        <w:tc>
          <w:tcPr>
            <w:tcW w:w="400" w:type="dxa"/>
            <w:vAlign w:val="bottom"/>
            <w:vMerge w:val="continue"/>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9"/>
                <w:szCs w:val="29"/>
                <w:b w:val="1"/>
                <w:bCs w:val="1"/>
                <w:color w:val="auto"/>
              </w:rPr>
              <w:t>124</w:t>
            </w:r>
          </w:p>
        </w:tc>
        <w:tc>
          <w:tcPr>
            <w:tcW w:w="0" w:type="dxa"/>
            <w:vAlign w:val="bottom"/>
          </w:tcPr>
          <w:p>
            <w:pPr>
              <w:spacing w:after="0"/>
              <w:rPr>
                <w:sz w:val="1"/>
                <w:szCs w:val="1"/>
                <w:color w:val="auto"/>
              </w:rPr>
            </w:pPr>
          </w:p>
        </w:tc>
      </w:tr>
      <w:tr>
        <w:trPr>
          <w:trHeight w:val="479"/>
        </w:trPr>
        <w:tc>
          <w:tcPr>
            <w:tcW w:w="5600" w:type="dxa"/>
            <w:vAlign w:val="bottom"/>
          </w:tcPr>
          <w:p>
            <w:pPr>
              <w:spacing w:after="0"/>
              <w:rPr>
                <w:sz w:val="20"/>
                <w:szCs w:val="20"/>
                <w:color w:val="auto"/>
              </w:rPr>
            </w:pPr>
            <w:r>
              <w:rPr>
                <w:rFonts w:ascii="Arial" w:cs="Arial" w:eastAsia="Arial" w:hAnsi="Arial"/>
                <w:sz w:val="29"/>
                <w:szCs w:val="29"/>
                <w:b w:val="1"/>
                <w:bCs w:val="1"/>
                <w:color w:val="auto"/>
              </w:rPr>
              <w:t>Change in Debt</w:t>
            </w:r>
          </w:p>
        </w:tc>
        <w:tc>
          <w:tcPr>
            <w:tcW w:w="1580" w:type="dxa"/>
            <w:vAlign w:val="bottom"/>
          </w:tcPr>
          <w:p>
            <w:pPr>
              <w:jc w:val="right"/>
              <w:spacing w:after="0"/>
              <w:rPr>
                <w:sz w:val="20"/>
                <w:szCs w:val="20"/>
                <w:color w:val="auto"/>
              </w:rPr>
            </w:pPr>
            <w:r>
              <w:rPr>
                <w:rFonts w:ascii="Arial" w:cs="Arial" w:eastAsia="Arial" w:hAnsi="Arial"/>
                <w:sz w:val="29"/>
                <w:szCs w:val="29"/>
                <w:b w:val="1"/>
                <w:bCs w:val="1"/>
                <w:color w:val="auto"/>
              </w:rPr>
              <w:t>15</w:t>
            </w:r>
          </w:p>
        </w:tc>
        <w:tc>
          <w:tcPr>
            <w:tcW w:w="1980" w:type="dxa"/>
            <w:vAlign w:val="bottom"/>
            <w:gridSpan w:val="2"/>
          </w:tcPr>
          <w:p>
            <w:pPr>
              <w:jc w:val="right"/>
              <w:spacing w:after="0"/>
              <w:rPr>
                <w:sz w:val="20"/>
                <w:szCs w:val="20"/>
                <w:color w:val="auto"/>
              </w:rPr>
            </w:pPr>
            <w:r>
              <w:rPr>
                <w:rFonts w:ascii="Arial" w:cs="Arial" w:eastAsia="Arial" w:hAnsi="Arial"/>
                <w:sz w:val="29"/>
                <w:szCs w:val="29"/>
                <w:b w:val="1"/>
                <w:bCs w:val="1"/>
                <w:color w:val="auto"/>
              </w:rPr>
              <w:t>(15)</w:t>
            </w:r>
          </w:p>
        </w:tc>
        <w:tc>
          <w:tcPr>
            <w:tcW w:w="0" w:type="dxa"/>
            <w:vAlign w:val="bottom"/>
          </w:tcPr>
          <w:p>
            <w:pPr>
              <w:spacing w:after="0"/>
              <w:rPr>
                <w:sz w:val="1"/>
                <w:szCs w:val="1"/>
                <w:color w:val="auto"/>
              </w:rPr>
            </w:pPr>
          </w:p>
        </w:tc>
      </w:tr>
      <w:tr>
        <w:trPr>
          <w:trHeight w:val="511"/>
        </w:trPr>
        <w:tc>
          <w:tcPr>
            <w:tcW w:w="5600" w:type="dxa"/>
            <w:vAlign w:val="bottom"/>
          </w:tcPr>
          <w:p>
            <w:pPr>
              <w:spacing w:after="0"/>
              <w:rPr>
                <w:sz w:val="20"/>
                <w:szCs w:val="20"/>
                <w:color w:val="auto"/>
              </w:rPr>
            </w:pPr>
            <w:r>
              <w:rPr>
                <w:rFonts w:ascii="Arial" w:cs="Arial" w:eastAsia="Arial" w:hAnsi="Arial"/>
                <w:sz w:val="29"/>
                <w:szCs w:val="29"/>
                <w:b w:val="1"/>
                <w:bCs w:val="1"/>
                <w:color w:val="auto"/>
              </w:rPr>
              <w:t>Share Repurchases</w:t>
            </w:r>
          </w:p>
        </w:tc>
        <w:tc>
          <w:tcPr>
            <w:tcW w:w="1580" w:type="dxa"/>
            <w:vAlign w:val="bottom"/>
          </w:tcPr>
          <w:p>
            <w:pPr>
              <w:jc w:val="right"/>
              <w:spacing w:after="0"/>
              <w:rPr>
                <w:sz w:val="20"/>
                <w:szCs w:val="20"/>
                <w:color w:val="auto"/>
              </w:rPr>
            </w:pPr>
            <w:r>
              <w:rPr>
                <w:rFonts w:ascii="Arial" w:cs="Arial" w:eastAsia="Arial" w:hAnsi="Arial"/>
                <w:sz w:val="29"/>
                <w:szCs w:val="29"/>
                <w:b w:val="1"/>
                <w:bCs w:val="1"/>
                <w:color w:val="auto"/>
              </w:rPr>
              <w:t>(105)</w:t>
            </w:r>
          </w:p>
        </w:tc>
        <w:tc>
          <w:tcPr>
            <w:tcW w:w="1980" w:type="dxa"/>
            <w:vAlign w:val="bottom"/>
            <w:gridSpan w:val="2"/>
          </w:tcPr>
          <w:p>
            <w:pPr>
              <w:jc w:val="right"/>
              <w:spacing w:after="0"/>
              <w:rPr>
                <w:sz w:val="20"/>
                <w:szCs w:val="20"/>
                <w:color w:val="auto"/>
              </w:rPr>
            </w:pPr>
            <w:r>
              <w:rPr>
                <w:rFonts w:ascii="Arial" w:cs="Arial" w:eastAsia="Arial" w:hAnsi="Arial"/>
                <w:sz w:val="29"/>
                <w:szCs w:val="29"/>
                <w:b w:val="1"/>
                <w:bCs w:val="1"/>
                <w:color w:val="auto"/>
              </w:rPr>
              <w:t>(35)</w:t>
            </w:r>
          </w:p>
        </w:tc>
        <w:tc>
          <w:tcPr>
            <w:tcW w:w="0" w:type="dxa"/>
            <w:vAlign w:val="bottom"/>
          </w:tcPr>
          <w:p>
            <w:pPr>
              <w:spacing w:after="0"/>
              <w:rPr>
                <w:sz w:val="1"/>
                <w:szCs w:val="1"/>
                <w:color w:val="auto"/>
              </w:rPr>
            </w:pPr>
          </w:p>
        </w:tc>
      </w:tr>
      <w:tr>
        <w:trPr>
          <w:trHeight w:val="464"/>
        </w:trPr>
        <w:tc>
          <w:tcPr>
            <w:tcW w:w="5600" w:type="dxa"/>
            <w:vAlign w:val="bottom"/>
          </w:tcPr>
          <w:p>
            <w:pPr>
              <w:spacing w:after="0"/>
              <w:rPr>
                <w:sz w:val="20"/>
                <w:szCs w:val="20"/>
                <w:color w:val="auto"/>
              </w:rPr>
            </w:pPr>
            <w:r>
              <w:rPr>
                <w:rFonts w:ascii="Arial" w:cs="Arial" w:eastAsia="Arial" w:hAnsi="Arial"/>
                <w:sz w:val="29"/>
                <w:szCs w:val="29"/>
                <w:b w:val="1"/>
                <w:bCs w:val="1"/>
                <w:color w:val="auto"/>
              </w:rPr>
              <w:t>Acquisitions of Businesses</w:t>
            </w:r>
          </w:p>
        </w:tc>
        <w:tc>
          <w:tcPr>
            <w:tcW w:w="1580" w:type="dxa"/>
            <w:vAlign w:val="bottom"/>
            <w:vMerge w:val="restart"/>
          </w:tcPr>
          <w:p>
            <w:pPr>
              <w:jc w:val="right"/>
              <w:spacing w:after="0"/>
              <w:rPr>
                <w:sz w:val="20"/>
                <w:szCs w:val="20"/>
                <w:color w:val="auto"/>
              </w:rPr>
            </w:pPr>
            <w:r>
              <w:rPr>
                <w:rFonts w:ascii="Arial" w:cs="Arial" w:eastAsia="Arial" w:hAnsi="Arial"/>
                <w:sz w:val="29"/>
                <w:szCs w:val="29"/>
                <w:b w:val="1"/>
                <w:bCs w:val="1"/>
                <w:color w:val="auto"/>
              </w:rPr>
              <w:t>(49)</w:t>
            </w:r>
          </w:p>
        </w:tc>
        <w:tc>
          <w:tcPr>
            <w:tcW w:w="1980" w:type="dxa"/>
            <w:vAlign w:val="bottom"/>
            <w:gridSpan w:val="2"/>
            <w:vMerge w:val="restart"/>
          </w:tcPr>
          <w:p>
            <w:pPr>
              <w:jc w:val="right"/>
              <w:spacing w:after="0"/>
              <w:rPr>
                <w:sz w:val="20"/>
                <w:szCs w:val="20"/>
                <w:color w:val="auto"/>
              </w:rPr>
            </w:pPr>
            <w:r>
              <w:rPr>
                <w:rFonts w:ascii="Arial" w:cs="Arial" w:eastAsia="Arial" w:hAnsi="Arial"/>
                <w:sz w:val="29"/>
                <w:szCs w:val="29"/>
                <w:b w:val="1"/>
                <w:bCs w:val="1"/>
                <w:color w:val="auto"/>
              </w:rPr>
              <w:t>(270)</w:t>
            </w:r>
          </w:p>
        </w:tc>
        <w:tc>
          <w:tcPr>
            <w:tcW w:w="0" w:type="dxa"/>
            <w:vAlign w:val="bottom"/>
          </w:tcPr>
          <w:p>
            <w:pPr>
              <w:spacing w:after="0"/>
              <w:rPr>
                <w:sz w:val="1"/>
                <w:szCs w:val="1"/>
                <w:color w:val="auto"/>
              </w:rPr>
            </w:pPr>
          </w:p>
        </w:tc>
      </w:tr>
      <w:tr>
        <w:trPr>
          <w:trHeight w:val="380"/>
        </w:trPr>
        <w:tc>
          <w:tcPr>
            <w:tcW w:w="5600" w:type="dxa"/>
            <w:vAlign w:val="bottom"/>
          </w:tcPr>
          <w:p>
            <w:pPr>
              <w:ind w:left="140"/>
              <w:spacing w:after="0"/>
              <w:rPr>
                <w:sz w:val="20"/>
                <w:szCs w:val="20"/>
                <w:color w:val="auto"/>
              </w:rPr>
            </w:pPr>
            <w:r>
              <w:rPr>
                <w:rFonts w:ascii="Arial" w:cs="Arial" w:eastAsia="Arial" w:hAnsi="Arial"/>
                <w:sz w:val="29"/>
                <w:szCs w:val="29"/>
                <w:b w:val="1"/>
                <w:bCs w:val="1"/>
                <w:color w:val="auto"/>
              </w:rPr>
              <w:t>net of cash acquired</w:t>
            </w:r>
          </w:p>
        </w:tc>
        <w:tc>
          <w:tcPr>
            <w:tcW w:w="1580" w:type="dxa"/>
            <w:vAlign w:val="bottom"/>
            <w:vMerge w:val="continue"/>
          </w:tcPr>
          <w:p>
            <w:pPr>
              <w:spacing w:after="0"/>
              <w:rPr>
                <w:sz w:val="24"/>
                <w:szCs w:val="24"/>
                <w:color w:val="auto"/>
              </w:rPr>
            </w:pPr>
          </w:p>
        </w:tc>
        <w:tc>
          <w:tcPr>
            <w:tcW w:w="19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83"/>
        </w:trPr>
        <w:tc>
          <w:tcPr>
            <w:tcW w:w="5600" w:type="dxa"/>
            <w:vAlign w:val="bottom"/>
          </w:tcPr>
          <w:p>
            <w:pPr>
              <w:spacing w:after="0"/>
              <w:rPr>
                <w:sz w:val="20"/>
                <w:szCs w:val="20"/>
                <w:color w:val="auto"/>
              </w:rPr>
            </w:pPr>
            <w:r>
              <w:rPr>
                <w:rFonts w:ascii="Arial" w:cs="Arial" w:eastAsia="Arial" w:hAnsi="Arial"/>
                <w:sz w:val="29"/>
                <w:szCs w:val="29"/>
                <w:b w:val="1"/>
                <w:bCs w:val="1"/>
                <w:color w:val="auto"/>
              </w:rPr>
              <w:t>Effect of Exchange Rate Changes</w:t>
            </w:r>
          </w:p>
        </w:tc>
        <w:tc>
          <w:tcPr>
            <w:tcW w:w="1580" w:type="dxa"/>
            <w:vAlign w:val="bottom"/>
          </w:tcPr>
          <w:p>
            <w:pPr>
              <w:jc w:val="right"/>
              <w:spacing w:after="0"/>
              <w:rPr>
                <w:sz w:val="20"/>
                <w:szCs w:val="20"/>
                <w:color w:val="auto"/>
              </w:rPr>
            </w:pPr>
            <w:r>
              <w:rPr>
                <w:rFonts w:ascii="Arial" w:cs="Arial" w:eastAsia="Arial" w:hAnsi="Arial"/>
                <w:sz w:val="29"/>
                <w:szCs w:val="29"/>
                <w:b w:val="1"/>
                <w:bCs w:val="1"/>
                <w:color w:val="auto"/>
              </w:rPr>
              <w:t>(28)</w:t>
            </w:r>
          </w:p>
        </w:tc>
        <w:tc>
          <w:tcPr>
            <w:tcW w:w="1980" w:type="dxa"/>
            <w:vAlign w:val="bottom"/>
            <w:gridSpan w:val="2"/>
          </w:tcPr>
          <w:p>
            <w:pPr>
              <w:jc w:val="right"/>
              <w:spacing w:after="0"/>
              <w:rPr>
                <w:sz w:val="20"/>
                <w:szCs w:val="20"/>
                <w:color w:val="auto"/>
              </w:rPr>
            </w:pPr>
            <w:r>
              <w:rPr>
                <w:rFonts w:ascii="Arial" w:cs="Arial" w:eastAsia="Arial" w:hAnsi="Arial"/>
                <w:sz w:val="29"/>
                <w:szCs w:val="29"/>
                <w:b w:val="1"/>
                <w:bCs w:val="1"/>
                <w:color w:val="auto"/>
              </w:rPr>
              <w:t>(18)</w:t>
            </w:r>
          </w:p>
        </w:tc>
        <w:tc>
          <w:tcPr>
            <w:tcW w:w="0" w:type="dxa"/>
            <w:vAlign w:val="bottom"/>
          </w:tcPr>
          <w:p>
            <w:pPr>
              <w:spacing w:after="0"/>
              <w:rPr>
                <w:sz w:val="1"/>
                <w:szCs w:val="1"/>
                <w:color w:val="auto"/>
              </w:rPr>
            </w:pPr>
          </w:p>
        </w:tc>
      </w:tr>
      <w:tr>
        <w:trPr>
          <w:trHeight w:val="511"/>
        </w:trPr>
        <w:tc>
          <w:tcPr>
            <w:tcW w:w="5600" w:type="dxa"/>
            <w:vAlign w:val="bottom"/>
          </w:tcPr>
          <w:p>
            <w:pPr>
              <w:spacing w:after="0"/>
              <w:rPr>
                <w:sz w:val="20"/>
                <w:szCs w:val="20"/>
                <w:color w:val="auto"/>
              </w:rPr>
            </w:pPr>
            <w:r>
              <w:rPr>
                <w:rFonts w:ascii="Arial" w:cs="Arial" w:eastAsia="Arial" w:hAnsi="Arial"/>
                <w:sz w:val="29"/>
                <w:szCs w:val="29"/>
                <w:b w:val="1"/>
                <w:bCs w:val="1"/>
                <w:color w:val="auto"/>
              </w:rPr>
              <w:t>Other</w:t>
            </w:r>
          </w:p>
        </w:tc>
        <w:tc>
          <w:tcPr>
            <w:tcW w:w="1580" w:type="dxa"/>
            <w:vAlign w:val="bottom"/>
          </w:tcPr>
          <w:p>
            <w:pPr>
              <w:jc w:val="right"/>
              <w:spacing w:after="0"/>
              <w:rPr>
                <w:sz w:val="20"/>
                <w:szCs w:val="20"/>
                <w:color w:val="auto"/>
              </w:rPr>
            </w:pPr>
            <w:r>
              <w:rPr>
                <w:rFonts w:ascii="Arial" w:cs="Arial" w:eastAsia="Arial" w:hAnsi="Arial"/>
                <w:sz w:val="29"/>
                <w:szCs w:val="29"/>
                <w:b w:val="1"/>
                <w:bCs w:val="1"/>
                <w:color w:val="auto"/>
              </w:rPr>
              <w:t>(29)</w:t>
            </w:r>
          </w:p>
        </w:tc>
        <w:tc>
          <w:tcPr>
            <w:tcW w:w="1980" w:type="dxa"/>
            <w:vAlign w:val="bottom"/>
            <w:gridSpan w:val="2"/>
          </w:tcPr>
          <w:p>
            <w:pPr>
              <w:jc w:val="right"/>
              <w:spacing w:after="0"/>
              <w:rPr>
                <w:sz w:val="20"/>
                <w:szCs w:val="20"/>
                <w:color w:val="auto"/>
              </w:rPr>
            </w:pPr>
            <w:r>
              <w:rPr>
                <w:rFonts w:ascii="Arial" w:cs="Arial" w:eastAsia="Arial" w:hAnsi="Arial"/>
                <w:sz w:val="29"/>
                <w:szCs w:val="29"/>
                <w:b w:val="1"/>
                <w:bCs w:val="1"/>
                <w:color w:val="auto"/>
              </w:rPr>
              <w:t>(28)</w:t>
            </w:r>
          </w:p>
        </w:tc>
        <w:tc>
          <w:tcPr>
            <w:tcW w:w="0" w:type="dxa"/>
            <w:vAlign w:val="bottom"/>
          </w:tcPr>
          <w:p>
            <w:pPr>
              <w:spacing w:after="0"/>
              <w:rPr>
                <w:sz w:val="1"/>
                <w:szCs w:val="1"/>
                <w:color w:val="auto"/>
              </w:rPr>
            </w:pPr>
          </w:p>
        </w:tc>
      </w:tr>
      <w:tr>
        <w:trPr>
          <w:trHeight w:val="152"/>
        </w:trPr>
        <w:tc>
          <w:tcPr>
            <w:tcW w:w="5600" w:type="dxa"/>
            <w:vAlign w:val="bottom"/>
            <w:vMerge w:val="restart"/>
          </w:tcPr>
          <w:p>
            <w:pPr>
              <w:ind w:left="560"/>
              <w:spacing w:after="0"/>
              <w:rPr>
                <w:sz w:val="20"/>
                <w:szCs w:val="20"/>
                <w:color w:val="auto"/>
              </w:rPr>
            </w:pPr>
            <w:r>
              <w:rPr>
                <w:rFonts w:ascii="Arial" w:cs="Arial" w:eastAsia="Arial" w:hAnsi="Arial"/>
                <w:sz w:val="29"/>
                <w:szCs w:val="29"/>
                <w:b w:val="1"/>
                <w:bCs w:val="1"/>
                <w:color w:val="auto"/>
              </w:rPr>
              <w:t>Change in Cash</w:t>
            </w:r>
          </w:p>
        </w:tc>
        <w:tc>
          <w:tcPr>
            <w:tcW w:w="1580" w:type="dxa"/>
            <w:vAlign w:val="bottom"/>
            <w:tcBorders>
              <w:bottom w:val="single" w:sz="8" w:color="auto"/>
            </w:tcBorders>
          </w:tcPr>
          <w:p>
            <w:pPr>
              <w:spacing w:after="0"/>
              <w:rPr>
                <w:sz w:val="13"/>
                <w:szCs w:val="13"/>
                <w:color w:val="auto"/>
              </w:rPr>
            </w:pPr>
          </w:p>
        </w:tc>
        <w:tc>
          <w:tcPr>
            <w:tcW w:w="400" w:type="dxa"/>
            <w:vAlign w:val="bottom"/>
            <w:vMerge w:val="restart"/>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5600" w:type="dxa"/>
            <w:vAlign w:val="bottom"/>
            <w:vMerge w:val="continue"/>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9"/>
                <w:szCs w:val="29"/>
                <w:b w:val="1"/>
                <w:bCs w:val="1"/>
                <w:color w:val="auto"/>
              </w:rPr>
              <w:t>(192)</w:t>
            </w:r>
          </w:p>
        </w:tc>
        <w:tc>
          <w:tcPr>
            <w:tcW w:w="400" w:type="dxa"/>
            <w:vAlign w:val="bottom"/>
            <w:vMerge w:val="continue"/>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9"/>
                <w:szCs w:val="29"/>
                <w:b w:val="1"/>
                <w:bCs w:val="1"/>
                <w:color w:val="auto"/>
              </w:rPr>
              <w:t>(242)</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392430</wp:posOffset>
            </wp:positionV>
            <wp:extent cx="726821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460"/>
          </w:cols>
          <w:pgMar w:left="680" w:top="449" w:right="759" w:bottom="1440" w:gutter="0" w:footer="0" w:header="0"/>
          <w:type w:val="continuous"/>
        </w:sectPr>
      </w:pPr>
    </w:p>
    <w:bookmarkStart w:id="28" w:name="page29"/>
    <w:bookmarkEnd w:id="28"/>
    <w:p>
      <w:pPr>
        <w:ind w:left="200" w:right="3260"/>
        <w:spacing w:after="0" w:line="289" w:lineRule="auto"/>
        <w:rPr>
          <w:sz w:val="20"/>
          <w:szCs w:val="20"/>
          <w:color w:val="auto"/>
        </w:rPr>
      </w:pPr>
      <w:r>
        <w:rPr>
          <w:rFonts w:ascii="Arial" w:cs="Arial" w:eastAsia="Arial" w:hAnsi="Arial"/>
          <w:sz w:val="25"/>
          <w:szCs w:val="25"/>
          <w:b w:val="1"/>
          <w:bCs w:val="1"/>
          <w:color w:val="FFFFFF"/>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2011 4</w:t>
      </w:r>
      <w:r>
        <w:rPr>
          <w:rFonts w:ascii="Arial" w:cs="Arial" w:eastAsia="Arial" w:hAnsi="Arial"/>
          <w:sz w:val="17"/>
          <w:szCs w:val="17"/>
          <w:b w:val="1"/>
          <w:bCs w:val="1"/>
          <w:color w:val="FFFFFF"/>
        </w:rPr>
        <w:t>th</w:t>
      </w:r>
      <w:r>
        <w:rPr>
          <w:rFonts w:ascii="Arial" w:cs="Arial" w:eastAsia="Arial" w:hAnsi="Arial"/>
          <w:sz w:val="25"/>
          <w:szCs w:val="25"/>
          <w:b w:val="1"/>
          <w:bCs w:val="1"/>
          <w:color w:val="FFFFFF"/>
        </w:rPr>
        <w:t xml:space="preserve"> Quarter Results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February</w:t>
      </w:r>
    </w:p>
    <w:p>
      <w:pPr>
        <w:spacing w:after="0" w:line="463" w:lineRule="exact"/>
        <w:rPr>
          <w:sz w:val="20"/>
          <w:szCs w:val="20"/>
          <w:color w:val="auto"/>
        </w:rPr>
      </w:pPr>
    </w:p>
    <w:p>
      <w:pPr>
        <w:sectPr>
          <w:pgSz w:w="11900" w:h="16838" w:orient="portrait"/>
          <w:cols w:equalWidth="0" w:num="2">
            <w:col w:w="8540" w:space="720"/>
            <w:col w:w="1560"/>
          </w:cols>
          <w:pgMar w:left="480" w:top="449" w:right="599" w:bottom="1440" w:gutter="0" w:footer="0" w:header="0"/>
        </w:sectPr>
      </w:pPr>
    </w:p>
    <w:p>
      <w:pPr>
        <w:ind w:left="620"/>
        <w:spacing w:after="0"/>
        <w:rPr>
          <w:sz w:val="20"/>
          <w:szCs w:val="20"/>
          <w:color w:val="auto"/>
        </w:rPr>
      </w:pPr>
      <w:r>
        <w:rPr>
          <w:rFonts w:ascii="Arial" w:cs="Arial" w:eastAsia="Arial" w:hAnsi="Arial"/>
          <w:sz w:val="51"/>
          <w:szCs w:val="51"/>
          <w:color w:val="5F81AA"/>
        </w:rPr>
        <w:t>Balance Sheet Highlights</w:t>
      </w:r>
    </w:p>
    <w:p>
      <w:pPr>
        <w:spacing w:after="0" w:line="347"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Total Debt</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9"/>
          <w:szCs w:val="19"/>
          <w:color w:val="auto"/>
        </w:rPr>
        <w:t>($ in millions)</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21"/>
          <w:szCs w:val="21"/>
          <w:color w:val="auto"/>
        </w:rPr>
        <w:t>Total Debt</w:t>
      </w:r>
    </w:p>
    <w:p>
      <w:pPr>
        <w:spacing w:after="0" w:line="183" w:lineRule="exact"/>
        <w:rPr>
          <w:sz w:val="20"/>
          <w:szCs w:val="20"/>
          <w:color w:val="auto"/>
        </w:rPr>
      </w:pPr>
    </w:p>
    <w:p>
      <w:pPr>
        <w:ind w:left="9900"/>
        <w:spacing w:after="0"/>
        <w:rPr>
          <w:sz w:val="20"/>
          <w:szCs w:val="20"/>
          <w:color w:val="auto"/>
        </w:rPr>
      </w:pPr>
      <w:r>
        <w:rPr>
          <w:rFonts w:ascii="Arial" w:cs="Arial" w:eastAsia="Arial" w:hAnsi="Arial"/>
          <w:sz w:val="21"/>
          <w:szCs w:val="21"/>
          <w:color w:val="auto"/>
        </w:rPr>
        <w:t>Net</w:t>
      </w:r>
    </w:p>
    <w:p>
      <w:pPr>
        <w:ind w:left="9900"/>
        <w:spacing w:after="0"/>
        <w:rPr>
          <w:sz w:val="20"/>
          <w:szCs w:val="20"/>
          <w:color w:val="auto"/>
        </w:rPr>
      </w:pPr>
      <w:r>
        <w:rPr>
          <w:rFonts w:ascii="Arial" w:cs="Arial" w:eastAsia="Arial" w:hAnsi="Arial"/>
          <w:sz w:val="21"/>
          <w:szCs w:val="21"/>
          <w:color w:val="auto"/>
        </w:rPr>
        <w:t>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8800"/>
        <w:spacing w:after="0"/>
        <w:rPr>
          <w:sz w:val="20"/>
          <w:szCs w:val="20"/>
          <w:color w:val="auto"/>
        </w:rPr>
      </w:pPr>
      <w:r>
        <w:rPr>
          <w:rFonts w:ascii="Arial" w:cs="Arial" w:eastAsia="Arial" w:hAnsi="Arial"/>
          <w:sz w:val="22"/>
          <w:szCs w:val="22"/>
          <w:b w:val="1"/>
          <w:bCs w:val="1"/>
          <w:color w:val="auto"/>
        </w:rPr>
        <w:t>Total Debt to</w:t>
      </w:r>
    </w:p>
    <w:p>
      <w:pPr>
        <w:spacing w:after="0" w:line="42" w:lineRule="exact"/>
        <w:rPr>
          <w:sz w:val="20"/>
          <w:szCs w:val="20"/>
          <w:color w:val="auto"/>
        </w:rPr>
      </w:pPr>
    </w:p>
    <w:p>
      <w:pPr>
        <w:jc w:val="center"/>
        <w:ind w:right="8800"/>
        <w:spacing w:after="0"/>
        <w:rPr>
          <w:sz w:val="20"/>
          <w:szCs w:val="20"/>
          <w:color w:val="auto"/>
        </w:rPr>
      </w:pPr>
      <w:r>
        <w:rPr>
          <w:rFonts w:ascii="Arial" w:cs="Arial" w:eastAsia="Arial" w:hAnsi="Arial"/>
          <w:sz w:val="22"/>
          <w:szCs w:val="22"/>
          <w:b w:val="1"/>
          <w:bCs w:val="1"/>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2211070</wp:posOffset>
            </wp:positionV>
            <wp:extent cx="726821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820"/>
          </w:cols>
          <w:pgMar w:left="480" w:top="449" w:right="599" w:bottom="1440" w:gutter="0" w:footer="0" w:header="0"/>
          <w:type w:val="continuous"/>
        </w:sectPr>
      </w:pPr>
    </w:p>
    <w:bookmarkStart w:id="29" w:name="page30"/>
    <w:bookmarkEnd w:id="29"/>
    <w:p>
      <w:pPr>
        <w:ind w:left="60" w:right="3260"/>
        <w:spacing w:after="0" w:line="289" w:lineRule="auto"/>
        <w:rPr>
          <w:sz w:val="20"/>
          <w:szCs w:val="20"/>
          <w:color w:val="auto"/>
        </w:rPr>
      </w:pPr>
      <w:r>
        <w:rPr>
          <w:rFonts w:ascii="Arial" w:cs="Arial" w:eastAsia="Arial" w:hAnsi="Arial"/>
          <w:sz w:val="25"/>
          <w:szCs w:val="25"/>
          <w:b w:val="1"/>
          <w:bCs w:val="1"/>
          <w:color w:val="FFFFFF"/>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2011 4</w:t>
      </w:r>
      <w:r>
        <w:rPr>
          <w:rFonts w:ascii="Arial" w:cs="Arial" w:eastAsia="Arial" w:hAnsi="Arial"/>
          <w:sz w:val="17"/>
          <w:szCs w:val="17"/>
          <w:b w:val="1"/>
          <w:bCs w:val="1"/>
          <w:color w:val="FFFFFF"/>
        </w:rPr>
        <w:t>th</w:t>
      </w:r>
      <w:r>
        <w:rPr>
          <w:rFonts w:ascii="Arial" w:cs="Arial" w:eastAsia="Arial" w:hAnsi="Arial"/>
          <w:sz w:val="25"/>
          <w:szCs w:val="25"/>
          <w:b w:val="1"/>
          <w:bCs w:val="1"/>
          <w:color w:val="FFFFFF"/>
        </w:rPr>
        <w:t xml:space="preserve"> Quarter Results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February</w:t>
      </w:r>
    </w:p>
    <w:p>
      <w:pPr>
        <w:spacing w:after="0" w:line="604" w:lineRule="exact"/>
        <w:rPr>
          <w:sz w:val="20"/>
          <w:szCs w:val="20"/>
          <w:color w:val="auto"/>
        </w:rPr>
      </w:pPr>
    </w:p>
    <w:p>
      <w:pPr>
        <w:sectPr>
          <w:pgSz w:w="11900" w:h="16838" w:orient="portrait"/>
          <w:cols w:equalWidth="0" w:num="2">
            <w:col w:w="8400" w:space="720"/>
            <w:col w:w="1500"/>
          </w:cols>
          <w:pgMar w:left="620" w:top="449" w:right="659" w:bottom="1440" w:gutter="0" w:footer="0" w:header="0"/>
        </w:sectPr>
      </w:pPr>
    </w:p>
    <w:p>
      <w:pPr>
        <w:spacing w:after="0" w:line="61" w:lineRule="exact"/>
        <w:rPr>
          <w:sz w:val="20"/>
          <w:szCs w:val="20"/>
          <w:color w:val="auto"/>
        </w:rPr>
      </w:pPr>
    </w:p>
    <w:p>
      <w:pPr>
        <w:ind w:left="260"/>
        <w:spacing w:after="0"/>
        <w:rPr>
          <w:sz w:val="20"/>
          <w:szCs w:val="20"/>
          <w:color w:val="auto"/>
        </w:rPr>
      </w:pPr>
      <w:r>
        <w:rPr>
          <w:rFonts w:ascii="Arial" w:cs="Arial" w:eastAsia="Arial" w:hAnsi="Arial"/>
          <w:sz w:val="51"/>
          <w:szCs w:val="51"/>
          <w:color w:val="5F81AA"/>
        </w:rPr>
        <w:t>Credit Facilities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760" w:type="dxa"/>
            <w:vAlign w:val="bottom"/>
          </w:tcPr>
          <w:p>
            <w:pPr>
              <w:ind w:left="260"/>
              <w:spacing w:after="0"/>
              <w:rPr>
                <w:sz w:val="20"/>
                <w:szCs w:val="20"/>
                <w:color w:val="auto"/>
              </w:rPr>
            </w:pPr>
            <w:r>
              <w:rPr>
                <w:rFonts w:ascii="Arial" w:cs="Arial" w:eastAsia="Arial" w:hAnsi="Arial"/>
                <w:sz w:val="22"/>
                <w:szCs w:val="22"/>
                <w:color w:val="5F81AA"/>
              </w:rPr>
              <w:t>($ in millions)</w:t>
            </w:r>
          </w:p>
        </w:tc>
        <w:tc>
          <w:tcPr>
            <w:tcW w:w="13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760" w:type="dxa"/>
            <w:vAlign w:val="bottom"/>
            <w:vMerge w:val="restart"/>
          </w:tcPr>
          <w:p>
            <w:pPr>
              <w:jc w:val="center"/>
              <w:spacing w:after="0"/>
              <w:rPr>
                <w:sz w:val="20"/>
                <w:szCs w:val="20"/>
                <w:color w:val="auto"/>
              </w:rPr>
            </w:pPr>
            <w:r>
              <w:rPr>
                <w:rFonts w:ascii="Arial" w:cs="Arial" w:eastAsia="Arial" w:hAnsi="Arial"/>
                <w:sz w:val="22"/>
                <w:szCs w:val="22"/>
                <w:b w:val="1"/>
                <w:bCs w:val="1"/>
                <w:color w:val="7F7F7F"/>
                <w:w w:val="95"/>
              </w:rPr>
              <w:t>Total</w:t>
            </w:r>
          </w:p>
        </w:tc>
        <w:tc>
          <w:tcPr>
            <w:tcW w:w="300" w:type="dxa"/>
            <w:vAlign w:val="bottom"/>
          </w:tcPr>
          <w:p>
            <w:pPr>
              <w:spacing w:after="0"/>
              <w:rPr>
                <w:sz w:val="23"/>
                <w:szCs w:val="23"/>
                <w:color w:val="auto"/>
              </w:rPr>
            </w:pPr>
          </w:p>
        </w:tc>
        <w:tc>
          <w:tcPr>
            <w:tcW w:w="1920" w:type="dxa"/>
            <w:vAlign w:val="bottom"/>
            <w:gridSpan w:val="2"/>
            <w:vMerge w:val="restart"/>
          </w:tcPr>
          <w:p>
            <w:pPr>
              <w:jc w:val="center"/>
              <w:ind w:right="300"/>
              <w:spacing w:after="0"/>
              <w:rPr>
                <w:sz w:val="20"/>
                <w:szCs w:val="20"/>
                <w:color w:val="auto"/>
              </w:rPr>
            </w:pPr>
            <w:r>
              <w:rPr>
                <w:rFonts w:ascii="Arial" w:cs="Arial" w:eastAsia="Arial" w:hAnsi="Arial"/>
                <w:sz w:val="22"/>
                <w:szCs w:val="22"/>
                <w:b w:val="1"/>
                <w:bCs w:val="1"/>
                <w:color w:val="7F7F7F"/>
              </w:rPr>
              <w:t>Remaining</w:t>
            </w:r>
          </w:p>
        </w:tc>
        <w:tc>
          <w:tcPr>
            <w:tcW w:w="0" w:type="dxa"/>
            <w:vAlign w:val="bottom"/>
          </w:tcPr>
          <w:p>
            <w:pPr>
              <w:spacing w:after="0"/>
              <w:rPr>
                <w:sz w:val="1"/>
                <w:szCs w:val="1"/>
                <w:color w:val="auto"/>
              </w:rPr>
            </w:pPr>
          </w:p>
        </w:tc>
      </w:tr>
      <w:tr>
        <w:trPr>
          <w:trHeight w:val="109"/>
        </w:trPr>
        <w:tc>
          <w:tcPr>
            <w:tcW w:w="37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7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376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22"/>
                <w:szCs w:val="22"/>
                <w:b w:val="1"/>
                <w:bCs w:val="1"/>
                <w:color w:val="7F7F7F"/>
              </w:rPr>
              <w:t>Interest</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7F7F7F"/>
              </w:rPr>
              <w:t>Maturity</w:t>
            </w:r>
          </w:p>
        </w:tc>
        <w:tc>
          <w:tcPr>
            <w:tcW w:w="1760" w:type="dxa"/>
            <w:vAlign w:val="bottom"/>
          </w:tcPr>
          <w:p>
            <w:pPr>
              <w:jc w:val="center"/>
              <w:spacing w:after="0"/>
              <w:rPr>
                <w:sz w:val="20"/>
                <w:szCs w:val="20"/>
                <w:color w:val="auto"/>
              </w:rPr>
            </w:pPr>
            <w:r>
              <w:rPr>
                <w:rFonts w:ascii="Arial" w:cs="Arial" w:eastAsia="Arial" w:hAnsi="Arial"/>
                <w:sz w:val="22"/>
                <w:szCs w:val="22"/>
                <w:b w:val="1"/>
                <w:bCs w:val="1"/>
                <w:color w:val="7F7F7F"/>
              </w:rPr>
              <w:t>Outstanding</w:t>
            </w:r>
          </w:p>
        </w:tc>
        <w:tc>
          <w:tcPr>
            <w:tcW w:w="300" w:type="dxa"/>
            <w:vAlign w:val="bottom"/>
          </w:tcPr>
          <w:p>
            <w:pPr>
              <w:spacing w:after="0"/>
              <w:rPr>
                <w:sz w:val="22"/>
                <w:szCs w:val="22"/>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7F7F7F"/>
              </w:rPr>
              <w:t>Available</w:t>
            </w:r>
          </w:p>
        </w:tc>
        <w:tc>
          <w:tcPr>
            <w:tcW w:w="0" w:type="dxa"/>
            <w:vAlign w:val="bottom"/>
          </w:tcPr>
          <w:p>
            <w:pPr>
              <w:spacing w:after="0"/>
              <w:rPr>
                <w:sz w:val="1"/>
                <w:szCs w:val="1"/>
                <w:color w:val="auto"/>
              </w:rPr>
            </w:pPr>
          </w:p>
        </w:tc>
      </w:tr>
      <w:tr>
        <w:trPr>
          <w:trHeight w:val="304"/>
        </w:trPr>
        <w:tc>
          <w:tcPr>
            <w:tcW w:w="37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7F7F7F"/>
              </w:rPr>
              <w:t>Rate</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7F7F7F"/>
              </w:rPr>
              <w:t>Date</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7F7F7F"/>
              </w:rPr>
              <w:t>at 12/31/11</w:t>
            </w:r>
          </w:p>
        </w:tc>
        <w:tc>
          <w:tcPr>
            <w:tcW w:w="3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22"/>
                <w:szCs w:val="22"/>
                <w:b w:val="1"/>
                <w:bCs w:val="1"/>
                <w:color w:val="7F7F7F"/>
              </w:rPr>
              <w:t>at 12/31/11</w:t>
            </w:r>
          </w:p>
        </w:tc>
        <w:tc>
          <w:tcPr>
            <w:tcW w:w="0" w:type="dxa"/>
            <w:vAlign w:val="bottom"/>
          </w:tcPr>
          <w:p>
            <w:pPr>
              <w:spacing w:after="0"/>
              <w:rPr>
                <w:sz w:val="1"/>
                <w:szCs w:val="1"/>
                <w:color w:val="auto"/>
              </w:rPr>
            </w:pPr>
          </w:p>
        </w:tc>
      </w:tr>
      <w:tr>
        <w:trPr>
          <w:trHeight w:val="295"/>
        </w:trPr>
        <w:tc>
          <w:tcPr>
            <w:tcW w:w="3760" w:type="dxa"/>
            <w:vAlign w:val="bottom"/>
          </w:tcPr>
          <w:p>
            <w:pPr>
              <w:ind w:left="100"/>
              <w:spacing w:after="0"/>
              <w:rPr>
                <w:sz w:val="20"/>
                <w:szCs w:val="20"/>
                <w:color w:val="auto"/>
              </w:rPr>
            </w:pPr>
            <w:r>
              <w:rPr>
                <w:rFonts w:ascii="Arial" w:cs="Arial" w:eastAsia="Arial" w:hAnsi="Arial"/>
                <w:sz w:val="22"/>
                <w:szCs w:val="22"/>
                <w:b w:val="1"/>
                <w:bCs w:val="1"/>
                <w:color w:val="auto"/>
              </w:rPr>
              <w:t>Euro Notes:</w:t>
            </w: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3760" w:type="dxa"/>
            <w:vAlign w:val="bottom"/>
          </w:tcPr>
          <w:p>
            <w:pPr>
              <w:ind w:left="320"/>
              <w:spacing w:after="0"/>
              <w:rPr>
                <w:sz w:val="20"/>
                <w:szCs w:val="20"/>
                <w:color w:val="auto"/>
              </w:rPr>
            </w:pPr>
            <w:r>
              <w:rPr>
                <w:rFonts w:ascii="Arial" w:cs="Arial" w:eastAsia="Arial" w:hAnsi="Arial"/>
                <w:sz w:val="22"/>
                <w:szCs w:val="22"/>
                <w:b w:val="1"/>
                <w:bCs w:val="1"/>
                <w:color w:val="auto"/>
              </w:rPr>
              <w:t>- Euro 200M</w:t>
            </w:r>
          </w:p>
        </w:tc>
        <w:tc>
          <w:tcPr>
            <w:tcW w:w="1380" w:type="dxa"/>
            <w:vAlign w:val="bottom"/>
          </w:tcPr>
          <w:p>
            <w:pPr>
              <w:jc w:val="center"/>
              <w:spacing w:after="0"/>
              <w:rPr>
                <w:sz w:val="20"/>
                <w:szCs w:val="20"/>
                <w:color w:val="auto"/>
              </w:rPr>
            </w:pPr>
            <w:r>
              <w:rPr>
                <w:rFonts w:ascii="Arial" w:cs="Arial" w:eastAsia="Arial" w:hAnsi="Arial"/>
                <w:sz w:val="22"/>
                <w:szCs w:val="22"/>
                <w:b w:val="1"/>
                <w:bCs w:val="1"/>
                <w:color w:val="auto"/>
              </w:rPr>
              <w:t>4.86%</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99"/>
              </w:rPr>
              <w:t>Jun 2013</w:t>
            </w:r>
          </w:p>
        </w:tc>
        <w:tc>
          <w:tcPr>
            <w:tcW w:w="1760" w:type="dxa"/>
            <w:vAlign w:val="bottom"/>
          </w:tcPr>
          <w:p>
            <w:pPr>
              <w:jc w:val="right"/>
              <w:ind w:right="9"/>
              <w:spacing w:after="0"/>
              <w:rPr>
                <w:sz w:val="20"/>
                <w:szCs w:val="20"/>
                <w:color w:val="auto"/>
              </w:rPr>
            </w:pPr>
            <w:r>
              <w:rPr>
                <w:rFonts w:ascii="Arial" w:cs="Arial" w:eastAsia="Arial" w:hAnsi="Arial"/>
                <w:sz w:val="22"/>
                <w:szCs w:val="22"/>
                <w:b w:val="1"/>
                <w:bCs w:val="1"/>
                <w:color w:val="auto"/>
              </w:rPr>
              <w:t>259</w:t>
            </w:r>
          </w:p>
        </w:tc>
        <w:tc>
          <w:tcPr>
            <w:tcW w:w="1920" w:type="dxa"/>
            <w:vAlign w:val="bottom"/>
            <w:gridSpan w:val="2"/>
          </w:tcPr>
          <w:p>
            <w:pPr>
              <w:jc w:val="right"/>
              <w:ind w:right="9"/>
              <w:spacing w:after="0"/>
              <w:rPr>
                <w:sz w:val="20"/>
                <w:szCs w:val="20"/>
                <w:color w:val="auto"/>
              </w:rPr>
            </w:pPr>
            <w:r>
              <w:rPr>
                <w:rFonts w:ascii="Arial" w:cs="Arial" w:eastAsia="Arial" w:hAnsi="Arial"/>
                <w:sz w:val="22"/>
                <w:szCs w:val="22"/>
                <w:b w:val="1"/>
                <w:bCs w:val="1"/>
                <w:color w:val="auto"/>
              </w:rPr>
              <w:t>-</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3760" w:type="dxa"/>
            <w:vAlign w:val="bottom"/>
          </w:tcPr>
          <w:p>
            <w:pPr>
              <w:ind w:left="320"/>
              <w:spacing w:after="0"/>
              <w:rPr>
                <w:sz w:val="20"/>
                <w:szCs w:val="20"/>
                <w:color w:val="auto"/>
              </w:rPr>
            </w:pPr>
            <w:r>
              <w:rPr>
                <w:rFonts w:ascii="Arial" w:cs="Arial" w:eastAsia="Arial" w:hAnsi="Arial"/>
                <w:sz w:val="22"/>
                <w:szCs w:val="22"/>
                <w:b w:val="1"/>
                <w:bCs w:val="1"/>
                <w:color w:val="auto"/>
              </w:rPr>
              <w:t>- Euro 300M</w:t>
            </w:r>
          </w:p>
        </w:tc>
        <w:tc>
          <w:tcPr>
            <w:tcW w:w="1380" w:type="dxa"/>
            <w:vAlign w:val="bottom"/>
          </w:tcPr>
          <w:p>
            <w:pPr>
              <w:jc w:val="center"/>
              <w:spacing w:after="0"/>
              <w:rPr>
                <w:sz w:val="20"/>
                <w:szCs w:val="20"/>
                <w:color w:val="auto"/>
              </w:rPr>
            </w:pPr>
            <w:r>
              <w:rPr>
                <w:rFonts w:ascii="Arial" w:cs="Arial" w:eastAsia="Arial" w:hAnsi="Arial"/>
                <w:sz w:val="22"/>
                <w:szCs w:val="22"/>
                <w:b w:val="1"/>
                <w:bCs w:val="1"/>
                <w:color w:val="auto"/>
              </w:rPr>
              <w:t>4.58%</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99"/>
              </w:rPr>
              <w:t>Jun 2012</w:t>
            </w:r>
          </w:p>
        </w:tc>
        <w:tc>
          <w:tcPr>
            <w:tcW w:w="1760" w:type="dxa"/>
            <w:vAlign w:val="bottom"/>
          </w:tcPr>
          <w:p>
            <w:pPr>
              <w:jc w:val="right"/>
              <w:ind w:right="9"/>
              <w:spacing w:after="0"/>
              <w:rPr>
                <w:sz w:val="20"/>
                <w:szCs w:val="20"/>
                <w:color w:val="auto"/>
              </w:rPr>
            </w:pPr>
            <w:r>
              <w:rPr>
                <w:rFonts w:ascii="Arial" w:cs="Arial" w:eastAsia="Arial" w:hAnsi="Arial"/>
                <w:sz w:val="22"/>
                <w:szCs w:val="22"/>
                <w:b w:val="1"/>
                <w:bCs w:val="1"/>
                <w:color w:val="auto"/>
              </w:rPr>
              <w:t>389</w:t>
            </w:r>
          </w:p>
        </w:tc>
        <w:tc>
          <w:tcPr>
            <w:tcW w:w="1920" w:type="dxa"/>
            <w:vAlign w:val="bottom"/>
            <w:gridSpan w:val="2"/>
          </w:tcPr>
          <w:p>
            <w:pPr>
              <w:jc w:val="right"/>
              <w:ind w:right="9"/>
              <w:spacing w:after="0"/>
              <w:rPr>
                <w:sz w:val="20"/>
                <w:szCs w:val="20"/>
                <w:color w:val="auto"/>
              </w:rPr>
            </w:pPr>
            <w:r>
              <w:rPr>
                <w:rFonts w:ascii="Arial" w:cs="Arial" w:eastAsia="Arial" w:hAnsi="Arial"/>
                <w:sz w:val="22"/>
                <w:szCs w:val="22"/>
                <w:b w:val="1"/>
                <w:bCs w:val="1"/>
                <w:color w:val="auto"/>
              </w:rPr>
              <w:t>-</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8"/>
        </w:trPr>
        <w:tc>
          <w:tcPr>
            <w:tcW w:w="3760" w:type="dxa"/>
            <w:vAlign w:val="bottom"/>
          </w:tcPr>
          <w:p>
            <w:pPr>
              <w:ind w:left="100"/>
              <w:spacing w:after="0"/>
              <w:rPr>
                <w:sz w:val="20"/>
                <w:szCs w:val="20"/>
                <w:color w:val="auto"/>
              </w:rPr>
            </w:pPr>
            <w:r>
              <w:rPr>
                <w:rFonts w:ascii="Arial" w:cs="Arial" w:eastAsia="Arial" w:hAnsi="Arial"/>
                <w:sz w:val="22"/>
                <w:szCs w:val="22"/>
                <w:b w:val="1"/>
                <w:bCs w:val="1"/>
                <w:color w:val="auto"/>
              </w:rPr>
              <w:t xml:space="preserve">Revolving Credit Agreement </w:t>
            </w:r>
            <w:r>
              <w:rPr>
                <w:rFonts w:ascii="Arial" w:cs="Arial" w:eastAsia="Arial" w:hAnsi="Arial"/>
                <w:sz w:val="28"/>
                <w:szCs w:val="28"/>
                <w:color w:val="auto"/>
                <w:vertAlign w:val="superscript"/>
              </w:rPr>
              <w:t>(1)</w:t>
            </w:r>
          </w:p>
        </w:tc>
        <w:tc>
          <w:tcPr>
            <w:tcW w:w="1380" w:type="dxa"/>
            <w:vAlign w:val="bottom"/>
          </w:tcPr>
          <w:p>
            <w:pPr>
              <w:jc w:val="center"/>
              <w:spacing w:after="0"/>
              <w:rPr>
                <w:sz w:val="20"/>
                <w:szCs w:val="20"/>
                <w:color w:val="auto"/>
              </w:rPr>
            </w:pPr>
            <w:r>
              <w:rPr>
                <w:rFonts w:ascii="Arial" w:cs="Arial" w:eastAsia="Arial" w:hAnsi="Arial"/>
                <w:sz w:val="22"/>
                <w:szCs w:val="22"/>
                <w:b w:val="1"/>
                <w:bCs w:val="1"/>
                <w:color w:val="auto"/>
              </w:rPr>
              <w:t>1.57%</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rPr>
              <w:t>Oct 2016</w:t>
            </w:r>
          </w:p>
        </w:tc>
        <w:tc>
          <w:tcPr>
            <w:tcW w:w="1760" w:type="dxa"/>
            <w:vAlign w:val="bottom"/>
          </w:tcPr>
          <w:p>
            <w:pPr>
              <w:jc w:val="right"/>
              <w:ind w:right="9"/>
              <w:spacing w:after="0"/>
              <w:rPr>
                <w:sz w:val="20"/>
                <w:szCs w:val="20"/>
                <w:color w:val="auto"/>
              </w:rPr>
            </w:pPr>
            <w:r>
              <w:rPr>
                <w:rFonts w:ascii="Arial" w:cs="Arial" w:eastAsia="Arial" w:hAnsi="Arial"/>
                <w:sz w:val="22"/>
                <w:szCs w:val="22"/>
                <w:b w:val="1"/>
                <w:bCs w:val="1"/>
                <w:color w:val="auto"/>
              </w:rPr>
              <w:t>-</w:t>
            </w:r>
          </w:p>
        </w:tc>
        <w:tc>
          <w:tcPr>
            <w:tcW w:w="1920" w:type="dxa"/>
            <w:vAlign w:val="bottom"/>
            <w:gridSpan w:val="2"/>
          </w:tcPr>
          <w:p>
            <w:pPr>
              <w:jc w:val="right"/>
              <w:ind w:right="9"/>
              <w:spacing w:after="0"/>
              <w:rPr>
                <w:sz w:val="20"/>
                <w:szCs w:val="20"/>
                <w:color w:val="auto"/>
              </w:rPr>
            </w:pPr>
            <w:r>
              <w:rPr>
                <w:rFonts w:ascii="Arial" w:cs="Arial" w:eastAsia="Arial" w:hAnsi="Arial"/>
                <w:sz w:val="22"/>
                <w:szCs w:val="22"/>
                <w:b w:val="1"/>
                <w:bCs w:val="1"/>
                <w:color w:val="auto"/>
              </w:rPr>
              <w:t>798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9"/>
        </w:trPr>
        <w:tc>
          <w:tcPr>
            <w:tcW w:w="3760" w:type="dxa"/>
            <w:vAlign w:val="bottom"/>
          </w:tcPr>
          <w:p>
            <w:pPr>
              <w:ind w:left="100"/>
              <w:spacing w:after="0"/>
              <w:rPr>
                <w:sz w:val="20"/>
                <w:szCs w:val="20"/>
                <w:color w:val="auto"/>
              </w:rPr>
            </w:pPr>
            <w:r>
              <w:rPr>
                <w:rFonts w:ascii="Arial" w:cs="Arial" w:eastAsia="Arial" w:hAnsi="Arial"/>
                <w:sz w:val="22"/>
                <w:szCs w:val="22"/>
                <w:b w:val="1"/>
                <w:bCs w:val="1"/>
                <w:color w:val="auto"/>
              </w:rPr>
              <w:t xml:space="preserve">Uncommitted lines and Other </w:t>
            </w:r>
            <w:r>
              <w:rPr>
                <w:rFonts w:ascii="Arial" w:cs="Arial" w:eastAsia="Arial" w:hAnsi="Arial"/>
                <w:sz w:val="28"/>
                <w:szCs w:val="28"/>
                <w:color w:val="auto"/>
                <w:vertAlign w:val="superscript"/>
              </w:rPr>
              <w:t>(2)</w:t>
            </w:r>
          </w:p>
        </w:tc>
        <w:tc>
          <w:tcPr>
            <w:tcW w:w="1380" w:type="dxa"/>
            <w:vAlign w:val="bottom"/>
          </w:tcPr>
          <w:p>
            <w:pPr>
              <w:jc w:val="center"/>
              <w:spacing w:after="0"/>
              <w:rPr>
                <w:sz w:val="20"/>
                <w:szCs w:val="20"/>
                <w:color w:val="auto"/>
              </w:rPr>
            </w:pPr>
            <w:r>
              <w:rPr>
                <w:rFonts w:ascii="Arial" w:cs="Arial" w:eastAsia="Arial" w:hAnsi="Arial"/>
                <w:sz w:val="22"/>
                <w:szCs w:val="22"/>
                <w:b w:val="1"/>
                <w:bCs w:val="1"/>
                <w:color w:val="auto"/>
                <w:w w:val="99"/>
              </w:rPr>
              <w:t>Various</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99"/>
              </w:rPr>
              <w:t>Various</w:t>
            </w:r>
          </w:p>
        </w:tc>
        <w:tc>
          <w:tcPr>
            <w:tcW w:w="1760" w:type="dxa"/>
            <w:vAlign w:val="bottom"/>
          </w:tcPr>
          <w:p>
            <w:pPr>
              <w:jc w:val="right"/>
              <w:ind w:right="9"/>
              <w:spacing w:after="0"/>
              <w:rPr>
                <w:sz w:val="20"/>
                <w:szCs w:val="20"/>
                <w:color w:val="auto"/>
              </w:rPr>
            </w:pPr>
            <w:r>
              <w:rPr>
                <w:rFonts w:ascii="Arial" w:cs="Arial" w:eastAsia="Arial" w:hAnsi="Arial"/>
                <w:sz w:val="22"/>
                <w:szCs w:val="22"/>
                <w:b w:val="1"/>
                <w:bCs w:val="1"/>
                <w:color w:val="auto"/>
              </w:rPr>
              <w:t>52</w:t>
            </w:r>
          </w:p>
        </w:tc>
        <w:tc>
          <w:tcPr>
            <w:tcW w:w="1920" w:type="dxa"/>
            <w:vAlign w:val="bottom"/>
            <w:gridSpan w:val="2"/>
          </w:tcPr>
          <w:p>
            <w:pPr>
              <w:jc w:val="right"/>
              <w:ind w:right="9"/>
              <w:spacing w:after="0"/>
              <w:rPr>
                <w:sz w:val="20"/>
                <w:szCs w:val="20"/>
                <w:color w:val="auto"/>
              </w:rPr>
            </w:pPr>
            <w:r>
              <w:rPr>
                <w:rFonts w:ascii="Arial" w:cs="Arial" w:eastAsia="Arial" w:hAnsi="Arial"/>
                <w:sz w:val="22"/>
                <w:szCs w:val="22"/>
                <w:b w:val="1"/>
                <w:bCs w:val="1"/>
                <w:color w:val="auto"/>
              </w:rPr>
              <w:t>347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760" w:type="dxa"/>
            <w:vAlign w:val="bottom"/>
            <w:vMerge w:val="restart"/>
          </w:tcPr>
          <w:p>
            <w:pPr>
              <w:ind w:left="100"/>
              <w:spacing w:after="0"/>
              <w:rPr>
                <w:sz w:val="20"/>
                <w:szCs w:val="20"/>
                <w:color w:val="auto"/>
              </w:rPr>
            </w:pPr>
            <w:r>
              <w:rPr>
                <w:rFonts w:ascii="Arial" w:cs="Arial" w:eastAsia="Arial" w:hAnsi="Arial"/>
                <w:sz w:val="22"/>
                <w:szCs w:val="22"/>
                <w:b w:val="1"/>
                <w:bCs w:val="1"/>
                <w:color w:val="auto"/>
              </w:rPr>
              <w:t>Total Debt</w:t>
            </w:r>
          </w:p>
        </w:tc>
        <w:tc>
          <w:tcPr>
            <w:tcW w:w="13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300" w:type="dxa"/>
            <w:vAlign w:val="bottom"/>
            <w:vMerge w:val="restart"/>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3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87"/>
        </w:trPr>
        <w:tc>
          <w:tcPr>
            <w:tcW w:w="37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60" w:type="dxa"/>
            <w:vAlign w:val="bottom"/>
          </w:tcPr>
          <w:p>
            <w:pPr>
              <w:jc w:val="right"/>
              <w:ind w:right="9"/>
              <w:spacing w:after="0"/>
              <w:rPr>
                <w:sz w:val="20"/>
                <w:szCs w:val="20"/>
                <w:color w:val="auto"/>
              </w:rPr>
            </w:pPr>
            <w:r>
              <w:rPr>
                <w:rFonts w:ascii="Arial" w:cs="Arial" w:eastAsia="Arial" w:hAnsi="Arial"/>
                <w:sz w:val="22"/>
                <w:szCs w:val="22"/>
                <w:b w:val="1"/>
                <w:bCs w:val="1"/>
                <w:color w:val="auto"/>
              </w:rPr>
              <w:t>700</w:t>
            </w:r>
          </w:p>
        </w:tc>
        <w:tc>
          <w:tcPr>
            <w:tcW w:w="300" w:type="dxa"/>
            <w:vAlign w:val="bottom"/>
            <w:vMerge w:val="continue"/>
          </w:tcPr>
          <w:p>
            <w:pPr>
              <w:spacing w:after="0"/>
              <w:rPr>
                <w:sz w:val="24"/>
                <w:szCs w:val="24"/>
                <w:color w:val="auto"/>
              </w:rPr>
            </w:pPr>
          </w:p>
        </w:tc>
        <w:tc>
          <w:tcPr>
            <w:tcW w:w="1620" w:type="dxa"/>
            <w:vAlign w:val="bottom"/>
          </w:tcPr>
          <w:p>
            <w:pPr>
              <w:jc w:val="right"/>
              <w:ind w:right="9"/>
              <w:spacing w:after="0"/>
              <w:rPr>
                <w:sz w:val="20"/>
                <w:szCs w:val="20"/>
                <w:color w:val="auto"/>
              </w:rPr>
            </w:pPr>
            <w:r>
              <w:rPr>
                <w:rFonts w:ascii="Arial" w:cs="Arial" w:eastAsia="Arial" w:hAnsi="Arial"/>
                <w:sz w:val="22"/>
                <w:szCs w:val="22"/>
                <w:b w:val="1"/>
                <w:bCs w:val="1"/>
                <w:color w:val="auto"/>
              </w:rPr>
              <w:t>1,145</w:t>
            </w:r>
          </w:p>
        </w:tc>
        <w:tc>
          <w:tcPr>
            <w:tcW w:w="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7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left="560" w:right="500" w:hanging="232"/>
        <w:spacing w:after="0" w:line="250" w:lineRule="auto"/>
        <w:tabs>
          <w:tab w:leader="none" w:pos="560" w:val="left"/>
        </w:tabs>
        <w:numPr>
          <w:ilvl w:val="1"/>
          <w:numId w:val="17"/>
        </w:numPr>
        <w:rPr>
          <w:rFonts w:ascii="Arial" w:cs="Arial" w:eastAsia="Arial" w:hAnsi="Arial"/>
          <w:sz w:val="14"/>
          <w:szCs w:val="14"/>
          <w:color w:val="auto"/>
        </w:rPr>
      </w:pPr>
      <w:r>
        <w:rPr>
          <w:rFonts w:ascii="Arial" w:cs="Arial" w:eastAsia="Arial" w:hAnsi="Arial"/>
          <w:sz w:val="14"/>
          <w:szCs w:val="14"/>
          <w:color w:val="auto"/>
        </w:rPr>
        <w:t>We completed a new $800M five year revolving credit agreement on October 5, 2011 with a syndicate of commercial banks .This new agreement replaces the previous $400M agreement. This agreement, which expires in October 2016, allows for borrowings in various currencies and up to $150M may be used for the issuance of stand-by letters of credit. Under this agreement, a debt ratings-based pricing grid determines the credit spread that we add to the applicable interbank borrowing rate on all borrowings as well as the facility and issuance fees. At our current credit ratings, our facility fee is 0.225% and our credit spread for borrowings is 1.275%. This agreement requires that we comply with a Leverage Ratio (Debt-to-EBITDA) of not greater than 3.5 to 1 and a Fixed Charge Coverage Ratio of not less than 1.5 to 1, in addition to other customary restrictive covenants. As defined in the agreement, we had a Debt-to-EBITDA ratio of 0.80 and a fixed charge coverage ratio of 3.13 as of December 31, 2011. As of December 31, there were $1.6M of standby letters of credit issued under the agreement.</w:t>
      </w:r>
    </w:p>
    <w:p>
      <w:pPr>
        <w:spacing w:after="0" w:line="108" w:lineRule="exact"/>
        <w:rPr>
          <w:rFonts w:ascii="Arial" w:cs="Arial" w:eastAsia="Arial" w:hAnsi="Arial"/>
          <w:sz w:val="14"/>
          <w:szCs w:val="14"/>
          <w:color w:val="auto"/>
        </w:rPr>
      </w:pPr>
    </w:p>
    <w:p>
      <w:pPr>
        <w:ind w:left="560" w:right="740" w:hanging="243"/>
        <w:spacing w:after="0" w:line="263" w:lineRule="auto"/>
        <w:tabs>
          <w:tab w:leader="none" w:pos="5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subsidiary uncommitted lines of credit &amp; overdraft facilities, which total $399.2M. Total subsidiary borrowing are limited to $300M due to restrictions in our Revolving Credit Facility, with the exception of Q3 when subsidiary borrowings are limited to $600M.</w:t>
      </w:r>
    </w:p>
    <w:p>
      <w:pPr>
        <w:spacing w:after="0" w:line="158" w:lineRule="exact"/>
        <w:rPr>
          <w:sz w:val="20"/>
          <w:szCs w:val="20"/>
          <w:color w:val="auto"/>
        </w:rPr>
      </w:pPr>
    </w:p>
    <w:p>
      <w:pPr>
        <w:ind w:left="10320"/>
        <w:spacing w:after="0"/>
        <w:rPr>
          <w:sz w:val="20"/>
          <w:szCs w:val="20"/>
          <w:color w:val="auto"/>
        </w:rPr>
      </w:pPr>
      <w:r>
        <w:rPr>
          <w:rFonts w:ascii="Arial" w:cs="Arial" w:eastAsia="Arial" w:hAnsi="Arial"/>
          <w:sz w:val="14"/>
          <w:szCs w:val="14"/>
          <w:color w:val="898989"/>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429895</wp:posOffset>
            </wp:positionV>
            <wp:extent cx="726821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620"/>
          </w:cols>
          <w:pgMar w:left="620" w:top="449" w:right="659" w:bottom="1440" w:gutter="0" w:footer="0" w:header="0"/>
          <w:type w:val="continuous"/>
        </w:sectPr>
      </w:pPr>
    </w:p>
    <w:bookmarkStart w:id="30" w:name="page31"/>
    <w:bookmarkEnd w:id="30"/>
    <w:p>
      <w:pPr>
        <w:ind w:right="3260"/>
        <w:spacing w:after="0" w:line="264" w:lineRule="auto"/>
        <w:rPr>
          <w:sz w:val="20"/>
          <w:szCs w:val="20"/>
          <w:color w:val="auto"/>
        </w:rPr>
      </w:pPr>
      <w:r>
        <w:rPr>
          <w:rFonts w:ascii="Arial" w:cs="Arial" w:eastAsia="Arial" w:hAnsi="Arial"/>
          <w:sz w:val="25"/>
          <w:szCs w:val="25"/>
          <w:b w:val="1"/>
          <w:bCs w:val="1"/>
          <w:color w:val="FFFFFF"/>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2011 4</w:t>
      </w:r>
      <w:r>
        <w:rPr>
          <w:rFonts w:ascii="Arial" w:cs="Arial" w:eastAsia="Arial" w:hAnsi="Arial"/>
          <w:sz w:val="17"/>
          <w:szCs w:val="17"/>
          <w:b w:val="1"/>
          <w:bCs w:val="1"/>
          <w:color w:val="FFFFFF"/>
        </w:rPr>
        <w:t>th</w:t>
      </w:r>
      <w:r>
        <w:rPr>
          <w:rFonts w:ascii="Arial" w:cs="Arial" w:eastAsia="Arial" w:hAnsi="Arial"/>
          <w:sz w:val="25"/>
          <w:szCs w:val="25"/>
          <w:b w:val="1"/>
          <w:bCs w:val="1"/>
          <w:color w:val="FFFFFF"/>
        </w:rPr>
        <w:t xml:space="preserve"> Quarter Results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February</w:t>
      </w:r>
    </w:p>
    <w:p>
      <w:pPr>
        <w:spacing w:after="0" w:line="345" w:lineRule="exact"/>
        <w:rPr>
          <w:sz w:val="20"/>
          <w:szCs w:val="20"/>
          <w:color w:val="auto"/>
        </w:rPr>
      </w:pPr>
    </w:p>
    <w:p>
      <w:pPr>
        <w:sectPr>
          <w:pgSz w:w="11900" w:h="16838" w:orient="portrait"/>
          <w:cols w:equalWidth="0" w:num="2">
            <w:col w:w="8340" w:space="720"/>
            <w:col w:w="1600"/>
          </w:cols>
          <w:pgMar w:left="680" w:top="449" w:right="559" w:bottom="1440" w:gutter="0" w:footer="0" w:header="0"/>
        </w:sectPr>
      </w:pPr>
    </w:p>
    <w:p>
      <w:pPr>
        <w:ind w:left="40"/>
        <w:spacing w:after="0" w:line="221" w:lineRule="auto"/>
        <w:rPr>
          <w:sz w:val="20"/>
          <w:szCs w:val="20"/>
          <w:color w:val="auto"/>
        </w:rPr>
      </w:pPr>
      <w:r>
        <w:rPr>
          <w:rFonts w:ascii="Arial" w:cs="Arial" w:eastAsia="Arial" w:hAnsi="Arial"/>
          <w:sz w:val="51"/>
          <w:szCs w:val="51"/>
          <w:color w:val="5F81AA"/>
        </w:rPr>
        <w:t>First Quarter Outlook</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486"/>
        </w:trPr>
        <w:tc>
          <w:tcPr>
            <w:tcW w:w="1860" w:type="dxa"/>
            <w:vAlign w:val="bottom"/>
            <w:tcBorders>
              <w:top w:val="single" w:sz="8" w:color="auto"/>
            </w:tcBorders>
          </w:tcPr>
          <w:p>
            <w:pPr>
              <w:ind w:left="100"/>
              <w:spacing w:after="0"/>
              <w:rPr>
                <w:sz w:val="20"/>
                <w:szCs w:val="20"/>
                <w:color w:val="auto"/>
              </w:rPr>
            </w:pPr>
            <w:r>
              <w:rPr>
                <w:rFonts w:ascii="Arial" w:cs="Arial" w:eastAsia="Arial" w:hAnsi="Arial"/>
                <w:sz w:val="32"/>
                <w:szCs w:val="32"/>
                <w:b w:val="1"/>
                <w:bCs w:val="1"/>
                <w:color w:val="5F81AA"/>
              </w:rPr>
              <w:t>Revenue</w:t>
            </w:r>
          </w:p>
        </w:tc>
        <w:tc>
          <w:tcPr>
            <w:tcW w:w="29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Total</w:t>
            </w:r>
          </w:p>
        </w:tc>
        <w:tc>
          <w:tcPr>
            <w:tcW w:w="5820" w:type="dxa"/>
            <w:vAlign w:val="bottom"/>
            <w:tcBorders>
              <w:top w:val="single" w:sz="8" w:color="auto"/>
            </w:tcBorders>
          </w:tcPr>
          <w:p>
            <w:pPr>
              <w:ind w:left="220"/>
              <w:spacing w:after="0"/>
              <w:rPr>
                <w:sz w:val="20"/>
                <w:szCs w:val="20"/>
                <w:color w:val="auto"/>
              </w:rPr>
            </w:pPr>
            <w:r>
              <w:rPr>
                <w:rFonts w:ascii="Arial" w:cs="Arial" w:eastAsia="Arial" w:hAnsi="Arial"/>
                <w:sz w:val="29"/>
                <w:szCs w:val="29"/>
                <w:color w:val="auto"/>
              </w:rPr>
              <w:t>Down 1-3% (Up 0-2% CC)</w:t>
            </w:r>
          </w:p>
        </w:tc>
      </w:tr>
      <w:tr>
        <w:trPr>
          <w:trHeight w:val="72"/>
        </w:trPr>
        <w:tc>
          <w:tcPr>
            <w:tcW w:w="1860" w:type="dxa"/>
            <w:vAlign w:val="bottom"/>
          </w:tcPr>
          <w:p>
            <w:pPr>
              <w:spacing w:after="0"/>
              <w:rPr>
                <w:sz w:val="6"/>
                <w:szCs w:val="6"/>
                <w:color w:val="auto"/>
              </w:rPr>
            </w:pPr>
          </w:p>
        </w:tc>
        <w:tc>
          <w:tcPr>
            <w:tcW w:w="296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tcBorders>
          </w:tcPr>
          <w:p>
            <w:pPr>
              <w:spacing w:after="0"/>
              <w:rPr>
                <w:sz w:val="6"/>
                <w:szCs w:val="6"/>
                <w:color w:val="auto"/>
              </w:rPr>
            </w:pPr>
          </w:p>
        </w:tc>
      </w:tr>
      <w:tr>
        <w:trPr>
          <w:trHeight w:val="458"/>
        </w:trPr>
        <w:tc>
          <w:tcPr>
            <w:tcW w:w="1860" w:type="dxa"/>
            <w:vAlign w:val="bottom"/>
          </w:tcPr>
          <w:p>
            <w:pPr>
              <w:spacing w:after="0"/>
              <w:rPr>
                <w:sz w:val="24"/>
                <w:szCs w:val="24"/>
                <w:color w:val="auto"/>
              </w:rPr>
            </w:pPr>
          </w:p>
        </w:tc>
        <w:tc>
          <w:tcPr>
            <w:tcW w:w="2960" w:type="dxa"/>
            <w:vAlign w:val="bottom"/>
            <w:tcBorders>
              <w:right w:val="single" w:sz="8" w:color="auto"/>
            </w:tcBorders>
          </w:tcPr>
          <w:p>
            <w:pPr>
              <w:jc w:val="right"/>
              <w:spacing w:after="0"/>
              <w:rPr>
                <w:sz w:val="20"/>
                <w:szCs w:val="20"/>
                <w:color w:val="auto"/>
              </w:rPr>
            </w:pPr>
            <w:r>
              <w:rPr>
                <w:rFonts w:ascii="Arial" w:cs="Arial" w:eastAsia="Arial" w:hAnsi="Arial"/>
                <w:sz w:val="29"/>
                <w:szCs w:val="29"/>
                <w:b w:val="1"/>
                <w:bCs w:val="1"/>
                <w:color w:val="auto"/>
              </w:rPr>
              <w:t>Americas</w:t>
            </w:r>
          </w:p>
        </w:tc>
        <w:tc>
          <w:tcPr>
            <w:tcW w:w="5820" w:type="dxa"/>
            <w:vAlign w:val="bottom"/>
          </w:tcPr>
          <w:p>
            <w:pPr>
              <w:ind w:left="220"/>
              <w:spacing w:after="0"/>
              <w:rPr>
                <w:sz w:val="20"/>
                <w:szCs w:val="20"/>
                <w:color w:val="auto"/>
              </w:rPr>
            </w:pPr>
            <w:r>
              <w:rPr>
                <w:rFonts w:ascii="Arial" w:cs="Arial" w:eastAsia="Arial" w:hAnsi="Arial"/>
                <w:sz w:val="29"/>
                <w:szCs w:val="29"/>
                <w:color w:val="auto"/>
              </w:rPr>
              <w:t>Down 1-3% (Up 0-2% CC)</w:t>
            </w:r>
          </w:p>
        </w:tc>
      </w:tr>
      <w:tr>
        <w:trPr>
          <w:trHeight w:val="92"/>
        </w:trPr>
        <w:tc>
          <w:tcPr>
            <w:tcW w:w="1860" w:type="dxa"/>
            <w:vAlign w:val="bottom"/>
          </w:tcPr>
          <w:p>
            <w:pPr>
              <w:spacing w:after="0"/>
              <w:rPr>
                <w:sz w:val="8"/>
                <w:szCs w:val="8"/>
                <w:color w:val="auto"/>
              </w:rPr>
            </w:pPr>
          </w:p>
        </w:tc>
        <w:tc>
          <w:tcPr>
            <w:tcW w:w="2960" w:type="dxa"/>
            <w:vAlign w:val="bottom"/>
            <w:tcBorders>
              <w:bottom w:val="single" w:sz="8" w:color="auto"/>
              <w:right w:val="single" w:sz="8" w:color="auto"/>
            </w:tcBorders>
          </w:tcPr>
          <w:p>
            <w:pPr>
              <w:spacing w:after="0"/>
              <w:rPr>
                <w:sz w:val="8"/>
                <w:szCs w:val="8"/>
                <w:color w:val="auto"/>
              </w:rPr>
            </w:pPr>
          </w:p>
        </w:tc>
        <w:tc>
          <w:tcPr>
            <w:tcW w:w="5820" w:type="dxa"/>
            <w:vAlign w:val="bottom"/>
            <w:tcBorders>
              <w:bottom w:val="single" w:sz="8" w:color="auto"/>
            </w:tcBorders>
          </w:tcPr>
          <w:p>
            <w:pPr>
              <w:spacing w:after="0"/>
              <w:rPr>
                <w:sz w:val="8"/>
                <w:szCs w:val="8"/>
                <w:color w:val="auto"/>
              </w:rPr>
            </w:pPr>
          </w:p>
        </w:tc>
      </w:tr>
      <w:tr>
        <w:trPr>
          <w:trHeight w:val="458"/>
        </w:trPr>
        <w:tc>
          <w:tcPr>
            <w:tcW w:w="1860" w:type="dxa"/>
            <w:vAlign w:val="bottom"/>
          </w:tcPr>
          <w:p>
            <w:pPr>
              <w:spacing w:after="0"/>
              <w:rPr>
                <w:sz w:val="24"/>
                <w:szCs w:val="24"/>
                <w:color w:val="auto"/>
              </w:rPr>
            </w:pPr>
          </w:p>
        </w:tc>
        <w:tc>
          <w:tcPr>
            <w:tcW w:w="2960" w:type="dxa"/>
            <w:vAlign w:val="bottom"/>
            <w:tcBorders>
              <w:right w:val="single" w:sz="8" w:color="auto"/>
            </w:tcBorders>
          </w:tcPr>
          <w:p>
            <w:pPr>
              <w:jc w:val="right"/>
              <w:spacing w:after="0"/>
              <w:rPr>
                <w:sz w:val="20"/>
                <w:szCs w:val="20"/>
                <w:color w:val="auto"/>
              </w:rPr>
            </w:pPr>
            <w:r>
              <w:rPr>
                <w:rFonts w:ascii="Arial" w:cs="Arial" w:eastAsia="Arial" w:hAnsi="Arial"/>
                <w:sz w:val="29"/>
                <w:szCs w:val="29"/>
                <w:b w:val="1"/>
                <w:bCs w:val="1"/>
                <w:color w:val="auto"/>
              </w:rPr>
              <w:t>Southern Europe</w:t>
            </w:r>
          </w:p>
        </w:tc>
        <w:tc>
          <w:tcPr>
            <w:tcW w:w="5820" w:type="dxa"/>
            <w:vAlign w:val="bottom"/>
          </w:tcPr>
          <w:p>
            <w:pPr>
              <w:ind w:left="220"/>
              <w:spacing w:after="0"/>
              <w:rPr>
                <w:sz w:val="20"/>
                <w:szCs w:val="20"/>
                <w:color w:val="auto"/>
              </w:rPr>
            </w:pPr>
            <w:r>
              <w:rPr>
                <w:rFonts w:ascii="Arial" w:cs="Arial" w:eastAsia="Arial" w:hAnsi="Arial"/>
                <w:sz w:val="29"/>
                <w:szCs w:val="29"/>
                <w:color w:val="auto"/>
              </w:rPr>
              <w:t>Down 5-7% (Down 0-2% CC)</w:t>
            </w:r>
          </w:p>
        </w:tc>
      </w:tr>
      <w:tr>
        <w:trPr>
          <w:trHeight w:val="92"/>
        </w:trPr>
        <w:tc>
          <w:tcPr>
            <w:tcW w:w="1860" w:type="dxa"/>
            <w:vAlign w:val="bottom"/>
          </w:tcPr>
          <w:p>
            <w:pPr>
              <w:spacing w:after="0"/>
              <w:rPr>
                <w:sz w:val="8"/>
                <w:szCs w:val="8"/>
                <w:color w:val="auto"/>
              </w:rPr>
            </w:pPr>
          </w:p>
        </w:tc>
        <w:tc>
          <w:tcPr>
            <w:tcW w:w="2960" w:type="dxa"/>
            <w:vAlign w:val="bottom"/>
            <w:tcBorders>
              <w:bottom w:val="single" w:sz="8" w:color="auto"/>
              <w:right w:val="single" w:sz="8" w:color="auto"/>
            </w:tcBorders>
          </w:tcPr>
          <w:p>
            <w:pPr>
              <w:spacing w:after="0"/>
              <w:rPr>
                <w:sz w:val="8"/>
                <w:szCs w:val="8"/>
                <w:color w:val="auto"/>
              </w:rPr>
            </w:pPr>
          </w:p>
        </w:tc>
        <w:tc>
          <w:tcPr>
            <w:tcW w:w="5820" w:type="dxa"/>
            <w:vAlign w:val="bottom"/>
            <w:tcBorders>
              <w:bottom w:val="single" w:sz="8" w:color="auto"/>
            </w:tcBorders>
          </w:tcPr>
          <w:p>
            <w:pPr>
              <w:spacing w:after="0"/>
              <w:rPr>
                <w:sz w:val="8"/>
                <w:szCs w:val="8"/>
                <w:color w:val="auto"/>
              </w:rPr>
            </w:pPr>
          </w:p>
        </w:tc>
      </w:tr>
      <w:tr>
        <w:trPr>
          <w:trHeight w:val="458"/>
        </w:trPr>
        <w:tc>
          <w:tcPr>
            <w:tcW w:w="1860" w:type="dxa"/>
            <w:vAlign w:val="bottom"/>
          </w:tcPr>
          <w:p>
            <w:pPr>
              <w:spacing w:after="0"/>
              <w:rPr>
                <w:sz w:val="24"/>
                <w:szCs w:val="24"/>
                <w:color w:val="auto"/>
              </w:rPr>
            </w:pPr>
          </w:p>
        </w:tc>
        <w:tc>
          <w:tcPr>
            <w:tcW w:w="2960" w:type="dxa"/>
            <w:vAlign w:val="bottom"/>
            <w:tcBorders>
              <w:right w:val="single" w:sz="8" w:color="auto"/>
            </w:tcBorders>
          </w:tcPr>
          <w:p>
            <w:pPr>
              <w:jc w:val="right"/>
              <w:spacing w:after="0"/>
              <w:rPr>
                <w:sz w:val="20"/>
                <w:szCs w:val="20"/>
                <w:color w:val="auto"/>
              </w:rPr>
            </w:pPr>
            <w:r>
              <w:rPr>
                <w:rFonts w:ascii="Arial" w:cs="Arial" w:eastAsia="Arial" w:hAnsi="Arial"/>
                <w:sz w:val="29"/>
                <w:szCs w:val="29"/>
                <w:b w:val="1"/>
                <w:bCs w:val="1"/>
                <w:color w:val="auto"/>
              </w:rPr>
              <w:t>Northern Europe</w:t>
            </w:r>
          </w:p>
        </w:tc>
        <w:tc>
          <w:tcPr>
            <w:tcW w:w="5820" w:type="dxa"/>
            <w:vAlign w:val="bottom"/>
          </w:tcPr>
          <w:p>
            <w:pPr>
              <w:ind w:left="220"/>
              <w:spacing w:after="0"/>
              <w:rPr>
                <w:sz w:val="20"/>
                <w:szCs w:val="20"/>
                <w:color w:val="auto"/>
              </w:rPr>
            </w:pPr>
            <w:r>
              <w:rPr>
                <w:rFonts w:ascii="Arial" w:cs="Arial" w:eastAsia="Arial" w:hAnsi="Arial"/>
                <w:sz w:val="29"/>
                <w:szCs w:val="29"/>
                <w:color w:val="auto"/>
              </w:rPr>
              <w:t>Down 2-4% (Up 0-2% CC)</w:t>
            </w:r>
          </w:p>
        </w:tc>
      </w:tr>
      <w:tr>
        <w:trPr>
          <w:trHeight w:val="92"/>
        </w:trPr>
        <w:tc>
          <w:tcPr>
            <w:tcW w:w="1860" w:type="dxa"/>
            <w:vAlign w:val="bottom"/>
          </w:tcPr>
          <w:p>
            <w:pPr>
              <w:spacing w:after="0"/>
              <w:rPr>
                <w:sz w:val="8"/>
                <w:szCs w:val="8"/>
                <w:color w:val="auto"/>
              </w:rPr>
            </w:pPr>
          </w:p>
        </w:tc>
        <w:tc>
          <w:tcPr>
            <w:tcW w:w="2960" w:type="dxa"/>
            <w:vAlign w:val="bottom"/>
            <w:tcBorders>
              <w:bottom w:val="single" w:sz="8" w:color="auto"/>
              <w:right w:val="single" w:sz="8" w:color="auto"/>
            </w:tcBorders>
          </w:tcPr>
          <w:p>
            <w:pPr>
              <w:spacing w:after="0"/>
              <w:rPr>
                <w:sz w:val="8"/>
                <w:szCs w:val="8"/>
                <w:color w:val="auto"/>
              </w:rPr>
            </w:pPr>
          </w:p>
        </w:tc>
        <w:tc>
          <w:tcPr>
            <w:tcW w:w="5820" w:type="dxa"/>
            <w:vAlign w:val="bottom"/>
            <w:tcBorders>
              <w:bottom w:val="single" w:sz="8" w:color="auto"/>
            </w:tcBorders>
          </w:tcPr>
          <w:p>
            <w:pPr>
              <w:spacing w:after="0"/>
              <w:rPr>
                <w:sz w:val="8"/>
                <w:szCs w:val="8"/>
                <w:color w:val="auto"/>
              </w:rPr>
            </w:pPr>
          </w:p>
        </w:tc>
      </w:tr>
      <w:tr>
        <w:trPr>
          <w:trHeight w:val="458"/>
        </w:trPr>
        <w:tc>
          <w:tcPr>
            <w:tcW w:w="1860" w:type="dxa"/>
            <w:vAlign w:val="bottom"/>
          </w:tcPr>
          <w:p>
            <w:pPr>
              <w:spacing w:after="0"/>
              <w:rPr>
                <w:sz w:val="24"/>
                <w:szCs w:val="24"/>
                <w:color w:val="auto"/>
              </w:rPr>
            </w:pPr>
          </w:p>
        </w:tc>
        <w:tc>
          <w:tcPr>
            <w:tcW w:w="2960" w:type="dxa"/>
            <w:vAlign w:val="bottom"/>
            <w:tcBorders>
              <w:right w:val="single" w:sz="8" w:color="auto"/>
            </w:tcBorders>
          </w:tcPr>
          <w:p>
            <w:pPr>
              <w:jc w:val="right"/>
              <w:spacing w:after="0"/>
              <w:rPr>
                <w:sz w:val="20"/>
                <w:szCs w:val="20"/>
                <w:color w:val="auto"/>
              </w:rPr>
            </w:pPr>
            <w:r>
              <w:rPr>
                <w:rFonts w:ascii="Arial" w:cs="Arial" w:eastAsia="Arial" w:hAnsi="Arial"/>
                <w:sz w:val="29"/>
                <w:szCs w:val="29"/>
                <w:b w:val="1"/>
                <w:bCs w:val="1"/>
                <w:color w:val="auto"/>
              </w:rPr>
              <w:t>APME</w:t>
            </w:r>
          </w:p>
        </w:tc>
        <w:tc>
          <w:tcPr>
            <w:tcW w:w="5820" w:type="dxa"/>
            <w:vAlign w:val="bottom"/>
          </w:tcPr>
          <w:p>
            <w:pPr>
              <w:ind w:left="220"/>
              <w:spacing w:after="0"/>
              <w:rPr>
                <w:sz w:val="20"/>
                <w:szCs w:val="20"/>
                <w:color w:val="auto"/>
              </w:rPr>
            </w:pPr>
            <w:r>
              <w:rPr>
                <w:rFonts w:ascii="Arial" w:cs="Arial" w:eastAsia="Arial" w:hAnsi="Arial"/>
                <w:sz w:val="29"/>
                <w:szCs w:val="29"/>
                <w:color w:val="auto"/>
              </w:rPr>
              <w:t>Up 11-13% (Up 7-9% CC)</w:t>
            </w:r>
          </w:p>
        </w:tc>
      </w:tr>
      <w:tr>
        <w:trPr>
          <w:trHeight w:val="92"/>
        </w:trPr>
        <w:tc>
          <w:tcPr>
            <w:tcW w:w="1860" w:type="dxa"/>
            <w:vAlign w:val="bottom"/>
          </w:tcPr>
          <w:p>
            <w:pPr>
              <w:spacing w:after="0"/>
              <w:rPr>
                <w:sz w:val="8"/>
                <w:szCs w:val="8"/>
                <w:color w:val="auto"/>
              </w:rPr>
            </w:pPr>
          </w:p>
        </w:tc>
        <w:tc>
          <w:tcPr>
            <w:tcW w:w="2960" w:type="dxa"/>
            <w:vAlign w:val="bottom"/>
            <w:tcBorders>
              <w:bottom w:val="single" w:sz="8" w:color="auto"/>
              <w:right w:val="single" w:sz="8" w:color="auto"/>
            </w:tcBorders>
          </w:tcPr>
          <w:p>
            <w:pPr>
              <w:spacing w:after="0"/>
              <w:rPr>
                <w:sz w:val="8"/>
                <w:szCs w:val="8"/>
                <w:color w:val="auto"/>
              </w:rPr>
            </w:pPr>
          </w:p>
        </w:tc>
        <w:tc>
          <w:tcPr>
            <w:tcW w:w="5820" w:type="dxa"/>
            <w:vAlign w:val="bottom"/>
            <w:tcBorders>
              <w:bottom w:val="single" w:sz="8" w:color="auto"/>
            </w:tcBorders>
          </w:tcPr>
          <w:p>
            <w:pPr>
              <w:spacing w:after="0"/>
              <w:rPr>
                <w:sz w:val="8"/>
                <w:szCs w:val="8"/>
                <w:color w:val="auto"/>
              </w:rPr>
            </w:pPr>
          </w:p>
        </w:tc>
      </w:tr>
      <w:tr>
        <w:trPr>
          <w:trHeight w:val="446"/>
        </w:trPr>
        <w:tc>
          <w:tcPr>
            <w:tcW w:w="1860" w:type="dxa"/>
            <w:vAlign w:val="bottom"/>
          </w:tcPr>
          <w:p>
            <w:pPr>
              <w:spacing w:after="0"/>
              <w:rPr>
                <w:sz w:val="24"/>
                <w:szCs w:val="24"/>
                <w:color w:val="auto"/>
              </w:rPr>
            </w:pPr>
          </w:p>
        </w:tc>
        <w:tc>
          <w:tcPr>
            <w:tcW w:w="2960" w:type="dxa"/>
            <w:vAlign w:val="bottom"/>
            <w:tcBorders>
              <w:right w:val="single" w:sz="8" w:color="auto"/>
            </w:tcBorders>
          </w:tcPr>
          <w:p>
            <w:pPr>
              <w:jc w:val="right"/>
              <w:spacing w:after="0"/>
              <w:rPr>
                <w:sz w:val="20"/>
                <w:szCs w:val="20"/>
                <w:color w:val="auto"/>
              </w:rPr>
            </w:pPr>
            <w:r>
              <w:rPr>
                <w:rFonts w:ascii="Arial" w:cs="Arial" w:eastAsia="Arial" w:hAnsi="Arial"/>
                <w:sz w:val="29"/>
                <w:szCs w:val="29"/>
                <w:b w:val="1"/>
                <w:bCs w:val="1"/>
                <w:color w:val="auto"/>
              </w:rPr>
              <w:t>Right Management</w:t>
            </w:r>
          </w:p>
        </w:tc>
        <w:tc>
          <w:tcPr>
            <w:tcW w:w="5820" w:type="dxa"/>
            <w:vAlign w:val="bottom"/>
          </w:tcPr>
          <w:p>
            <w:pPr>
              <w:ind w:left="220"/>
              <w:spacing w:after="0"/>
              <w:rPr>
                <w:sz w:val="20"/>
                <w:szCs w:val="20"/>
                <w:color w:val="auto"/>
              </w:rPr>
            </w:pPr>
            <w:r>
              <w:rPr>
                <w:rFonts w:ascii="Arial" w:cs="Arial" w:eastAsia="Arial" w:hAnsi="Arial"/>
                <w:sz w:val="29"/>
                <w:szCs w:val="29"/>
                <w:color w:val="auto"/>
              </w:rPr>
              <w:t>Down 9-11% (Down 7-9% CC)</w:t>
            </w:r>
          </w:p>
        </w:tc>
      </w:tr>
      <w:tr>
        <w:trPr>
          <w:trHeight w:val="96"/>
        </w:trPr>
        <w:tc>
          <w:tcPr>
            <w:tcW w:w="4820" w:type="dxa"/>
            <w:vAlign w:val="bottom"/>
            <w:tcBorders>
              <w:bottom w:val="single" w:sz="8" w:color="auto"/>
              <w:right w:val="single" w:sz="8" w:color="auto"/>
            </w:tcBorders>
            <w:gridSpan w:val="2"/>
          </w:tcPr>
          <w:p>
            <w:pPr>
              <w:spacing w:after="0"/>
              <w:rPr>
                <w:sz w:val="8"/>
                <w:szCs w:val="8"/>
                <w:color w:val="auto"/>
              </w:rPr>
            </w:pPr>
          </w:p>
        </w:tc>
        <w:tc>
          <w:tcPr>
            <w:tcW w:w="5820" w:type="dxa"/>
            <w:vAlign w:val="bottom"/>
            <w:tcBorders>
              <w:bottom w:val="single" w:sz="8" w:color="auto"/>
            </w:tcBorders>
          </w:tcPr>
          <w:p>
            <w:pPr>
              <w:spacing w:after="0"/>
              <w:rPr>
                <w:sz w:val="8"/>
                <w:szCs w:val="8"/>
                <w:color w:val="auto"/>
              </w:rPr>
            </w:pPr>
          </w:p>
        </w:tc>
      </w:tr>
      <w:tr>
        <w:trPr>
          <w:trHeight w:val="463"/>
        </w:trPr>
        <w:tc>
          <w:tcPr>
            <w:tcW w:w="4820" w:type="dxa"/>
            <w:vAlign w:val="bottom"/>
            <w:tcBorders>
              <w:right w:val="single" w:sz="8" w:color="auto"/>
            </w:tcBorders>
            <w:gridSpan w:val="2"/>
          </w:tcPr>
          <w:p>
            <w:pPr>
              <w:ind w:left="100"/>
              <w:spacing w:after="0"/>
              <w:rPr>
                <w:sz w:val="20"/>
                <w:szCs w:val="20"/>
                <w:color w:val="auto"/>
              </w:rPr>
            </w:pPr>
            <w:r>
              <w:rPr>
                <w:rFonts w:ascii="Arial" w:cs="Arial" w:eastAsia="Arial" w:hAnsi="Arial"/>
                <w:sz w:val="32"/>
                <w:szCs w:val="32"/>
                <w:b w:val="1"/>
                <w:bCs w:val="1"/>
                <w:color w:val="5F81AA"/>
              </w:rPr>
              <w:t>Gross Profit Margin</w:t>
            </w:r>
          </w:p>
        </w:tc>
        <w:tc>
          <w:tcPr>
            <w:tcW w:w="5820" w:type="dxa"/>
            <w:vAlign w:val="bottom"/>
          </w:tcPr>
          <w:p>
            <w:pPr>
              <w:ind w:left="220"/>
              <w:spacing w:after="0"/>
              <w:rPr>
                <w:sz w:val="20"/>
                <w:szCs w:val="20"/>
                <w:color w:val="auto"/>
              </w:rPr>
            </w:pPr>
            <w:r>
              <w:rPr>
                <w:rFonts w:ascii="Arial" w:cs="Arial" w:eastAsia="Arial" w:hAnsi="Arial"/>
                <w:sz w:val="29"/>
                <w:szCs w:val="29"/>
                <w:color w:val="auto"/>
              </w:rPr>
              <w:t>16.6 - 16.8%</w:t>
            </w:r>
          </w:p>
        </w:tc>
      </w:tr>
      <w:tr>
        <w:trPr>
          <w:trHeight w:val="88"/>
        </w:trPr>
        <w:tc>
          <w:tcPr>
            <w:tcW w:w="4820" w:type="dxa"/>
            <w:vAlign w:val="bottom"/>
            <w:tcBorders>
              <w:bottom w:val="single" w:sz="8" w:color="auto"/>
              <w:right w:val="single" w:sz="8" w:color="auto"/>
            </w:tcBorders>
            <w:gridSpan w:val="2"/>
          </w:tcPr>
          <w:p>
            <w:pPr>
              <w:spacing w:after="0"/>
              <w:rPr>
                <w:sz w:val="7"/>
                <w:szCs w:val="7"/>
                <w:color w:val="auto"/>
              </w:rPr>
            </w:pPr>
          </w:p>
        </w:tc>
        <w:tc>
          <w:tcPr>
            <w:tcW w:w="5820" w:type="dxa"/>
            <w:vAlign w:val="bottom"/>
            <w:tcBorders>
              <w:bottom w:val="single" w:sz="8" w:color="auto"/>
            </w:tcBorders>
          </w:tcPr>
          <w:p>
            <w:pPr>
              <w:spacing w:after="0"/>
              <w:rPr>
                <w:sz w:val="7"/>
                <w:szCs w:val="7"/>
                <w:color w:val="auto"/>
              </w:rPr>
            </w:pPr>
          </w:p>
        </w:tc>
      </w:tr>
      <w:tr>
        <w:trPr>
          <w:trHeight w:val="463"/>
        </w:trPr>
        <w:tc>
          <w:tcPr>
            <w:tcW w:w="4820" w:type="dxa"/>
            <w:vAlign w:val="bottom"/>
            <w:tcBorders>
              <w:right w:val="single" w:sz="8" w:color="auto"/>
            </w:tcBorders>
            <w:gridSpan w:val="2"/>
          </w:tcPr>
          <w:p>
            <w:pPr>
              <w:ind w:left="100"/>
              <w:spacing w:after="0"/>
              <w:rPr>
                <w:sz w:val="20"/>
                <w:szCs w:val="20"/>
                <w:color w:val="auto"/>
              </w:rPr>
            </w:pPr>
            <w:r>
              <w:rPr>
                <w:rFonts w:ascii="Arial" w:cs="Arial" w:eastAsia="Arial" w:hAnsi="Arial"/>
                <w:sz w:val="32"/>
                <w:szCs w:val="32"/>
                <w:b w:val="1"/>
                <w:bCs w:val="1"/>
                <w:color w:val="5F81AA"/>
              </w:rPr>
              <w:t>Operating Profit Margin</w:t>
            </w:r>
          </w:p>
        </w:tc>
        <w:tc>
          <w:tcPr>
            <w:tcW w:w="5820" w:type="dxa"/>
            <w:vAlign w:val="bottom"/>
          </w:tcPr>
          <w:p>
            <w:pPr>
              <w:ind w:left="220"/>
              <w:spacing w:after="0"/>
              <w:rPr>
                <w:sz w:val="20"/>
                <w:szCs w:val="20"/>
                <w:color w:val="auto"/>
              </w:rPr>
            </w:pPr>
            <w:r>
              <w:rPr>
                <w:rFonts w:ascii="Arial" w:cs="Arial" w:eastAsia="Arial" w:hAnsi="Arial"/>
                <w:sz w:val="29"/>
                <w:szCs w:val="29"/>
                <w:color w:val="auto"/>
              </w:rPr>
              <w:t>1.4 - 1.6%</w:t>
            </w:r>
          </w:p>
        </w:tc>
      </w:tr>
      <w:tr>
        <w:trPr>
          <w:trHeight w:val="88"/>
        </w:trPr>
        <w:tc>
          <w:tcPr>
            <w:tcW w:w="1860" w:type="dxa"/>
            <w:vAlign w:val="bottom"/>
            <w:tcBorders>
              <w:bottom w:val="single" w:sz="8" w:color="auto"/>
            </w:tcBorders>
          </w:tcPr>
          <w:p>
            <w:pPr>
              <w:spacing w:after="0"/>
              <w:rPr>
                <w:sz w:val="7"/>
                <w:szCs w:val="7"/>
                <w:color w:val="auto"/>
              </w:rPr>
            </w:pPr>
          </w:p>
        </w:tc>
        <w:tc>
          <w:tcPr>
            <w:tcW w:w="2960" w:type="dxa"/>
            <w:vAlign w:val="bottom"/>
            <w:tcBorders>
              <w:bottom w:val="single" w:sz="8" w:color="auto"/>
              <w:right w:val="single" w:sz="8" w:color="auto"/>
            </w:tcBorders>
          </w:tcPr>
          <w:p>
            <w:pPr>
              <w:spacing w:after="0"/>
              <w:rPr>
                <w:sz w:val="7"/>
                <w:szCs w:val="7"/>
                <w:color w:val="auto"/>
              </w:rPr>
            </w:pPr>
          </w:p>
        </w:tc>
        <w:tc>
          <w:tcPr>
            <w:tcW w:w="5820" w:type="dxa"/>
            <w:vAlign w:val="bottom"/>
            <w:tcBorders>
              <w:bottom w:val="single" w:sz="8" w:color="auto"/>
            </w:tcBorders>
          </w:tcPr>
          <w:p>
            <w:pPr>
              <w:spacing w:after="0"/>
              <w:rPr>
                <w:sz w:val="7"/>
                <w:szCs w:val="7"/>
                <w:color w:val="auto"/>
              </w:rPr>
            </w:pPr>
          </w:p>
        </w:tc>
      </w:tr>
      <w:tr>
        <w:trPr>
          <w:trHeight w:val="427"/>
        </w:trPr>
        <w:tc>
          <w:tcPr>
            <w:tcW w:w="1860" w:type="dxa"/>
            <w:vAlign w:val="bottom"/>
          </w:tcPr>
          <w:p>
            <w:pPr>
              <w:ind w:left="100"/>
              <w:spacing w:after="0"/>
              <w:rPr>
                <w:sz w:val="20"/>
                <w:szCs w:val="20"/>
                <w:color w:val="auto"/>
              </w:rPr>
            </w:pPr>
            <w:r>
              <w:rPr>
                <w:rFonts w:ascii="Arial" w:cs="Arial" w:eastAsia="Arial" w:hAnsi="Arial"/>
                <w:sz w:val="32"/>
                <w:szCs w:val="32"/>
                <w:b w:val="1"/>
                <w:bCs w:val="1"/>
                <w:color w:val="5F81AA"/>
              </w:rPr>
              <w:t>Tax Rate</w:t>
            </w:r>
          </w:p>
        </w:tc>
        <w:tc>
          <w:tcPr>
            <w:tcW w:w="2960" w:type="dxa"/>
            <w:vAlign w:val="bottom"/>
            <w:tcBorders>
              <w:right w:val="single" w:sz="8" w:color="auto"/>
            </w:tcBorders>
          </w:tcPr>
          <w:p>
            <w:pPr>
              <w:spacing w:after="0"/>
              <w:rPr>
                <w:sz w:val="24"/>
                <w:szCs w:val="24"/>
                <w:color w:val="auto"/>
              </w:rPr>
            </w:pPr>
          </w:p>
        </w:tc>
        <w:tc>
          <w:tcPr>
            <w:tcW w:w="5820" w:type="dxa"/>
            <w:vAlign w:val="bottom"/>
          </w:tcPr>
          <w:p>
            <w:pPr>
              <w:ind w:left="220"/>
              <w:spacing w:after="0"/>
              <w:rPr>
                <w:sz w:val="20"/>
                <w:szCs w:val="20"/>
                <w:color w:val="auto"/>
              </w:rPr>
            </w:pPr>
            <w:r>
              <w:rPr>
                <w:rFonts w:ascii="Arial" w:cs="Arial" w:eastAsia="Arial" w:hAnsi="Arial"/>
                <w:sz w:val="29"/>
                <w:szCs w:val="29"/>
                <w:color w:val="auto"/>
              </w:rPr>
              <w:t>56%</w:t>
            </w:r>
          </w:p>
        </w:tc>
      </w:tr>
      <w:tr>
        <w:trPr>
          <w:trHeight w:val="52"/>
        </w:trPr>
        <w:tc>
          <w:tcPr>
            <w:tcW w:w="1860" w:type="dxa"/>
            <w:vAlign w:val="bottom"/>
            <w:tcBorders>
              <w:bottom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c>
          <w:tcPr>
            <w:tcW w:w="5820" w:type="dxa"/>
            <w:vAlign w:val="bottom"/>
            <w:tcBorders>
              <w:bottom w:val="single" w:sz="8" w:color="auto"/>
            </w:tcBorders>
          </w:tcPr>
          <w:p>
            <w:pPr>
              <w:spacing w:after="0"/>
              <w:rPr>
                <w:sz w:val="4"/>
                <w:szCs w:val="4"/>
                <w:color w:val="auto"/>
              </w:rPr>
            </w:pPr>
          </w:p>
        </w:tc>
      </w:tr>
      <w:tr>
        <w:trPr>
          <w:trHeight w:val="463"/>
        </w:trPr>
        <w:tc>
          <w:tcPr>
            <w:tcW w:w="1860" w:type="dxa"/>
            <w:vAlign w:val="bottom"/>
          </w:tcPr>
          <w:p>
            <w:pPr>
              <w:ind w:left="100"/>
              <w:spacing w:after="0"/>
              <w:rPr>
                <w:sz w:val="20"/>
                <w:szCs w:val="20"/>
                <w:color w:val="auto"/>
              </w:rPr>
            </w:pPr>
            <w:r>
              <w:rPr>
                <w:rFonts w:ascii="Arial" w:cs="Arial" w:eastAsia="Arial" w:hAnsi="Arial"/>
                <w:sz w:val="32"/>
                <w:szCs w:val="32"/>
                <w:b w:val="1"/>
                <w:bCs w:val="1"/>
                <w:color w:val="5F81AA"/>
              </w:rPr>
              <w:t>EPS</w:t>
            </w:r>
          </w:p>
        </w:tc>
        <w:tc>
          <w:tcPr>
            <w:tcW w:w="2960" w:type="dxa"/>
            <w:vAlign w:val="bottom"/>
            <w:tcBorders>
              <w:right w:val="single" w:sz="8" w:color="auto"/>
            </w:tcBorders>
          </w:tcPr>
          <w:p>
            <w:pPr>
              <w:spacing w:after="0"/>
              <w:rPr>
                <w:sz w:val="24"/>
                <w:szCs w:val="24"/>
                <w:color w:val="auto"/>
              </w:rPr>
            </w:pPr>
          </w:p>
        </w:tc>
        <w:tc>
          <w:tcPr>
            <w:tcW w:w="5820" w:type="dxa"/>
            <w:vAlign w:val="bottom"/>
          </w:tcPr>
          <w:p>
            <w:pPr>
              <w:ind w:left="220"/>
              <w:spacing w:after="0"/>
              <w:rPr>
                <w:sz w:val="20"/>
                <w:szCs w:val="20"/>
                <w:color w:val="auto"/>
              </w:rPr>
            </w:pPr>
            <w:r>
              <w:rPr>
                <w:rFonts w:ascii="Arial" w:cs="Arial" w:eastAsia="Arial" w:hAnsi="Arial"/>
                <w:sz w:val="29"/>
                <w:szCs w:val="29"/>
                <w:color w:val="auto"/>
              </w:rPr>
              <w:t>$0.30 - $0.38 (Neg. $.02 Currency)</w:t>
            </w:r>
          </w:p>
        </w:tc>
      </w:tr>
      <w:tr>
        <w:trPr>
          <w:trHeight w:val="88"/>
        </w:trPr>
        <w:tc>
          <w:tcPr>
            <w:tcW w:w="1860" w:type="dxa"/>
            <w:vAlign w:val="bottom"/>
            <w:tcBorders>
              <w:bottom w:val="single" w:sz="8" w:color="auto"/>
            </w:tcBorders>
          </w:tcPr>
          <w:p>
            <w:pPr>
              <w:spacing w:after="0"/>
              <w:rPr>
                <w:sz w:val="7"/>
                <w:szCs w:val="7"/>
                <w:color w:val="auto"/>
              </w:rPr>
            </w:pPr>
          </w:p>
        </w:tc>
        <w:tc>
          <w:tcPr>
            <w:tcW w:w="2960" w:type="dxa"/>
            <w:vAlign w:val="bottom"/>
            <w:tcBorders>
              <w:bottom w:val="single" w:sz="8" w:color="auto"/>
              <w:right w:val="single" w:sz="8" w:color="auto"/>
            </w:tcBorders>
          </w:tcPr>
          <w:p>
            <w:pPr>
              <w:spacing w:after="0"/>
              <w:rPr>
                <w:sz w:val="7"/>
                <w:szCs w:val="7"/>
                <w:color w:val="auto"/>
              </w:rPr>
            </w:pPr>
          </w:p>
        </w:tc>
        <w:tc>
          <w:tcPr>
            <w:tcW w:w="5820" w:type="dxa"/>
            <w:vAlign w:val="bottom"/>
            <w:tcBorders>
              <w:bottom w:val="single" w:sz="8" w:color="auto"/>
            </w:tcBorders>
          </w:tcPr>
          <w:p>
            <w:pPr>
              <w:spacing w:after="0"/>
              <w:rPr>
                <w:sz w:val="7"/>
                <w:szCs w:val="7"/>
                <w:color w:val="auto"/>
              </w:rPr>
            </w:pPr>
          </w:p>
        </w:tc>
      </w:tr>
    </w:tbl>
    <w:p>
      <w:pPr>
        <w:spacing w:after="0" w:line="370" w:lineRule="exact"/>
        <w:rPr>
          <w:sz w:val="20"/>
          <w:szCs w:val="20"/>
          <w:color w:val="auto"/>
        </w:rPr>
      </w:pPr>
    </w:p>
    <w:p>
      <w:pPr>
        <w:ind w:left="10260"/>
        <w:spacing w:after="0"/>
        <w:rPr>
          <w:sz w:val="20"/>
          <w:szCs w:val="20"/>
          <w:color w:val="auto"/>
        </w:rPr>
      </w:pPr>
      <w:r>
        <w:rPr>
          <w:rFonts w:ascii="Arial" w:cs="Arial" w:eastAsia="Arial" w:hAnsi="Arial"/>
          <w:sz w:val="14"/>
          <w:szCs w:val="14"/>
          <w:color w:val="898989"/>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429895</wp:posOffset>
            </wp:positionV>
            <wp:extent cx="7268210"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660"/>
          </w:cols>
          <w:pgMar w:left="680" w:top="449" w:right="559" w:bottom="1440" w:gutter="0" w:footer="0" w:header="0"/>
          <w:type w:val="continuous"/>
        </w:sectPr>
      </w:pPr>
    </w:p>
    <w:bookmarkStart w:id="31" w:name="page32"/>
    <w:bookmarkEnd w:id="31"/>
    <w:p>
      <w:pPr>
        <w:ind w:left="120" w:right="3260"/>
        <w:spacing w:after="0" w:line="289" w:lineRule="auto"/>
        <w:rPr>
          <w:sz w:val="20"/>
          <w:szCs w:val="20"/>
          <w:color w:val="auto"/>
        </w:rPr>
      </w:pPr>
      <w:r>
        <w:rPr>
          <w:rFonts w:ascii="Arial" w:cs="Arial" w:eastAsia="Arial" w:hAnsi="Arial"/>
          <w:sz w:val="25"/>
          <w:szCs w:val="25"/>
          <w:b w:val="1"/>
          <w:bCs w:val="1"/>
          <w:color w:val="FFFFFF"/>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2011 4</w:t>
      </w:r>
      <w:r>
        <w:rPr>
          <w:rFonts w:ascii="Arial" w:cs="Arial" w:eastAsia="Arial" w:hAnsi="Arial"/>
          <w:sz w:val="17"/>
          <w:szCs w:val="17"/>
          <w:b w:val="1"/>
          <w:bCs w:val="1"/>
          <w:color w:val="FFFFFF"/>
        </w:rPr>
        <w:t>th</w:t>
      </w:r>
      <w:r>
        <w:rPr>
          <w:rFonts w:ascii="Arial" w:cs="Arial" w:eastAsia="Arial" w:hAnsi="Arial"/>
          <w:sz w:val="25"/>
          <w:szCs w:val="25"/>
          <w:b w:val="1"/>
          <w:bCs w:val="1"/>
          <w:color w:val="FFFFFF"/>
        </w:rPr>
        <w:t xml:space="preserve"> Quarter Results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February</w:t>
      </w:r>
    </w:p>
    <w:p>
      <w:pPr>
        <w:spacing w:after="0" w:line="594" w:lineRule="exact"/>
        <w:rPr>
          <w:sz w:val="20"/>
          <w:szCs w:val="20"/>
          <w:color w:val="auto"/>
        </w:rPr>
      </w:pPr>
    </w:p>
    <w:p>
      <w:pPr>
        <w:sectPr>
          <w:pgSz w:w="11900" w:h="16838" w:orient="portrait"/>
          <w:cols w:equalWidth="0" w:num="2">
            <w:col w:w="8460" w:space="720"/>
            <w:col w:w="1360"/>
          </w:cols>
          <w:pgMar w:left="560" w:top="449" w:right="799" w:bottom="1440" w:gutter="0" w:footer="0" w:header="0"/>
        </w:sectPr>
      </w:pPr>
    </w:p>
    <w:p>
      <w:pPr>
        <w:spacing w:after="0"/>
        <w:rPr>
          <w:sz w:val="20"/>
          <w:szCs w:val="20"/>
          <w:color w:val="auto"/>
        </w:rPr>
      </w:pPr>
      <w:r>
        <w:rPr>
          <w:rFonts w:ascii="Arial" w:cs="Arial" w:eastAsia="Arial" w:hAnsi="Arial"/>
          <w:sz w:val="51"/>
          <w:szCs w:val="51"/>
          <w:color w:val="5F81AA"/>
        </w:rPr>
        <w:t>Last year at this time, we didn’t have…</w:t>
      </w:r>
    </w:p>
    <w:p>
      <w:pPr>
        <w:spacing w:after="0" w:line="200" w:lineRule="exact"/>
        <w:rPr>
          <w:sz w:val="20"/>
          <w:szCs w:val="20"/>
          <w:color w:val="auto"/>
        </w:rPr>
      </w:pPr>
    </w:p>
    <w:p>
      <w:pPr>
        <w:spacing w:after="0" w:line="268" w:lineRule="exact"/>
        <w:rPr>
          <w:sz w:val="20"/>
          <w:szCs w:val="20"/>
          <w:color w:val="auto"/>
        </w:rPr>
      </w:pPr>
    </w:p>
    <w:p>
      <w:pPr>
        <w:ind w:left="720" w:hanging="486"/>
        <w:spacing w:after="0"/>
        <w:tabs>
          <w:tab w:leader="none" w:pos="720" w:val="left"/>
        </w:tabs>
        <w:numPr>
          <w:ilvl w:val="0"/>
          <w:numId w:val="19"/>
        </w:numPr>
        <w:rPr>
          <w:rFonts w:ascii="Arial" w:cs="Arial" w:eastAsia="Arial" w:hAnsi="Arial"/>
          <w:sz w:val="32"/>
          <w:szCs w:val="32"/>
          <w:color w:val="67696F"/>
        </w:rPr>
      </w:pPr>
      <w:r>
        <w:rPr>
          <w:rFonts w:ascii="Arial" w:cs="Arial" w:eastAsia="Arial" w:hAnsi="Arial"/>
          <w:sz w:val="32"/>
          <w:szCs w:val="32"/>
          <w:color w:val="67696F"/>
        </w:rPr>
        <w:t>Introduction of Human Age</w:t>
      </w:r>
    </w:p>
    <w:p>
      <w:pPr>
        <w:spacing w:after="0" w:line="83" w:lineRule="exact"/>
        <w:rPr>
          <w:rFonts w:ascii="Arial" w:cs="Arial" w:eastAsia="Arial" w:hAnsi="Arial"/>
          <w:sz w:val="32"/>
          <w:szCs w:val="32"/>
          <w:color w:val="67696F"/>
        </w:rPr>
      </w:pPr>
    </w:p>
    <w:p>
      <w:pPr>
        <w:ind w:left="720" w:hanging="486"/>
        <w:spacing w:after="0"/>
        <w:tabs>
          <w:tab w:leader="none" w:pos="720" w:val="left"/>
        </w:tabs>
        <w:numPr>
          <w:ilvl w:val="0"/>
          <w:numId w:val="19"/>
        </w:numPr>
        <w:rPr>
          <w:rFonts w:ascii="Arial" w:cs="Arial" w:eastAsia="Arial" w:hAnsi="Arial"/>
          <w:sz w:val="32"/>
          <w:szCs w:val="32"/>
          <w:color w:val="67696F"/>
        </w:rPr>
      </w:pPr>
      <w:r>
        <w:rPr>
          <w:rFonts w:ascii="Arial" w:cs="Arial" w:eastAsia="Arial" w:hAnsi="Arial"/>
          <w:sz w:val="32"/>
          <w:szCs w:val="32"/>
          <w:color w:val="67696F"/>
        </w:rPr>
        <w:t>Launch of our new parent brand - ManpowerGroup</w:t>
      </w:r>
    </w:p>
    <w:p>
      <w:pPr>
        <w:spacing w:after="0" w:line="95" w:lineRule="exact"/>
        <w:rPr>
          <w:rFonts w:ascii="Arial" w:cs="Arial" w:eastAsia="Arial" w:hAnsi="Arial"/>
          <w:sz w:val="32"/>
          <w:szCs w:val="32"/>
          <w:color w:val="67696F"/>
        </w:rPr>
      </w:pPr>
    </w:p>
    <w:p>
      <w:pPr>
        <w:ind w:left="720" w:hanging="486"/>
        <w:spacing w:after="0"/>
        <w:tabs>
          <w:tab w:leader="none" w:pos="720" w:val="left"/>
        </w:tabs>
        <w:numPr>
          <w:ilvl w:val="0"/>
          <w:numId w:val="19"/>
        </w:numPr>
        <w:rPr>
          <w:rFonts w:ascii="Arial" w:cs="Arial" w:eastAsia="Arial" w:hAnsi="Arial"/>
          <w:sz w:val="32"/>
          <w:szCs w:val="32"/>
          <w:color w:val="67696F"/>
        </w:rPr>
      </w:pPr>
      <w:r>
        <w:rPr>
          <w:rFonts w:ascii="Arial" w:cs="Arial" w:eastAsia="Arial" w:hAnsi="Arial"/>
          <w:sz w:val="32"/>
          <w:szCs w:val="32"/>
          <w:color w:val="67696F"/>
        </w:rPr>
        <w:t>Launch of our new professional resourcing brand - Experis</w:t>
      </w:r>
    </w:p>
    <w:p>
      <w:pPr>
        <w:spacing w:after="0" w:line="83" w:lineRule="exact"/>
        <w:rPr>
          <w:rFonts w:ascii="Arial" w:cs="Arial" w:eastAsia="Arial" w:hAnsi="Arial"/>
          <w:sz w:val="32"/>
          <w:szCs w:val="32"/>
          <w:color w:val="67696F"/>
        </w:rPr>
      </w:pPr>
    </w:p>
    <w:p>
      <w:pPr>
        <w:ind w:left="720" w:hanging="486"/>
        <w:spacing w:after="0"/>
        <w:tabs>
          <w:tab w:leader="none" w:pos="720" w:val="left"/>
        </w:tabs>
        <w:numPr>
          <w:ilvl w:val="0"/>
          <w:numId w:val="19"/>
        </w:numPr>
        <w:rPr>
          <w:rFonts w:ascii="Arial" w:cs="Arial" w:eastAsia="Arial" w:hAnsi="Arial"/>
          <w:sz w:val="32"/>
          <w:szCs w:val="32"/>
          <w:color w:val="67696F"/>
        </w:rPr>
      </w:pPr>
      <w:r>
        <w:rPr>
          <w:rFonts w:ascii="Arial" w:cs="Arial" w:eastAsia="Arial" w:hAnsi="Arial"/>
          <w:sz w:val="32"/>
          <w:szCs w:val="32"/>
          <w:color w:val="67696F"/>
        </w:rPr>
        <w:t>Launch of our solutions offering - ManpowerGroup Solutions</w:t>
      </w:r>
    </w:p>
    <w:p>
      <w:pPr>
        <w:spacing w:after="0" w:line="95" w:lineRule="exact"/>
        <w:rPr>
          <w:rFonts w:ascii="Arial" w:cs="Arial" w:eastAsia="Arial" w:hAnsi="Arial"/>
          <w:sz w:val="32"/>
          <w:szCs w:val="32"/>
          <w:color w:val="67696F"/>
        </w:rPr>
      </w:pPr>
    </w:p>
    <w:p>
      <w:pPr>
        <w:ind w:left="760" w:right="640" w:hanging="526"/>
        <w:spacing w:after="0" w:line="248" w:lineRule="auto"/>
        <w:tabs>
          <w:tab w:leader="none" w:pos="732" w:val="left"/>
        </w:tabs>
        <w:numPr>
          <w:ilvl w:val="0"/>
          <w:numId w:val="19"/>
        </w:numPr>
        <w:rPr>
          <w:rFonts w:ascii="Arial" w:cs="Arial" w:eastAsia="Arial" w:hAnsi="Arial"/>
          <w:sz w:val="32"/>
          <w:szCs w:val="32"/>
          <w:color w:val="67696F"/>
        </w:rPr>
      </w:pPr>
      <w:r>
        <w:rPr>
          <w:rFonts w:ascii="Arial" w:cs="Arial" w:eastAsia="Arial" w:hAnsi="Arial"/>
          <w:sz w:val="32"/>
          <w:szCs w:val="32"/>
          <w:color w:val="67696F"/>
        </w:rPr>
        <w:t>Reposition of our Right Management brand to be aligned with our new branding</w:t>
      </w:r>
    </w:p>
    <w:p>
      <w:pPr>
        <w:spacing w:after="0" w:line="71" w:lineRule="exact"/>
        <w:rPr>
          <w:rFonts w:ascii="Arial" w:cs="Arial" w:eastAsia="Arial" w:hAnsi="Arial"/>
          <w:sz w:val="32"/>
          <w:szCs w:val="32"/>
          <w:color w:val="67696F"/>
        </w:rPr>
      </w:pPr>
    </w:p>
    <w:p>
      <w:pPr>
        <w:ind w:left="760" w:right="240" w:hanging="526"/>
        <w:spacing w:after="0" w:line="248" w:lineRule="auto"/>
        <w:tabs>
          <w:tab w:leader="none" w:pos="732" w:val="left"/>
        </w:tabs>
        <w:numPr>
          <w:ilvl w:val="0"/>
          <w:numId w:val="19"/>
        </w:numPr>
        <w:rPr>
          <w:rFonts w:ascii="Arial" w:cs="Arial" w:eastAsia="Arial" w:hAnsi="Arial"/>
          <w:sz w:val="32"/>
          <w:szCs w:val="32"/>
          <w:color w:val="67696F"/>
        </w:rPr>
      </w:pPr>
      <w:r>
        <w:rPr>
          <w:rFonts w:ascii="Arial" w:cs="Arial" w:eastAsia="Arial" w:hAnsi="Arial"/>
          <w:sz w:val="32"/>
          <w:szCs w:val="32"/>
          <w:color w:val="67696F"/>
        </w:rPr>
        <w:t>Introduction of new organizational structure - Southern and Northern Europe</w:t>
      </w:r>
    </w:p>
    <w:p>
      <w:pPr>
        <w:spacing w:after="0" w:line="83" w:lineRule="exact"/>
        <w:rPr>
          <w:rFonts w:ascii="Arial" w:cs="Arial" w:eastAsia="Arial" w:hAnsi="Arial"/>
          <w:sz w:val="32"/>
          <w:szCs w:val="32"/>
          <w:color w:val="67696F"/>
        </w:rPr>
      </w:pPr>
    </w:p>
    <w:p>
      <w:pPr>
        <w:ind w:left="760" w:right="140" w:hanging="526"/>
        <w:spacing w:after="0" w:line="248" w:lineRule="auto"/>
        <w:tabs>
          <w:tab w:leader="none" w:pos="732" w:val="left"/>
        </w:tabs>
        <w:numPr>
          <w:ilvl w:val="0"/>
          <w:numId w:val="19"/>
        </w:numPr>
        <w:rPr>
          <w:rFonts w:ascii="Arial" w:cs="Arial" w:eastAsia="Arial" w:hAnsi="Arial"/>
          <w:sz w:val="32"/>
          <w:szCs w:val="32"/>
          <w:color w:val="67696F"/>
        </w:rPr>
      </w:pPr>
      <w:r>
        <w:rPr>
          <w:rFonts w:ascii="Arial" w:cs="Arial" w:eastAsia="Arial" w:hAnsi="Arial"/>
          <w:sz w:val="32"/>
          <w:szCs w:val="32"/>
          <w:color w:val="67696F"/>
        </w:rPr>
        <w:t>Registered more than 9 million resumes on Direct Talent, our internet recruitment tool, and implemented in 31 countries</w:t>
      </w:r>
    </w:p>
    <w:p>
      <w:pPr>
        <w:spacing w:after="0" w:line="71" w:lineRule="exact"/>
        <w:rPr>
          <w:rFonts w:ascii="Arial" w:cs="Arial" w:eastAsia="Arial" w:hAnsi="Arial"/>
          <w:sz w:val="32"/>
          <w:szCs w:val="32"/>
          <w:color w:val="67696F"/>
        </w:rPr>
      </w:pPr>
    </w:p>
    <w:p>
      <w:pPr>
        <w:ind w:left="720" w:hanging="486"/>
        <w:spacing w:after="0"/>
        <w:tabs>
          <w:tab w:leader="none" w:pos="720" w:val="left"/>
        </w:tabs>
        <w:numPr>
          <w:ilvl w:val="0"/>
          <w:numId w:val="19"/>
        </w:numPr>
        <w:rPr>
          <w:rFonts w:ascii="Arial" w:cs="Arial" w:eastAsia="Arial" w:hAnsi="Arial"/>
          <w:sz w:val="32"/>
          <w:szCs w:val="32"/>
          <w:color w:val="67696F"/>
        </w:rPr>
      </w:pPr>
      <w:r>
        <w:rPr>
          <w:rFonts w:ascii="Arial" w:cs="Arial" w:eastAsia="Arial" w:hAnsi="Arial"/>
          <w:sz w:val="32"/>
          <w:szCs w:val="32"/>
          <w:color w:val="67696F"/>
        </w:rPr>
        <w:t>The largest global RPO business in the industry</w:t>
      </w:r>
    </w:p>
    <w:p>
      <w:pPr>
        <w:spacing w:after="0" w:line="83" w:lineRule="exact"/>
        <w:rPr>
          <w:rFonts w:ascii="Arial" w:cs="Arial" w:eastAsia="Arial" w:hAnsi="Arial"/>
          <w:sz w:val="32"/>
          <w:szCs w:val="32"/>
          <w:color w:val="67696F"/>
        </w:rPr>
      </w:pPr>
    </w:p>
    <w:p>
      <w:pPr>
        <w:ind w:left="720" w:hanging="486"/>
        <w:spacing w:after="0"/>
        <w:tabs>
          <w:tab w:leader="none" w:pos="720" w:val="left"/>
        </w:tabs>
        <w:numPr>
          <w:ilvl w:val="0"/>
          <w:numId w:val="19"/>
        </w:numPr>
        <w:rPr>
          <w:rFonts w:ascii="Arial" w:cs="Arial" w:eastAsia="Arial" w:hAnsi="Arial"/>
          <w:sz w:val="32"/>
          <w:szCs w:val="32"/>
          <w:color w:val="67696F"/>
        </w:rPr>
      </w:pPr>
      <w:r>
        <w:rPr>
          <w:rFonts w:ascii="Arial" w:cs="Arial" w:eastAsia="Arial" w:hAnsi="Arial"/>
          <w:sz w:val="32"/>
          <w:szCs w:val="32"/>
          <w:color w:val="67696F"/>
        </w:rPr>
        <w:t>The largest Vender Neutral MSP business in the industry</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429895</wp:posOffset>
            </wp:positionV>
            <wp:extent cx="7268210"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540"/>
          </w:cols>
          <w:pgMar w:left="560" w:top="449" w:right="799" w:bottom="1440" w:gutter="0" w:footer="0" w:header="0"/>
          <w:type w:val="continuous"/>
        </w:sectPr>
      </w:pPr>
    </w:p>
    <w:bookmarkStart w:id="32" w:name="page33"/>
    <w:bookmarkEnd w:id="32"/>
    <w:p>
      <w:pPr>
        <w:ind w:right="3260"/>
        <w:spacing w:after="0" w:line="289" w:lineRule="auto"/>
        <w:rPr>
          <w:sz w:val="20"/>
          <w:szCs w:val="20"/>
          <w:color w:val="auto"/>
        </w:rPr>
      </w:pPr>
      <w:r>
        <w:rPr>
          <w:rFonts w:ascii="Arial" w:cs="Arial" w:eastAsia="Arial" w:hAnsi="Arial"/>
          <w:sz w:val="25"/>
          <w:szCs w:val="25"/>
          <w:b w:val="1"/>
          <w:bCs w:val="1"/>
          <w:color w:val="FFFFFF"/>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2011 4</w:t>
      </w:r>
      <w:r>
        <w:rPr>
          <w:rFonts w:ascii="Arial" w:cs="Arial" w:eastAsia="Arial" w:hAnsi="Arial"/>
          <w:sz w:val="17"/>
          <w:szCs w:val="17"/>
          <w:b w:val="1"/>
          <w:bCs w:val="1"/>
          <w:color w:val="FFFFFF"/>
        </w:rPr>
        <w:t>th</w:t>
      </w:r>
      <w:r>
        <w:rPr>
          <w:rFonts w:ascii="Arial" w:cs="Arial" w:eastAsia="Arial" w:hAnsi="Arial"/>
          <w:sz w:val="25"/>
          <w:szCs w:val="25"/>
          <w:b w:val="1"/>
          <w:bCs w:val="1"/>
          <w:color w:val="FFFFFF"/>
        </w:rPr>
        <w:t xml:space="preserve"> Quarter Results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February</w:t>
      </w:r>
    </w:p>
    <w:p>
      <w:pPr>
        <w:spacing w:after="0" w:line="416" w:lineRule="exact"/>
        <w:rPr>
          <w:sz w:val="20"/>
          <w:szCs w:val="20"/>
          <w:color w:val="auto"/>
        </w:rPr>
      </w:pPr>
    </w:p>
    <w:p>
      <w:pPr>
        <w:sectPr>
          <w:pgSz w:w="11900" w:h="16838" w:orient="portrait"/>
          <w:cols w:equalWidth="0" w:num="2">
            <w:col w:w="8340" w:space="720"/>
            <w:col w:w="1080"/>
          </w:cols>
          <w:pgMar w:left="680" w:top="449" w:right="1079" w:bottom="1440" w:gutter="0" w:footer="0" w:header="0"/>
        </w:sectPr>
      </w:pPr>
    </w:p>
    <w:p>
      <w:pPr>
        <w:ind w:left="140"/>
        <w:spacing w:after="0"/>
        <w:rPr>
          <w:sz w:val="20"/>
          <w:szCs w:val="20"/>
          <w:color w:val="auto"/>
        </w:rPr>
      </w:pPr>
      <w:r>
        <w:rPr>
          <w:rFonts w:ascii="Arial" w:cs="Arial" w:eastAsia="Arial" w:hAnsi="Arial"/>
          <w:sz w:val="50"/>
          <w:szCs w:val="50"/>
          <w:color w:val="5F81AA"/>
        </w:rPr>
        <w:t>Strategic Drivers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4734560</wp:posOffset>
            </wp:positionV>
            <wp:extent cx="7268210"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140"/>
          </w:cols>
          <w:pgMar w:left="680" w:top="449" w:right="1079" w:bottom="1440" w:gutter="0" w:footer="0" w:header="0"/>
          <w:type w:val="continuous"/>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960"/>
        <w:spacing w:after="0"/>
        <w:rPr>
          <w:sz w:val="20"/>
          <w:szCs w:val="20"/>
          <w:color w:val="auto"/>
        </w:rPr>
      </w:pPr>
      <w:r>
        <w:rPr>
          <w:rFonts w:ascii="Arial" w:cs="Arial" w:eastAsia="Arial" w:hAnsi="Arial"/>
          <w:sz w:val="75"/>
          <w:szCs w:val="75"/>
          <w:color w:val="FFFFFF"/>
        </w:rPr>
        <w:t>Questions</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lowerLetter"/>
      <w:start w:val="1"/>
    </w:lvl>
  </w:abstractNum>
  <w:abstractNum w:abstractNumId="1">
    <w:nsid w:val="216231B"/>
    <w:multiLevelType w:val="hybridMultilevel"/>
    <w:lvl w:ilvl="0">
      <w:lvlJc w:val="left"/>
      <w:lvlText w:val="(%1)"/>
      <w:numFmt w:val="lowerLetter"/>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1)"/>
      <w:numFmt w:val="lowerLetter"/>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lvl w:ilvl="1">
      <w:lvlJc w:val="left"/>
      <w:lvlText w:val="(%2)"/>
      <w:numFmt w:val="decimal"/>
      <w:start w:val="1"/>
    </w:lvl>
  </w:abstractNum>
  <w:abstractNum w:abstractNumId="17">
    <w:nsid w:val="3F2DBA31"/>
    <w:multiLevelType w:val="hybridMultilevel"/>
    <w:lvl w:ilvl="0">
      <w:lvlJc w:val="left"/>
      <w:lvlText w:val="(%1)"/>
      <w:numFmt w:val="decimal"/>
      <w:start w:val="2"/>
    </w:lvl>
    <w:lvl w:ilvl="1">
      <w:lvlJc w:val="left"/>
      <w:lvlText w:val="%2"/>
      <w:numFmt w:val="decimal"/>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2019-12-09T10:33:30Z</dcterms:created>
  <dcterms:modified xsi:type="dcterms:W3CDTF">2019-12-09T10:33:30Z</dcterms:modified>
</cp:coreProperties>
</file>