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 2021</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1-10686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39-1672779</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(IRS Employer Identification No.)</w:t>
            </w:r>
          </w:p>
        </w:tc>
      </w:tr>
      <w:tr>
        <w:trPr>
          <w:trHeight w:val="328"/>
        </w:trPr>
        <w:tc>
          <w:tcPr>
            <w:tcW w:w="44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1"/>
              </w:rPr>
              <w:t>100 Manpower Place</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44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1"/>
              </w:rPr>
              <w:t>Milwaukee, Wisconsin</w:t>
            </w:r>
          </w:p>
        </w:tc>
        <w:tc>
          <w:tcPr>
            <w:tcW w:w="10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53212</w:t>
            </w:r>
          </w:p>
        </w:tc>
      </w:tr>
      <w:tr>
        <w:trPr>
          <w:trHeight w:val="228"/>
        </w:trPr>
        <w:tc>
          <w:tcPr>
            <w:tcW w:w="44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b w:val="1"/>
                <w:bCs w:val="1"/>
                <w:color w:val="auto"/>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 2021, we issued a press release announcing our results of operations for the three months and year ended December 31, 2020. A copy of the press release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988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February 2, 2021</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98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Presentation materials for February 2, 2021 Conference Call</w:t>
              </w:r>
            </w:hyperlink>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27"/>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firstLine="5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MANPOWERGROUP INC.</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Dated:   February 2, 2021</w:t>
            </w:r>
          </w:p>
        </w:tc>
        <w:tc>
          <w:tcPr>
            <w:tcW w:w="820" w:type="dxa"/>
            <w:vAlign w:val="bottom"/>
          </w:tcPr>
          <w:p>
            <w:pPr>
              <w:ind w:left="120"/>
              <w:spacing w:after="0"/>
              <w:rPr>
                <w:sz w:val="20"/>
                <w:szCs w:val="20"/>
                <w:color w:val="auto"/>
              </w:rPr>
            </w:pPr>
            <w:r>
              <w:rPr>
                <w:rFonts w:ascii="Arial" w:cs="Arial" w:eastAsia="Arial" w:hAnsi="Arial"/>
                <w:sz w:val="18"/>
                <w:szCs w:val="18"/>
                <w:color w:val="auto"/>
              </w:rPr>
              <w:t>By:</w:t>
            </w:r>
          </w:p>
        </w:tc>
        <w:tc>
          <w:tcPr>
            <w:tcW w:w="5100" w:type="dxa"/>
            <w:vAlign w:val="bottom"/>
          </w:tcPr>
          <w:p>
            <w:pPr>
              <w:ind w:left="60"/>
              <w:spacing w:after="0"/>
              <w:rPr>
                <w:sz w:val="20"/>
                <w:szCs w:val="20"/>
                <w:color w:val="auto"/>
              </w:rPr>
            </w:pPr>
            <w:r>
              <w:rPr>
                <w:rFonts w:ascii="Arial" w:cs="Arial" w:eastAsia="Arial" w:hAnsi="Arial"/>
                <w:sz w:val="18"/>
                <w:szCs w:val="18"/>
                <w:color w:val="auto"/>
              </w:rPr>
              <w:t>/s/ John T. McGinnis</w:t>
            </w:r>
          </w:p>
        </w:tc>
      </w:tr>
      <w:tr>
        <w:trPr>
          <w:trHeight w:val="195"/>
        </w:trPr>
        <w:tc>
          <w:tcPr>
            <w:tcW w:w="740" w:type="dxa"/>
            <w:vAlign w:val="bottom"/>
          </w:tcPr>
          <w:p>
            <w:pPr>
              <w:spacing w:after="0"/>
              <w:rPr>
                <w:sz w:val="16"/>
                <w:szCs w:val="16"/>
                <w:color w:val="auto"/>
              </w:rPr>
            </w:pPr>
          </w:p>
        </w:tc>
        <w:tc>
          <w:tcPr>
            <w:tcW w:w="4580" w:type="dxa"/>
            <w:vAlign w:val="bottom"/>
            <w:tcBorders>
              <w:top w:val="single" w:sz="8" w:color="auto"/>
            </w:tcBorders>
          </w:tcPr>
          <w:p>
            <w:pPr>
              <w:spacing w:after="0"/>
              <w:rPr>
                <w:sz w:val="16"/>
                <w:szCs w:val="16"/>
                <w:color w:val="auto"/>
              </w:rPr>
            </w:pPr>
          </w:p>
        </w:tc>
        <w:tc>
          <w:tcPr>
            <w:tcW w:w="82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T. McGinnis</w:t>
            </w:r>
          </w:p>
        </w:tc>
      </w:tr>
      <w:tr>
        <w:trPr>
          <w:trHeight w:val="216"/>
        </w:trPr>
        <w:tc>
          <w:tcPr>
            <w:tcW w:w="7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Title:</w:t>
            </w:r>
          </w:p>
        </w:tc>
        <w:tc>
          <w:tcPr>
            <w:tcW w:w="5100" w:type="dxa"/>
            <w:vAlign w:val="bottom"/>
          </w:tcPr>
          <w:p>
            <w:pPr>
              <w:ind w:left="6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6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525905"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6"/>
          <w:szCs w:val="16"/>
          <w:b w:val="1"/>
          <w:bCs w:val="1"/>
          <w:color w:val="auto"/>
        </w:rPr>
        <w:t>Contact: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Jack McGinnis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+1.414.906.7977</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0000FF"/>
        </w:rPr>
        <w:t>jack.mcginnis@manpowergroup.com</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ManpowerGroup Reports 4</w:t>
      </w:r>
      <w:r>
        <w:rPr>
          <w:rFonts w:ascii="Arial" w:cs="Arial" w:eastAsia="Arial" w:hAnsi="Arial"/>
          <w:sz w:val="18"/>
          <w:szCs w:val="18"/>
          <w:b w:val="1"/>
          <w:bCs w:val="1"/>
          <w:color w:val="auto"/>
        </w:rPr>
        <w:t>th</w:t>
      </w:r>
      <w:r>
        <w:rPr>
          <w:rFonts w:ascii="Arial" w:cs="Arial" w:eastAsia="Arial" w:hAnsi="Arial"/>
          <w:sz w:val="22"/>
          <w:szCs w:val="22"/>
          <w:b w:val="1"/>
          <w:bCs w:val="1"/>
          <w:color w:val="auto"/>
        </w:rPr>
        <w:t xml:space="preserve"> Quarter and Full Year 2020 Results</w:t>
      </w:r>
    </w:p>
    <w:p>
      <w:pPr>
        <w:spacing w:after="0" w:line="262" w:lineRule="exact"/>
        <w:rPr>
          <w:sz w:val="20"/>
          <w:szCs w:val="20"/>
          <w:color w:val="auto"/>
        </w:rPr>
      </w:pP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3% revenue decline in fourth quarter (6% decline on a constant currency basis)</w:t>
      </w:r>
    </w:p>
    <w:p>
      <w:pPr>
        <w:spacing w:after="0" w:line="13" w:lineRule="exact"/>
        <w:rPr>
          <w:rFonts w:ascii="Arial" w:cs="Arial" w:eastAsia="Arial" w:hAnsi="Arial"/>
          <w:sz w:val="20"/>
          <w:szCs w:val="20"/>
          <w:color w:val="auto"/>
        </w:rPr>
      </w:pP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Progressive monthly improvement in year-over-year revenue trend during the fourth quarter</w:t>
      </w:r>
    </w:p>
    <w:p>
      <w:pPr>
        <w:spacing w:after="0" w:line="13" w:lineRule="exact"/>
        <w:rPr>
          <w:rFonts w:ascii="Arial" w:cs="Arial" w:eastAsia="Arial" w:hAnsi="Arial"/>
          <w:sz w:val="20"/>
          <w:szCs w:val="20"/>
          <w:color w:val="auto"/>
        </w:rPr>
      </w:pPr>
    </w:p>
    <w:p>
      <w:pPr>
        <w:ind w:left="580" w:hanging="383"/>
        <w:spacing w:after="0" w:line="225"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Talent Solutions crossed over to revenue growth in the quarter, led by growth in MSP and Right Management while RPO experienced significant trend improvement</w:t>
      </w:r>
    </w:p>
    <w:p>
      <w:pPr>
        <w:ind w:left="580" w:hanging="383"/>
        <w:spacing w:after="0" w:line="225"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Both Manpower and Experis brands experienced significant improvement in the trend of gross profit decline from the previous quarter</w:t>
      </w: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$201 million of common stock repurchased during fourth quarter</w:t>
      </w:r>
    </w:p>
    <w:p>
      <w:pPr>
        <w:spacing w:after="0" w:line="13" w:lineRule="exact"/>
        <w:rPr>
          <w:rFonts w:ascii="Arial" w:cs="Arial" w:eastAsia="Arial" w:hAnsi="Arial"/>
          <w:sz w:val="20"/>
          <w:szCs w:val="20"/>
          <w:color w:val="auto"/>
        </w:rPr>
      </w:pPr>
    </w:p>
    <w:p>
      <w:pPr>
        <w:ind w:left="580" w:hanging="383"/>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Ended the quarter with $1.6 billion of cash and cash equivalents and $600 million of untapped revolving credit facility</w:t>
      </w:r>
    </w:p>
    <w:p>
      <w:pPr>
        <w:spacing w:after="0" w:line="200" w:lineRule="exact"/>
        <w:rPr>
          <w:sz w:val="20"/>
          <w:szCs w:val="20"/>
          <w:color w:val="auto"/>
        </w:rPr>
      </w:pP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MILWAUKEE, February 2, 2021 -- </w:t>
      </w:r>
      <w:r>
        <w:rPr>
          <w:rFonts w:ascii="Arial" w:cs="Arial" w:eastAsia="Arial" w:hAnsi="Arial"/>
          <w:sz w:val="20"/>
          <w:szCs w:val="20"/>
          <w:color w:val="auto"/>
        </w:rPr>
        <w:t>ManpowerGroup (NYSE: MAN) today reported net earnings of $1.33 per diluted share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three months ended December 31, 2020 compared to $2.33 per diluted share in the prior year period. Net earnings in the quarter were $76.2 million compared to $138.8 million a year earlier. Revenues for the fourth quarter were $5.1 billion, a 3% decline from the prior year period.</w:t>
      </w:r>
    </w:p>
    <w:p>
      <w:pPr>
        <w:spacing w:after="0" w:line="3" w:lineRule="exact"/>
        <w:rPr>
          <w:sz w:val="20"/>
          <w:szCs w:val="20"/>
          <w:color w:val="auto"/>
        </w:rPr>
      </w:pPr>
    </w:p>
    <w:p>
      <w:pPr>
        <w:jc w:val="both"/>
        <w:ind w:firstLine="664"/>
        <w:spacing w:after="0" w:line="225" w:lineRule="auto"/>
        <w:rPr>
          <w:sz w:val="20"/>
          <w:szCs w:val="20"/>
          <w:color w:val="auto"/>
        </w:rPr>
      </w:pPr>
      <w:r>
        <w:rPr>
          <w:rFonts w:ascii="Arial" w:cs="Arial" w:eastAsia="Arial" w:hAnsi="Arial"/>
          <w:sz w:val="20"/>
          <w:szCs w:val="20"/>
          <w:color w:val="auto"/>
        </w:rPr>
        <w:t>The current year quarter included restructuring costs which reduced earnings per share by $0.15. Excluding the restructuring costs, earnings per share was $1.48 per diluted share in the quarter. Financial results in the quarter were also impacted by the weaker U.S. dollar relative to foreign currencies compared to the prior year period. Earnings per share in the quarter were positively impacted 5 cents by changes in foreign currencies compared to the prior year, or 6 cents excluding the restructuring costs. On a constant currency basis, revenues decreased 6%. Excluding the impact of the restructuring costs, on a constant currency basis, net earnings per diluted share decreased 39%.</w:t>
      </w:r>
    </w:p>
    <w:p>
      <w:pPr>
        <w:spacing w:after="0" w:line="2" w:lineRule="exact"/>
        <w:rPr>
          <w:sz w:val="20"/>
          <w:szCs w:val="20"/>
          <w:color w:val="auto"/>
        </w:rPr>
      </w:pPr>
    </w:p>
    <w:p>
      <w:pPr>
        <w:jc w:val="both"/>
        <w:ind w:firstLine="777"/>
        <w:spacing w:after="0" w:line="225" w:lineRule="auto"/>
        <w:rPr>
          <w:sz w:val="20"/>
          <w:szCs w:val="20"/>
          <w:color w:val="auto"/>
        </w:rPr>
      </w:pPr>
      <w:r>
        <w:rPr>
          <w:rFonts w:ascii="Arial" w:cs="Arial" w:eastAsia="Arial" w:hAnsi="Arial"/>
          <w:sz w:val="20"/>
          <w:szCs w:val="20"/>
          <w:color w:val="auto"/>
        </w:rPr>
        <w:t>Days Sales Outstanding improved by 3.4 days year over year reflecting our continued focus on collections and working capital management.</w:t>
      </w:r>
    </w:p>
    <w:p>
      <w:pPr>
        <w:spacing w:after="0" w:line="1" w:lineRule="exact"/>
        <w:rPr>
          <w:sz w:val="20"/>
          <w:szCs w:val="20"/>
          <w:color w:val="auto"/>
        </w:rPr>
      </w:pPr>
    </w:p>
    <w:p>
      <w:pPr>
        <w:jc w:val="both"/>
        <w:ind w:firstLine="790"/>
        <w:spacing w:after="0" w:line="230" w:lineRule="auto"/>
        <w:rPr>
          <w:sz w:val="20"/>
          <w:szCs w:val="20"/>
          <w:color w:val="auto"/>
        </w:rPr>
      </w:pPr>
      <w:r>
        <w:rPr>
          <w:rFonts w:ascii="Arial" w:cs="Arial" w:eastAsia="Arial" w:hAnsi="Arial"/>
          <w:sz w:val="20"/>
          <w:szCs w:val="20"/>
          <w:color w:val="auto"/>
        </w:rPr>
        <w:t>Jonas Prising, ManpowerGroup Chairman &amp; CEO, said, “Our fourth quarter results reflect a continuation of the revenue recovery that began in May 2020. Despite experiencing a series of ongoing lockdowns around the world during the fourth quarter, our results reflect a stronger market environment, including revenue growth and new opportunities in select markets. The combination of our tech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25" w:lineRule="auto"/>
        <w:rPr>
          <w:sz w:val="20"/>
          <w:szCs w:val="20"/>
          <w:color w:val="auto"/>
        </w:rPr>
      </w:pPr>
      <w:r>
        <w:rPr>
          <w:rFonts w:ascii="Arial" w:cs="Arial" w:eastAsia="Arial" w:hAnsi="Arial"/>
          <w:sz w:val="20"/>
          <w:szCs w:val="20"/>
          <w:color w:val="auto"/>
        </w:rPr>
        <w:t>PeopleFirst approach – the talent, skills and dedication of our teams – allows us to confidently manage uncertainty, volatility, collaborate remotely and be more agile than we ever believed possible.</w:t>
      </w:r>
    </w:p>
    <w:p>
      <w:pPr>
        <w:spacing w:after="0" w:line="1" w:lineRule="exact"/>
        <w:rPr>
          <w:sz w:val="20"/>
          <w:szCs w:val="20"/>
          <w:color w:val="auto"/>
        </w:rPr>
      </w:pPr>
    </w:p>
    <w:p>
      <w:pPr>
        <w:jc w:val="both"/>
        <w:ind w:firstLine="790"/>
        <w:spacing w:after="0" w:line="225" w:lineRule="auto"/>
        <w:rPr>
          <w:sz w:val="20"/>
          <w:szCs w:val="20"/>
          <w:color w:val="auto"/>
        </w:rPr>
      </w:pPr>
      <w:r>
        <w:rPr>
          <w:rFonts w:ascii="Arial" w:cs="Arial" w:eastAsia="Arial" w:hAnsi="Arial"/>
          <w:sz w:val="20"/>
          <w:szCs w:val="20"/>
          <w:color w:val="auto"/>
        </w:rPr>
        <w:t>We are pleased with the strategic progress we made in 2020 despite a very difficult operating environment. We enter the new year confident that our strategy to Diversify, Digitize and Innovate continues to position ManpowerGroup for greater success and profitable growth in the future.”</w:t>
      </w:r>
    </w:p>
    <w:p>
      <w:pPr>
        <w:spacing w:after="0" w:line="1" w:lineRule="exact"/>
        <w:rPr>
          <w:sz w:val="20"/>
          <w:szCs w:val="20"/>
          <w:color w:val="auto"/>
        </w:rPr>
      </w:pPr>
    </w:p>
    <w:p>
      <w:pPr>
        <w:jc w:val="both"/>
        <w:ind w:firstLine="790"/>
        <w:spacing w:after="0" w:line="225" w:lineRule="auto"/>
        <w:rPr>
          <w:sz w:val="20"/>
          <w:szCs w:val="20"/>
          <w:color w:val="auto"/>
        </w:rPr>
      </w:pPr>
      <w:r>
        <w:rPr>
          <w:rFonts w:ascii="Arial" w:cs="Arial" w:eastAsia="Arial" w:hAnsi="Arial"/>
          <w:sz w:val="20"/>
          <w:szCs w:val="20"/>
          <w:color w:val="auto"/>
        </w:rPr>
        <w:t>“We anticipate diluted earnings per share in the first quarter will be between $0.64 and $0.72, which includes an estimated favorable currency impact of 7 cents.”</w:t>
      </w:r>
    </w:p>
    <w:p>
      <w:pPr>
        <w:spacing w:after="0" w:line="1" w:lineRule="exact"/>
        <w:rPr>
          <w:sz w:val="20"/>
          <w:szCs w:val="20"/>
          <w:color w:val="auto"/>
        </w:rPr>
      </w:pPr>
    </w:p>
    <w:p>
      <w:pPr>
        <w:jc w:val="both"/>
        <w:ind w:firstLine="790"/>
        <w:spacing w:after="0" w:line="225" w:lineRule="auto"/>
        <w:rPr>
          <w:sz w:val="20"/>
          <w:szCs w:val="20"/>
          <w:color w:val="auto"/>
        </w:rPr>
      </w:pPr>
      <w:r>
        <w:rPr>
          <w:rFonts w:ascii="Arial" w:cs="Arial" w:eastAsia="Arial" w:hAnsi="Arial"/>
          <w:sz w:val="20"/>
          <w:szCs w:val="20"/>
          <w:color w:val="auto"/>
        </w:rPr>
        <w:t>Net earnings for the year ended December 31, 2020 were $23.8 million, or $0.41 per diluted share compared to net earnings of $465.7 million, or net earnings of $7.72 per diluted share in the prior year. The full year period included special items and restructuring costs which reduced earnings per share by $ 3.26. The prior full year period included special items and restructuring costs which increased earnings per share by 4 cents and discrete income tax benefits that increased earnings per share by 23 cents. Revenues for the year were $18.0 billion, a decrease of 14% from prior year on both an as-reported and constant-currency basis. Reported earnings per share for the year were positively impacted 1 cent by changes in foreign currencies compared to the prior year, or 3 cents excluding the special items and restructuring costs.</w:t>
      </w:r>
    </w:p>
    <w:p>
      <w:pPr>
        <w:spacing w:after="0" w:line="3" w:lineRule="exact"/>
        <w:rPr>
          <w:sz w:val="20"/>
          <w:szCs w:val="20"/>
          <w:color w:val="auto"/>
        </w:rPr>
      </w:pPr>
    </w:p>
    <w:p>
      <w:pPr>
        <w:jc w:val="both"/>
        <w:ind w:firstLine="776"/>
        <w:spacing w:after="0" w:line="229" w:lineRule="auto"/>
        <w:rPr>
          <w:sz w:val="20"/>
          <w:szCs w:val="20"/>
          <w:color w:val="auto"/>
        </w:rPr>
      </w:pPr>
      <w:r>
        <w:rPr>
          <w:rFonts w:ascii="Arial" w:cs="Arial" w:eastAsia="Arial" w:hAnsi="Arial"/>
          <w:sz w:val="20"/>
          <w:szCs w:val="20"/>
          <w:color w:val="auto"/>
        </w:rPr>
        <w:t xml:space="preserve">In conjunction with its fourth quarter and full year earnings release, ManpowerGroup will broadcast its conference call live over the Internet on February 2, 2021 at 7:30 a.m. CST (8:30 a.m. EST).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20"/>
          <w:szCs w:val="20"/>
          <w:u w:val="single" w:color="auto"/>
          <w:color w:val="0000FF"/>
        </w:rPr>
        <w:t>http://investor.manpowergroup.com/</w:t>
      </w:r>
      <w:r>
        <w:rPr>
          <w:rFonts w:ascii="Arial" w:cs="Arial" w:eastAsia="Arial" w:hAnsi="Arial"/>
          <w:sz w:val="20"/>
          <w:szCs w:val="20"/>
          <w:color w:val="auto"/>
        </w:rPr>
        <w:t xml:space="preserve"> in the section titled “Investor Relations.”</w:t>
      </w:r>
    </w:p>
    <w:p>
      <w:pPr>
        <w:spacing w:after="0" w:line="104" w:lineRule="exact"/>
        <w:rPr>
          <w:sz w:val="20"/>
          <w:szCs w:val="20"/>
          <w:color w:val="auto"/>
        </w:rPr>
      </w:pPr>
    </w:p>
    <w:p>
      <w:pPr>
        <w:jc w:val="both"/>
        <w:ind w:right="20" w:firstLine="774"/>
        <w:spacing w:after="0" w:line="236" w:lineRule="auto"/>
        <w:rPr>
          <w:sz w:val="20"/>
          <w:szCs w:val="20"/>
          <w:color w:val="auto"/>
        </w:rPr>
      </w:pPr>
      <w:r>
        <w:rPr>
          <w:rFonts w:ascii="Arial" w:cs="Arial" w:eastAsia="Arial" w:hAnsi="Arial"/>
          <w:sz w:val="20"/>
          <w:szCs w:val="20"/>
          <w:color w:val="auto"/>
        </w:rPr>
        <w:t xml:space="preserve">Supplemental financial information referenced in the conference call can be found at </w:t>
      </w:r>
      <w:r>
        <w:rPr>
          <w:rFonts w:ascii="Arial" w:cs="Arial" w:eastAsia="Arial" w:hAnsi="Arial"/>
          <w:sz w:val="20"/>
          <w:szCs w:val="20"/>
          <w:u w:val="single" w:color="auto"/>
          <w:color w:val="0000FF"/>
        </w:rPr>
        <w:t>http://investor.manpowergroup.com/</w:t>
      </w:r>
      <w:r>
        <w:rPr>
          <w:rFonts w:ascii="Arial" w:cs="Arial" w:eastAsia="Arial" w:hAnsi="Arial"/>
          <w:sz w:val="20"/>
          <w:szCs w:val="20"/>
          <w:color w:val="0000FF"/>
        </w:rPr>
        <w:t xml:space="preserve"> </w:t>
      </w:r>
      <w:r>
        <w:rPr>
          <w:rFonts w:ascii="Arial" w:cs="Arial" w:eastAsia="Arial" w:hAnsi="Arial"/>
          <w:sz w:val="20"/>
          <w:szCs w:val="20"/>
          <w:color w:val="000000"/>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ManpowerGroup® (NYSE: </w:t>
      </w:r>
      <w:r>
        <w:rPr>
          <w:rFonts w:ascii="Arial" w:cs="Arial" w:eastAsia="Arial" w:hAnsi="Arial"/>
          <w:sz w:val="18"/>
          <w:szCs w:val="18"/>
          <w:u w:val="single" w:color="auto"/>
          <w:color w:val="auto"/>
        </w:rPr>
        <w:t>MAN</w:t>
      </w:r>
      <w:r>
        <w:rPr>
          <w:rFonts w:ascii="Arial" w:cs="Arial" w:eastAsia="Arial" w:hAnsi="Arial"/>
          <w:sz w:val="18"/>
          <w:szCs w:val="18"/>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news release contains statements, including statements regarding the anticipated financial and operational impacts of the COVID-19 pandemic and related economic conditions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2019, as well as the risks and uncertainties arising from the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8"/>
          <w:szCs w:val="18"/>
          <w:color w:val="auto"/>
        </w:rPr>
        <w:t>global pandemic and related governmental actions that are discussed in the Company’s Quarterly Report on Form 10-Q for the quarter ended March 31, 2020, which information is incorporated herein by reference.</w:t>
      </w:r>
    </w:p>
    <w:p>
      <w:pPr>
        <w:spacing w:after="0" w:line="33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2869565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ManpowerGroup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1"/>
              </w:rPr>
              <w:t>Three Months Ended December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5,054.9</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5,196.6</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4,337.0</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-27.8%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40.6%</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-29.8%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820" w:type="dxa"/>
            <w:vAlign w:val="bottom"/>
            <w:tcBorders>
              <w:bottom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-45.1%</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-43.0%</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20" w:type="dxa"/>
            <w:vAlign w:val="bottom"/>
            <w:tcBorders>
              <w:bottom w:val="single" w:sz="8" w:color="CFF0FC"/>
            </w:tcBorders>
            <w:gridSpan w:val="2"/>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-42.9%</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-3.4%</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820" w:type="dxa"/>
            <w:vAlign w:val="bottom"/>
            <w:tcBorders>
              <w:bottom w:val="single" w:sz="8" w:color="CFF0FC"/>
            </w:tcBorders>
            <w:gridSpan w:val="2"/>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8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-3.6%</w:t>
            </w:r>
          </w:p>
        </w:tc>
        <w:tc>
          <w:tcPr>
            <w:tcW w:w="1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40" w:hanging="532"/>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from services include fees received from our franchise offices of $4.2 million and $4.4 million for the three months ended December 31, 2020 and 2019, respectively. These fees are primarily based on revenues generated by the franchise offices, which were $175.5 million and $141.9 million for the three months ended December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Operating Unit Results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1"/>
              </w:rPr>
              <w:t>Three Months Ended December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-9.8%</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1,085.7</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1,361.8</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360" w:type="dxa"/>
            <w:vAlign w:val="bottom"/>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380.6</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1,174.1</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5,196.6</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Unit Profit: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-11.3%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-15.2%</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-25.8%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-22.1%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-63.6%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231.9</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(32.9)</w:t>
            </w: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-27.8%</w:t>
            </w:r>
          </w:p>
        </w:tc>
        <w:tc>
          <w:tcPr>
            <w:tcW w:w="13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Interest and other expenses, net (b)</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right="40" w:hanging="532"/>
        <w:spacing w:after="0" w:line="286"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 fees received from our franchise offices of $3.8 million and $3.9 million for the three months ended December 31, 2020 and 2019, respectively. These fees are primarily based on revenues generated by the franchise offices, which were $129.7 million and $135.3 million for the three months ended December 31, 2020 and 2019, respectively.</w:t>
      </w:r>
    </w:p>
    <w:p>
      <w:pPr>
        <w:spacing w:after="0" w:line="30" w:lineRule="exact"/>
        <w:rPr>
          <w:rFonts w:ascii="Arial" w:cs="Arial" w:eastAsia="Arial" w:hAnsi="Arial"/>
          <w:sz w:val="17"/>
          <w:szCs w:val="17"/>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components of interest and other expenses, net were: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Miscellaneous income</w:t>
            </w:r>
          </w:p>
        </w:tc>
        <w:tc>
          <w:tcPr>
            <w:tcW w:w="1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0"/>
        </w:trPr>
        <w:tc>
          <w:tcPr>
            <w:tcW w:w="7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ManpowerGroup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w w:val="96"/>
              </w:rPr>
              <w:t>Year Ended December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18,001.0</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20,863.5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17,488.4</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-13.2%</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3,375.1</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5360" w:type="dxa"/>
            <w:vAlign w:val="bottom"/>
          </w:tcPr>
          <w:p>
            <w:pPr>
              <w:ind w:left="260"/>
              <w:spacing w:after="0"/>
              <w:rPr>
                <w:sz w:val="20"/>
                <w:szCs w:val="20"/>
                <w:color w:val="auto"/>
              </w:rPr>
            </w:pPr>
            <w:r>
              <w:rPr>
                <w:rFonts w:ascii="Arial" w:cs="Arial" w:eastAsia="Arial" w:hAnsi="Arial"/>
                <w:sz w:val="18"/>
                <w:szCs w:val="18"/>
                <w:color w:val="auto"/>
              </w:rPr>
              <w:t>Selling and administrative expenses, excluding</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2,666.2</w:t>
            </w:r>
          </w:p>
        </w:tc>
        <w:tc>
          <w:tcPr>
            <w:tcW w:w="240" w:type="dxa"/>
            <w:vAlign w:val="bottom"/>
          </w:tcPr>
          <w:p>
            <w:pPr>
              <w:spacing w:after="0"/>
              <w:rPr>
                <w:sz w:val="20"/>
                <w:szCs w:val="20"/>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impairment charges (b)</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2,637.1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2,730.2</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-70.9%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Interest and other expenses (income),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-78.5%</w:t>
            </w:r>
          </w:p>
        </w:tc>
        <w:tc>
          <w:tcPr>
            <w:tcW w:w="13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-43.7%</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-94.9%</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vMerge w:val="restart"/>
          </w:tcPr>
          <w:p>
            <w:pPr>
              <w:jc w:val="right"/>
              <w:ind w:right="110"/>
              <w:spacing w:after="0"/>
              <w:rPr>
                <w:sz w:val="20"/>
                <w:szCs w:val="20"/>
                <w:color w:val="auto"/>
              </w:rPr>
            </w:pPr>
            <w:r>
              <w:rPr>
                <w:rFonts w:ascii="Arial" w:cs="Arial" w:eastAsia="Arial" w:hAnsi="Arial"/>
                <w:sz w:val="18"/>
                <w:szCs w:val="18"/>
                <w:color w:val="auto"/>
              </w:rPr>
              <w:t>-94.7%</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Borders>
              <w:bottom w:val="single" w:sz="8" w:color="CFF0FC"/>
            </w:tcBorders>
          </w:tcPr>
          <w:p>
            <w:pPr>
              <w:spacing w:after="0"/>
              <w:rPr>
                <w:sz w:val="21"/>
                <w:szCs w:val="21"/>
                <w:color w:val="auto"/>
              </w:rPr>
            </w:pPr>
          </w:p>
        </w:tc>
        <w:tc>
          <w:tcPr>
            <w:tcW w:w="1580" w:type="dxa"/>
            <w:vAlign w:val="bottom"/>
            <w:tcBorders>
              <w:bottom w:val="single" w:sz="8" w:color="CFF0FC"/>
            </w:tcBorders>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-94.7%</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vMerge w:val="restart"/>
          </w:tcPr>
          <w:p>
            <w:pPr>
              <w:jc w:val="right"/>
              <w:ind w:right="110"/>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Borders>
              <w:bottom w:val="single" w:sz="8" w:color="CFF0FC"/>
            </w:tcBorders>
          </w:tcPr>
          <w:p>
            <w:pPr>
              <w:spacing w:after="0"/>
              <w:rPr>
                <w:sz w:val="21"/>
                <w:szCs w:val="21"/>
                <w:color w:val="auto"/>
              </w:rPr>
            </w:pPr>
          </w:p>
        </w:tc>
        <w:tc>
          <w:tcPr>
            <w:tcW w:w="1580" w:type="dxa"/>
            <w:vAlign w:val="bottom"/>
            <w:tcBorders>
              <w:bottom w:val="single" w:sz="8" w:color="CFF0FC"/>
            </w:tcBorders>
            <w:vMerge w:val="continue"/>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-3.4%</w:t>
            </w:r>
          </w:p>
        </w:tc>
        <w:tc>
          <w:tcPr>
            <w:tcW w:w="1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40" w:hanging="532"/>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from services include fees received from our franchise offices of $14.1 million and $18.4 million for the years ended December 31, 2020 and 2019, respectively. These fees are primarily based on revenues generated by the franchise offices, which were $622.8 million and $822.1 million for the years ended December 31, 2020 and 2019, respectively.</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goodwill impairment charges for both the years ended December 31, 2020 and 2019 relate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Operating Unit Results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w w:val="96"/>
              </w:rPr>
              <w:t>Year Ended December 31</w:t>
            </w:r>
          </w:p>
        </w:tc>
        <w:tc>
          <w:tcPr>
            <w:tcW w:w="1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 Variance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Constant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Reported</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2,327.2</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-13.2%</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5360" w:type="dxa"/>
            <w:vAlign w:val="bottom"/>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1,508.3</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9,194.4</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-14.6%</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-10.5%</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18,001.0</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20,863.5</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-13.7%</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Unit Profit (Loss):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-43.0%</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00"/>
              <w:spacing w:after="0"/>
              <w:rPr>
                <w:sz w:val="20"/>
                <w:szCs w:val="20"/>
                <w:color w:val="auto"/>
              </w:rPr>
            </w:pPr>
            <w:r>
              <w:rPr>
                <w:rFonts w:ascii="Arial" w:cs="Arial" w:eastAsia="Arial" w:hAnsi="Arial"/>
                <w:sz w:val="18"/>
                <w:szCs w:val="18"/>
                <w:color w:val="auto"/>
              </w:rPr>
              <w:t>France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284.9</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-47.7%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-65.0%</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-48.0%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19"/>
                <w:szCs w:val="19"/>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(121.9)</w:t>
            </w: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w:t>
            </w: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24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-70.9%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(expenses) income, net (b)</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00" w:hanging="532"/>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 fees received from our franchise offices of $12.6 million and $15.6 million for the years ended December 31, 2020 and 2019, respectively. These fees are primarily based on revenues generated by the franchise offices, which were $445.4 million and $607.6 million for the years ended December 31, 2020 and 2019, respectively.</w:t>
      </w:r>
    </w:p>
    <w:p>
      <w:pPr>
        <w:spacing w:after="0" w:line="48"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components of interest and other expenses (income), net were: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6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5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Miscellaneous expense (income) (c)</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5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spacing w:after="0"/>
              <w:rPr>
                <w:sz w:val="19"/>
                <w:szCs w:val="19"/>
                <w:color w:val="auto"/>
              </w:rPr>
            </w:pPr>
          </w:p>
        </w:tc>
        <w:tc>
          <w:tcPr>
            <w:tcW w:w="256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26"/>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2019 includes an $80.0 million gain related to our acquisition of the remaining controlling interest of our Swiss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Dec. 31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Dec.31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4"/>
          </w:tcPr>
          <w:p>
            <w:pPr>
              <w:jc w:val="right"/>
              <w:ind w:right="69"/>
              <w:spacing w:after="0"/>
              <w:rPr>
                <w:sz w:val="20"/>
                <w:szCs w:val="20"/>
                <w:color w:val="auto"/>
              </w:rPr>
            </w:pPr>
            <w:r>
              <w:rPr>
                <w:rFonts w:ascii="Arial" w:cs="Arial" w:eastAsia="Arial" w:hAnsi="Arial"/>
                <w:sz w:val="18"/>
                <w:szCs w:val="18"/>
                <w:color w:val="auto"/>
              </w:rPr>
              <w:t>(Unaudited)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1,567.1</w:t>
            </w:r>
          </w:p>
        </w:tc>
        <w:tc>
          <w:tcPr>
            <w:tcW w:w="3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69"/>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assets: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Land, buildings, leasehold improvements and equipment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property and equipment</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9,346.2</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9,223.8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2,527.4</w:t>
            </w:r>
          </w:p>
        </w:tc>
        <w:tc>
          <w:tcPr>
            <w:tcW w:w="300" w:type="dxa"/>
            <w:vAlign w:val="bottom"/>
          </w:tcPr>
          <w:p>
            <w:pPr>
              <w:spacing w:after="0"/>
              <w:rPr>
                <w:sz w:val="19"/>
                <w:szCs w:val="19"/>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compensation payable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taxes and insurance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Value added taxes payable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maturities of long-term debt</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liabilities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(397.3)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(3,954.2)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ManpowerGroup shareholders' equity</w:t>
            </w:r>
          </w:p>
        </w:tc>
        <w:tc>
          <w:tcPr>
            <w:tcW w:w="14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1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4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1" w:name="page12"/>
    <w:bookmarkEnd w:id="11"/>
    <w:p>
      <w:pPr>
        <w:ind w:left="5000"/>
        <w:spacing w:after="0"/>
        <w:rPr>
          <w:sz w:val="20"/>
          <w:szCs w:val="20"/>
          <w:color w:val="auto"/>
        </w:rPr>
      </w:pPr>
      <w:r>
        <w:rPr>
          <w:rFonts w:ascii="Arial" w:cs="Arial" w:eastAsia="Arial" w:hAnsi="Arial"/>
          <w:sz w:val="18"/>
          <w:szCs w:val="18"/>
          <w:color w:val="auto"/>
        </w:rPr>
        <w:t>ManpowerGroup</w:t>
      </w:r>
    </w:p>
    <w:p>
      <w:pPr>
        <w:spacing w:after="0" w:line="5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89"/>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(Unaudited)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earnings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gain on disposition of previously held equity interest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(80.4)</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Non-cash gain on disposition of previously held controlling interest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goodwill and other impairment charges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Non-cash operating lease right-of-use assets impairment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(80.2)</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Cash provided by operating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Acquisitions of businesses, net of cash acquired</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Impact to cash resulting from deconsolidation of subsidiaries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Cash used in investing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Net change in short-term borrowings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long-term debt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Repayments of long-term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Payments of contingent consideration for acquisitions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Proceeds from share-based awards and sale of subsidiaries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Payments to noncontrolling interests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share-based award transactions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Repurchases of common stock</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(264.7)</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(203.0)</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(129.1)</w:t>
            </w:r>
          </w:p>
        </w:tc>
        <w:tc>
          <w:tcPr>
            <w:tcW w:w="4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(129.3)</w:t>
            </w: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Cash used in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(435.2)</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1,025.8</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1,567.1</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40"/>
          </w:cols>
          <w:pgMar w:left="320" w:top="341"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95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2021-02-02T06:47:43Z</dcterms:created>
  <dcterms:modified xsi:type="dcterms:W3CDTF">2021-02-02T06:47:43Z</dcterms:modified>
</cp:coreProperties>
</file>