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101,577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17, 2026 and were settled in shares of ManpowerGroup common stock on a 1 for 1 basis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13,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3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2026-02-19T17:07:05Z</dcterms:created>
  <dcterms:modified xsi:type="dcterms:W3CDTF">2026-02-19T17:07:05Z</dcterms:modified>
</cp:coreProperties>
</file>