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January 30, 2024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33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45"/>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20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8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693420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5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On January 30, 2024, we issued a press release announcing our results of operations for the three and twelve months ended December 31, 2023 and 2022.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4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7"/>
        </w:trPr>
        <w:tc>
          <w:tcPr>
            <w:tcW w:w="20" w:type="dxa"/>
            <w:vAlign w:val="bottom"/>
          </w:tcPr>
          <w:p>
            <w:pPr>
              <w:spacing w:after="0"/>
              <w:rPr>
                <w:sz w:val="13"/>
                <w:szCs w:val="13"/>
                <w:color w:val="auto"/>
              </w:rPr>
            </w:pPr>
          </w:p>
        </w:tc>
        <w:tc>
          <w:tcPr>
            <w:tcW w:w="7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Press Release dated January 30, 2024</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Presentation materials for January 30, 2024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2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765"/>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449"/>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Dated:January 30, 2024</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86"/>
        </w:trPr>
        <w:tc>
          <w:tcPr>
            <w:tcW w:w="72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860" w:type="dxa"/>
            <w:vAlign w:val="bottom"/>
          </w:tcPr>
          <w:p>
            <w:pPr>
              <w:ind w:left="280"/>
              <w:spacing w:after="0" w:line="182"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T. McGinnis</w:t>
            </w:r>
          </w:p>
        </w:tc>
      </w:tr>
      <w:tr>
        <w:trPr>
          <w:trHeight w:val="203"/>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961"/>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
        <w:spacing w:after="0"/>
        <w:tabs>
          <w:tab w:leader="none" w:pos="676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244"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Nick Hengst</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+1.414.906.7356</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200" w:lineRule="exact"/>
        <w:rPr>
          <w:sz w:val="20"/>
          <w:szCs w:val="20"/>
          <w:color w:val="auto"/>
        </w:rPr>
      </w:pPr>
    </w:p>
    <w:p>
      <w:pPr>
        <w:spacing w:after="0" w:line="24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2023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$4.6 billion (-4% as reported, -5% constant currency)</w:t>
      </w:r>
    </w:p>
    <w:p>
      <w:pPr>
        <w:spacing w:after="0" w:line="83"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Continuation of challenging environment in North America and Europe during the quarter, solid demand in LATAM and APME</w:t>
      </w:r>
    </w:p>
    <w:p>
      <w:pPr>
        <w:spacing w:after="0" w:line="99"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17.5%. Staffing margins remained resilient; permanent recruitment trends were stable at lower levels in second half of the year</w:t>
      </w:r>
    </w:p>
    <w:p>
      <w:pPr>
        <w:spacing w:after="0" w:line="29" w:lineRule="exact"/>
        <w:rPr>
          <w:rFonts w:ascii="Times New Roman" w:cs="Times New Roman" w:eastAsia="Times New Roman" w:hAnsi="Times New Roman"/>
          <w:sz w:val="17"/>
          <w:szCs w:val="17"/>
          <w:color w:val="auto"/>
        </w:rPr>
      </w:pPr>
    </w:p>
    <w:p>
      <w:pPr>
        <w:ind w:left="1125"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Non-cash goodwill impairment charge of $55 million; restructuring charges of $90 million include wind down costs on Germany Proservia business</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$50 million of common stock repurchased during the quarter</w:t>
      </w:r>
    </w:p>
    <w:p>
      <w:pPr>
        <w:spacing w:after="0" w:line="192" w:lineRule="exact"/>
        <w:rPr>
          <w:sz w:val="20"/>
          <w:szCs w:val="20"/>
          <w:color w:val="auto"/>
        </w:rPr>
      </w:pPr>
    </w:p>
    <w:p>
      <w:pPr>
        <w:jc w:val="both"/>
        <w:ind w:left="5"/>
        <w:spacing w:after="0"/>
        <w:rPr>
          <w:sz w:val="20"/>
          <w:szCs w:val="20"/>
          <w:color w:val="auto"/>
        </w:rPr>
      </w:pPr>
      <w:r>
        <w:rPr>
          <w:rFonts w:ascii="Arial" w:cs="Arial" w:eastAsia="Arial" w:hAnsi="Arial"/>
          <w:sz w:val="17"/>
          <w:szCs w:val="17"/>
          <w:b w:val="1"/>
          <w:bCs w:val="1"/>
          <w:color w:val="auto"/>
        </w:rPr>
        <w:t xml:space="preserve">MILWAUKEE, January 30, 2024 -- </w:t>
      </w:r>
      <w:r>
        <w:rPr>
          <w:rFonts w:ascii="Arial" w:cs="Arial" w:eastAsia="Arial" w:hAnsi="Arial"/>
          <w:sz w:val="17"/>
          <w:szCs w:val="17"/>
          <w:color w:val="auto"/>
        </w:rPr>
        <w:t>ManpowerGroup (NYSE: MAN) today reported net losses of $1.73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2023 compared to net earnings of $0.95 per diluted share in the prior year period. Net losses in the quarter were $84.5 million compared to net earnings of $48.7 million a year earlier. Revenues for the fourth quarter were $4.6 billion, a 4% decrease from the prior year period.</w:t>
      </w:r>
    </w:p>
    <w:p>
      <w:pPr>
        <w:spacing w:after="0" w:line="188" w:lineRule="exact"/>
        <w:rPr>
          <w:sz w:val="20"/>
          <w:szCs w:val="20"/>
          <w:color w:val="auto"/>
        </w:rPr>
      </w:pPr>
    </w:p>
    <w:p>
      <w:pPr>
        <w:jc w:val="both"/>
        <w:ind w:left="5" w:right="20" w:firstLine="315"/>
        <w:spacing w:after="0" w:line="201" w:lineRule="auto"/>
        <w:rPr>
          <w:sz w:val="20"/>
          <w:szCs w:val="20"/>
          <w:color w:val="auto"/>
        </w:rPr>
      </w:pPr>
      <w:r>
        <w:rPr>
          <w:rFonts w:ascii="Arial" w:cs="Arial" w:eastAsia="Arial" w:hAnsi="Arial"/>
          <w:sz w:val="17"/>
          <w:szCs w:val="17"/>
          <w:color w:val="auto"/>
        </w:rPr>
        <w:t>The current year quarter included restructuring costs, and certain non-cash charges including goodwill and other impairment charge, pension settlements and Argentina related currency translation losses</w:t>
      </w:r>
      <w:r>
        <w:rPr>
          <w:rFonts w:ascii="Arial" w:cs="Arial" w:eastAsia="Arial" w:hAnsi="Arial"/>
          <w:sz w:val="23"/>
          <w:szCs w:val="23"/>
          <w:color w:val="auto"/>
          <w:vertAlign w:val="superscript"/>
        </w:rPr>
        <w:t>[1]</w:t>
      </w:r>
      <w:r>
        <w:rPr>
          <w:rFonts w:ascii="Arial" w:cs="Arial" w:eastAsia="Arial" w:hAnsi="Arial"/>
          <w:sz w:val="17"/>
          <w:szCs w:val="17"/>
          <w:color w:val="auto"/>
        </w:rPr>
        <w:t>. These items reduced earnings per share by $3.18 in the current quarter. Excluding these items, earnings per share was $1.45 per diluted share in the quarter representing a decrease of 30% in constant currency.</w:t>
      </w:r>
      <w:r>
        <w:rPr>
          <w:rFonts w:ascii="Arial" w:cs="Arial" w:eastAsia="Arial" w:hAnsi="Arial"/>
          <w:sz w:val="23"/>
          <w:szCs w:val="23"/>
          <w:color w:val="auto"/>
          <w:vertAlign w:val="superscript"/>
        </w:rPr>
        <w:t>[2]</w:t>
      </w:r>
    </w:p>
    <w:p>
      <w:pPr>
        <w:ind w:left="305"/>
        <w:spacing w:after="0" w:line="189"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compared to the prior year period.</w:t>
      </w:r>
    </w:p>
    <w:p>
      <w:pPr>
        <w:spacing w:after="0" w:line="1" w:lineRule="exact"/>
        <w:rPr>
          <w:sz w:val="20"/>
          <w:szCs w:val="20"/>
          <w:color w:val="auto"/>
        </w:rPr>
      </w:pPr>
    </w:p>
    <w:p>
      <w:pPr>
        <w:ind w:left="5"/>
        <w:spacing w:after="0"/>
        <w:rPr>
          <w:sz w:val="20"/>
          <w:szCs w:val="20"/>
          <w:color w:val="auto"/>
        </w:rPr>
      </w:pPr>
      <w:r>
        <w:rPr>
          <w:rFonts w:ascii="Arial" w:cs="Arial" w:eastAsia="Arial" w:hAnsi="Arial"/>
          <w:sz w:val="17"/>
          <w:szCs w:val="17"/>
          <w:color w:val="auto"/>
        </w:rPr>
        <w:t>On a constant currency basis, revenues decreased 5% compared to the prior year period.</w:t>
      </w:r>
    </w:p>
    <w:p>
      <w:pPr>
        <w:spacing w:after="0" w:line="372" w:lineRule="exact"/>
        <w:rPr>
          <w:sz w:val="20"/>
          <w:szCs w:val="20"/>
          <w:color w:val="auto"/>
        </w:rPr>
      </w:pPr>
    </w:p>
    <w:p>
      <w:pPr>
        <w:ind w:left="5" w:right="160" w:hanging="5"/>
        <w:spacing w:after="0" w:line="226" w:lineRule="auto"/>
        <w:tabs>
          <w:tab w:leader="none" w:pos="152"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Argentina is required to be treated as a hyperinflationary economy and the currency translation losses reflect the devaluation of the Argentine peso during the quarter.</w:t>
      </w:r>
    </w:p>
    <w:p>
      <w:pPr>
        <w:spacing w:after="0" w:line="1" w:lineRule="exact"/>
        <w:rPr>
          <w:rFonts w:ascii="Arial" w:cs="Arial" w:eastAsia="Arial" w:hAnsi="Arial"/>
          <w:sz w:val="20"/>
          <w:szCs w:val="20"/>
          <w:color w:val="auto"/>
          <w:vertAlign w:val="superscript"/>
        </w:rPr>
      </w:pPr>
    </w:p>
    <w:p>
      <w:pPr>
        <w:ind w:left="5" w:right="60" w:hanging="5"/>
        <w:spacing w:after="0" w:line="215" w:lineRule="auto"/>
        <w:tabs>
          <w:tab w:leader="none" w:pos="166"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restructuring costs, integration costs from the U.S. Experis acquisition, and special items related to losses on business exits and non-cash goodwill impairment and pension settlement charges which reduced earnings per share by $1.13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0" w:right="319" w:bottom="1440" w:gutter="0" w:footer="0" w:header="0"/>
        </w:sectPr>
      </w:pPr>
    </w:p>
    <w:bookmarkStart w:id="4" w:name="page5"/>
    <w:bookmarkEnd w:id="4"/>
    <w:p>
      <w:pPr>
        <w:jc w:val="both"/>
        <w:ind w:left="5" w:firstLine="315"/>
        <w:spacing w:after="0" w:line="239" w:lineRule="auto"/>
        <w:rPr>
          <w:sz w:val="20"/>
          <w:szCs w:val="20"/>
          <w:color w:val="auto"/>
        </w:rPr>
      </w:pPr>
      <w:r>
        <w:rPr>
          <w:rFonts w:ascii="Arial" w:cs="Arial" w:eastAsia="Arial" w:hAnsi="Arial"/>
          <w:sz w:val="17"/>
          <w:szCs w:val="17"/>
          <w:color w:val="auto"/>
        </w:rPr>
        <w:t xml:space="preserve">Jonas Prising, ManpowerGroup Chairman &amp; CEO, said, “Our fourth quarter and full year results reflect a challenging operating environment in North America and Europe, while we continued to see solid demand across Latin America and Asia Pacific Middle East. During 2023, we progressed our </w:t>
      </w:r>
      <w:r>
        <w:rPr>
          <w:rFonts w:ascii="Arial" w:cs="Arial" w:eastAsia="Arial" w:hAnsi="Arial"/>
          <w:sz w:val="17"/>
          <w:szCs w:val="17"/>
          <w:i w:val="1"/>
          <w:iCs w:val="1"/>
          <w:color w:val="auto"/>
        </w:rPr>
        <w:t>Diversification, Digitization and Innovation</w:t>
      </w:r>
      <w:r>
        <w:rPr>
          <w:rFonts w:ascii="Arial" w:cs="Arial" w:eastAsia="Arial" w:hAnsi="Arial"/>
          <w:sz w:val="17"/>
          <w:szCs w:val="17"/>
          <w:color w:val="auto"/>
        </w:rPr>
        <w:t xml:space="preserve"> agenda and took significant actions to improve our business for today’s environment and into the future. We are confident in our ability to navigate this kind of environment and ensure we are well positioned for profitable growth when demand improves.</w:t>
      </w:r>
    </w:p>
    <w:p>
      <w:pPr>
        <w:spacing w:after="0" w:line="1" w:lineRule="exact"/>
        <w:rPr>
          <w:sz w:val="20"/>
          <w:szCs w:val="20"/>
          <w:color w:val="auto"/>
        </w:rPr>
      </w:pPr>
    </w:p>
    <w:p>
      <w:pPr>
        <w:jc w:val="both"/>
        <w:ind w:left="5" w:right="20" w:firstLine="751"/>
        <w:spacing w:after="0" w:line="232" w:lineRule="auto"/>
        <w:rPr>
          <w:sz w:val="20"/>
          <w:szCs w:val="20"/>
          <w:color w:val="auto"/>
        </w:rPr>
      </w:pPr>
      <w:r>
        <w:rPr>
          <w:rFonts w:ascii="Arial" w:cs="Arial" w:eastAsia="Arial" w:hAnsi="Arial"/>
          <w:sz w:val="17"/>
          <w:szCs w:val="17"/>
          <w:color w:val="auto"/>
        </w:rPr>
        <w:t>We anticipate diluted earnings per share in the first quarter will be between $0.88 and $0.98, which includes an estimated unfavorable currency impact of 2 cents and excludes unfavorable operating losses for the run-off of our Proservia business estimated at 14 cents. Our guidance excludes restructuring costs and any Argentina related impact of non-cash currency translation losses.”</w:t>
      </w:r>
    </w:p>
    <w:p>
      <w:pPr>
        <w:spacing w:after="0" w:line="1" w:lineRule="exact"/>
        <w:rPr>
          <w:sz w:val="20"/>
          <w:szCs w:val="20"/>
          <w:color w:val="auto"/>
        </w:rPr>
      </w:pPr>
    </w:p>
    <w:p>
      <w:pPr>
        <w:jc w:val="both"/>
        <w:ind w:left="5" w:firstLine="315"/>
        <w:spacing w:after="0" w:line="225" w:lineRule="auto"/>
        <w:rPr>
          <w:sz w:val="20"/>
          <w:szCs w:val="20"/>
          <w:color w:val="auto"/>
        </w:rPr>
      </w:pPr>
      <w:r>
        <w:rPr>
          <w:rFonts w:ascii="Arial" w:cs="Arial" w:eastAsia="Arial" w:hAnsi="Arial"/>
          <w:sz w:val="17"/>
          <w:szCs w:val="17"/>
          <w:color w:val="auto"/>
        </w:rPr>
        <w:t>Net earnings for the year ended December 31, 2023 were $ 88.8 million, or net earnings of $ 1.76 per diluted share compared to net earnings of $373.8 million, or net earnings of $7.08 per diluted share in the prior year, respectively. The full year period included restructuring costs, a loss on sale of our Philippines business, a non-cash goodwill and other impairment charge, pension settlements and an Argentina related non-cash currency translation losses which reduced earnings per share by $4.28. Excluding the net impact of these charges, earnings per share for the year was $6.04 per diluted share representing a decrease of 28% in constant currency.</w:t>
      </w:r>
      <w:r>
        <w:rPr>
          <w:rFonts w:ascii="Arial" w:cs="Arial" w:eastAsia="Arial" w:hAnsi="Arial"/>
          <w:sz w:val="23"/>
          <w:szCs w:val="23"/>
          <w:color w:val="auto"/>
          <w:vertAlign w:val="superscript"/>
        </w:rPr>
        <w:t>[4]</w:t>
      </w:r>
      <w:r>
        <w:rPr>
          <w:rFonts w:ascii="Arial" w:cs="Arial" w:eastAsia="Arial" w:hAnsi="Arial"/>
          <w:sz w:val="17"/>
          <w:szCs w:val="17"/>
          <w:color w:val="auto"/>
        </w:rPr>
        <w:t xml:space="preserve"> Revenues for the year were $18.9 billion, representing a decrease of 5% compared to the prior year or a decrease of 4% in constant currency. Earnings per share for the year were negatively impacted by 14 cents due to changes in foreign currencies compared to the prior year.</w:t>
      </w:r>
    </w:p>
    <w:p>
      <w:pPr>
        <w:spacing w:after="0" w:line="1" w:lineRule="exact"/>
        <w:rPr>
          <w:sz w:val="20"/>
          <w:szCs w:val="20"/>
          <w:color w:val="auto"/>
        </w:rPr>
      </w:pPr>
    </w:p>
    <w:p>
      <w:pPr>
        <w:jc w:val="both"/>
        <w:ind w:left="5" w:firstLine="315"/>
        <w:spacing w:after="0" w:line="237" w:lineRule="auto"/>
        <w:rPr>
          <w:sz w:val="20"/>
          <w:szCs w:val="20"/>
          <w:color w:val="auto"/>
        </w:rPr>
      </w:pPr>
      <w:r>
        <w:rPr>
          <w:rFonts w:ascii="Arial" w:cs="Arial" w:eastAsia="Arial" w:hAnsi="Arial"/>
          <w:sz w:val="17"/>
          <w:szCs w:val="17"/>
          <w:color w:val="auto"/>
        </w:rPr>
        <w:t>In conjunction with its fourth quarter earnings release, ManpowerGroup will broadcast its conference call live over the Internet on January 30, 2024 at 7:30 a.m. central time (8:30 a.m. eastern time). Prepared remarks for the conference call, webcast details, presentation and recordings are included within the Investor Relations section of manpowergroup.com.</w:t>
      </w:r>
    </w:p>
    <w:p>
      <w:pPr>
        <w:ind w:left="305"/>
        <w:spacing w:after="0"/>
        <w:tabs>
          <w:tab w:leader="none" w:pos="7305" w:val="left"/>
        </w:tabs>
        <w:rPr>
          <w:sz w:val="20"/>
          <w:szCs w:val="20"/>
          <w:color w:val="auto"/>
        </w:rPr>
      </w:pPr>
      <w:r>
        <w:rPr>
          <w:rFonts w:ascii="Arial" w:cs="Arial" w:eastAsia="Arial" w:hAnsi="Arial"/>
          <w:sz w:val="17"/>
          <w:szCs w:val="17"/>
          <w:color w:val="auto"/>
        </w:rPr>
        <w:t>Supplemental financial information referenced in the conference call can be found at</w:t>
      </w:r>
      <w:r>
        <w:rPr>
          <w:sz w:val="20"/>
          <w:szCs w:val="20"/>
          <w:color w:val="auto"/>
        </w:rPr>
        <w:tab/>
      </w:r>
      <w:r>
        <w:rPr>
          <w:rFonts w:ascii="Arial" w:cs="Arial" w:eastAsia="Arial" w:hAnsi="Arial"/>
          <w:sz w:val="17"/>
          <w:szCs w:val="17"/>
          <w:color w:val="0000FF"/>
        </w:rPr>
        <w:t>http://investor.manpowergroup.com/</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5" w:hanging="165"/>
        <w:spacing w:after="0"/>
        <w:tabs>
          <w:tab w:leader="none" w:pos="165"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foreign currency impact to earnings per share was 1 cent better than the impact anticipated in our fourth quarter guidance.</w:t>
      </w:r>
    </w:p>
    <w:p>
      <w:pPr>
        <w:ind w:left="5" w:right="60" w:hanging="5"/>
        <w:spacing w:after="0" w:line="215" w:lineRule="auto"/>
        <w:tabs>
          <w:tab w:leader="none" w:pos="166"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integration costs from the U.S. Experis acquisition, restructuring costs, and special items related to losses on business exits and non-cash goodwill impairment and pension settlement charges which reduced earnings per share by $1.44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414655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2023 ManpowerGroup was named one of the World's Most Ethical Companies for the 14th time – all confirming our position as the brand of choice for in-demand talent. For more information, visit www.manpowergroup.com.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press release contains statements, including statements regarding economic and geopolitical uncertainty, financial outlook, including any residual costs resulting from the wind-down of the Proservia business in Germany, labor demand, including demand for green skills and the impact of AI on the labor market, the outlook for our business in the regions in which we operate as well as key countries within those regions, the Company’s strategic initiatives and technology investments, including transformation programs, and the positioning of future growth for our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2022, which information is incorporated herein by reference.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6"/>
                <w:szCs w:val="16"/>
                <w:color w:val="auto"/>
              </w:rPr>
              <w:t>website at</w:t>
            </w:r>
          </w:p>
        </w:tc>
        <w:tc>
          <w:tcPr>
            <w:tcW w:w="10040" w:type="dxa"/>
            <w:vAlign w:val="bottom"/>
          </w:tcPr>
          <w:p>
            <w:pPr>
              <w:jc w:val="right"/>
              <w:ind w:right="7901"/>
              <w:spacing w:after="0"/>
              <w:rPr>
                <w:sz w:val="20"/>
                <w:szCs w:val="20"/>
                <w:color w:val="auto"/>
              </w:rPr>
            </w:pPr>
            <w:r>
              <w:rPr>
                <w:rFonts w:ascii="Arial" w:cs="Arial" w:eastAsia="Arial" w:hAnsi="Arial"/>
                <w:sz w:val="16"/>
                <w:szCs w:val="16"/>
                <w:color w:val="auto"/>
              </w:rPr>
              <w:t>manpowergroup.com.</w:t>
            </w:r>
          </w:p>
        </w:tc>
      </w:tr>
      <w:tr>
        <w:trPr>
          <w:trHeight w:val="826"/>
        </w:trPr>
        <w:tc>
          <w:tcPr>
            <w:tcW w:w="1220" w:type="dxa"/>
            <w:vAlign w:val="bottom"/>
          </w:tcPr>
          <w:p>
            <w:pPr>
              <w:spacing w:after="0"/>
              <w:rPr>
                <w:sz w:val="24"/>
                <w:szCs w:val="24"/>
                <w:color w:val="auto"/>
              </w:rPr>
            </w:pPr>
          </w:p>
        </w:tc>
        <w:tc>
          <w:tcPr>
            <w:tcW w:w="10040" w:type="dxa"/>
            <w:vAlign w:val="bottom"/>
          </w:tcPr>
          <w:p>
            <w:pPr>
              <w:jc w:val="right"/>
              <w:ind w:right="5701"/>
              <w:spacing w:after="0"/>
              <w:rPr>
                <w:sz w:val="20"/>
                <w:szCs w:val="20"/>
                <w:color w:val="auto"/>
              </w:rPr>
            </w:pPr>
            <w:r>
              <w:rPr>
                <w:rFonts w:ascii="Arial" w:cs="Arial" w:eastAsia="Arial" w:hAnsi="Arial"/>
                <w:sz w:val="16"/>
                <w:szCs w:val="16"/>
                <w:color w:val="auto"/>
              </w:rPr>
              <w:t>###</w:t>
            </w:r>
          </w:p>
        </w:tc>
      </w:tr>
      <w:tr>
        <w:trPr>
          <w:trHeight w:val="864"/>
        </w:trPr>
        <w:tc>
          <w:tcPr>
            <w:tcW w:w="122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 w:name="page7"/>
    <w:bookmarkEnd w:id="6"/>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7"/>
              </w:rPr>
              <w:t>Three Months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w w:val="94"/>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4"/>
          </w:tcPr>
          <w:p>
            <w:pPr>
              <w:jc w:val="center"/>
              <w:ind w:left="74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191"/>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5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excluding goodwill impairment charges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18"/>
        </w:trPr>
        <w:tc>
          <w:tcPr>
            <w:tcW w:w="5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Goodwill impairment charges (b)</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3"/>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tcBorders>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8"/>
                <w:szCs w:val="18"/>
                <w:color w:val="auto"/>
              </w:rPr>
            </w:pP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(loss) profit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(39.5 )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-139.2 %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-134.8 %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48.2 %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earnings before income taxes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-160.8 %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-155.1 %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-28.9 %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earnings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(84.5 )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-273.7 %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-257.5 %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(loss) earnings per share - basic</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-281.0 %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(loss) earnings per share - diluted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-283.4 %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-266.2 %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-4.0 %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-5.3 %</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-2297430</wp:posOffset>
            </wp:positionV>
            <wp:extent cx="714946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-2019300</wp:posOffset>
            </wp:positionV>
            <wp:extent cx="714946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-1343660</wp:posOffset>
            </wp:positionV>
            <wp:extent cx="714946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-1493520</wp:posOffset>
            </wp:positionV>
            <wp:extent cx="749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-1493520</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157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7149465" cy="157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749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749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40" w:hanging="505"/>
        <w:spacing w:after="0" w:line="247" w:lineRule="auto"/>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$3.8 million for both the three months ended December 31, 2023 and 2022. These fees are primarily based on revenues generated by the franchise offices, which were $251.5 million and $253.6 million for the three months ended December 31, 2023 and 2022, respectively.</w:t>
      </w:r>
    </w:p>
    <w:p>
      <w:pPr>
        <w:ind w:left="505" w:hanging="505"/>
        <w:spacing w:after="0"/>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charges for the three months ended December 31, 2023 and 2022 relate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12" w:right="279" w:bottom="1440" w:gutter="0" w:footer="0" w:header="0"/>
        </w:sectPr>
      </w:pPr>
    </w:p>
    <w:bookmarkStart w:id="7" w:name="page8"/>
    <w:bookmarkEnd w:id="7"/>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7"/>
              </w:rPr>
              <w:t>Three Months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4"/>
          </w:tcPr>
          <w:p>
            <w:pPr>
              <w:jc w:val="center"/>
              <w:ind w:left="74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-14.3 %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194"/>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4,652.3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(21.8 )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-57.4 %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-57.4 %</w:t>
            </w:r>
          </w:p>
        </w:tc>
        <w:tc>
          <w:tcPr>
            <w:tcW w:w="0" w:type="dxa"/>
            <w:vAlign w:val="bottom"/>
          </w:tcPr>
          <w:p>
            <w:pPr>
              <w:spacing w:after="0"/>
              <w:rPr>
                <w:sz w:val="1"/>
                <w:szCs w:val="1"/>
                <w:color w:val="auto"/>
              </w:rPr>
            </w:pPr>
          </w:p>
        </w:tc>
      </w:tr>
      <w:tr>
        <w:trPr>
          <w:trHeight w:val="219"/>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37.6 %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-37.9 %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05"/>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-21.0 %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-21.8 %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-14.1 %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(81.4 )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-622.3 %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-609.2 %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(42.9 )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(42.2 )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charges (b)</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(55.1 )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(loss) profit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(39.5 )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-139.2 %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-134.8 %</w:t>
            </w:r>
          </w:p>
        </w:tc>
        <w:tc>
          <w:tcPr>
            <w:tcW w:w="0" w:type="dxa"/>
            <w:vAlign w:val="bottom"/>
          </w:tcPr>
          <w:p>
            <w:pPr>
              <w:spacing w:after="0"/>
              <w:rPr>
                <w:sz w:val="1"/>
                <w:szCs w:val="1"/>
                <w:color w:val="auto"/>
              </w:rPr>
            </w:pPr>
          </w:p>
        </w:tc>
      </w:tr>
      <w:tr>
        <w:trPr>
          <w:trHeight w:val="21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net (c)</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(15.5 )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earnings before income taxes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-4448810</wp:posOffset>
            </wp:positionV>
            <wp:extent cx="714946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-3893185</wp:posOffset>
            </wp:positionV>
            <wp:extent cx="714946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-3336925</wp:posOffset>
            </wp:positionV>
            <wp:extent cx="7149465"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-1654810</wp:posOffset>
            </wp:positionV>
            <wp:extent cx="7149465" cy="135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-4170680</wp:posOffset>
            </wp:positionV>
            <wp:extent cx="7149465"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-3622675</wp:posOffset>
            </wp:positionV>
            <wp:extent cx="7149465"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-2924175</wp:posOffset>
            </wp:positionV>
            <wp:extent cx="749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-2924175</wp:posOffset>
            </wp:positionV>
            <wp:extent cx="749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-2773680</wp:posOffset>
            </wp:positionV>
            <wp:extent cx="7149465" cy="157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-2210435</wp:posOffset>
            </wp:positionV>
            <wp:extent cx="7149465"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-1377315</wp:posOffset>
            </wp:positionV>
            <wp:extent cx="7149465"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-1099185</wp:posOffset>
            </wp:positionV>
            <wp:extent cx="7149465"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-415925</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-415925</wp:posOffset>
            </wp:positionV>
            <wp:extent cx="74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-137795</wp:posOffset>
            </wp:positionV>
            <wp:extent cx="749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-137795</wp:posOffset>
            </wp:positionV>
            <wp:extent cx="749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3810</wp:posOffset>
            </wp:positionV>
            <wp:extent cx="175704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5" w:lineRule="exact"/>
        <w:rPr>
          <w:sz w:val="20"/>
          <w:szCs w:val="20"/>
          <w:color w:val="auto"/>
        </w:rPr>
      </w:pPr>
    </w:p>
    <w:p>
      <w:pPr>
        <w:ind w:left="506" w:right="320" w:hanging="506"/>
        <w:spacing w:after="0" w:line="254" w:lineRule="auto"/>
        <w:tabs>
          <w:tab w:leader="none" w:pos="36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$3.0 million and $3.1 million for the three months ended December 31, 2023 and 2022, respectively. These fees are primarily based on revenues generated by the franchise offices, which were $99.0 million and $115.3 million for the three months ended December 31, 2023 and 2022, respectively.</w:t>
      </w:r>
    </w:p>
    <w:p>
      <w:pPr>
        <w:ind w:left="386" w:hanging="386"/>
        <w:spacing w:after="0"/>
        <w:tabs>
          <w:tab w:leader="none" w:pos="38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charges for the three months ended December 31, 2023 and 2022 relate to our investment in the Netherlands.</w:t>
      </w:r>
    </w:p>
    <w:p>
      <w:pPr>
        <w:spacing w:after="0" w:line="5"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-604520</wp:posOffset>
            </wp:positionV>
            <wp:extent cx="175704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7"/>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shd w:val="clear" w:color="auto" w:fill="CFF0FC"/>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FF0FC"/>
          </w:tcPr>
          <w:p>
            <w:pPr>
              <w:spacing w:after="0"/>
              <w:rPr>
                <w:sz w:val="17"/>
                <w:szCs w:val="17"/>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 loss</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r>
      <w:tr>
        <w:trPr>
          <w:trHeight w:val="245"/>
        </w:trPr>
        <w:tc>
          <w:tcPr>
            <w:tcW w:w="73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857"/>
        </w:trPr>
        <w:tc>
          <w:tcPr>
            <w:tcW w:w="7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-592455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-577850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-592455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-577850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12" w:right="279" w:bottom="1440" w:gutter="0" w:footer="0" w:header="0"/>
        </w:sectPr>
      </w:pPr>
    </w:p>
    <w:bookmarkStart w:id="8" w:name="page9"/>
    <w:bookmarkEnd w:id="8"/>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w w:val="94"/>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4"/>
          </w:tcPr>
          <w:p>
            <w:pPr>
              <w:jc w:val="center"/>
              <w:ind w:left="60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18,914.5</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5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excluding goodwill impairment charges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 charges (b)</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3"/>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tcBorders>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8"/>
                <w:szCs w:val="18"/>
                <w:color w:val="auto"/>
              </w:rPr>
            </w:pP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-56.0 %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-53.3 %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102.8 %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-63.0 %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-60.0 %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-36.1 %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-76.3 %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-74.3 %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-75.1 %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-75.1 %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-73.1 %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-4.5 %</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-2297430</wp:posOffset>
            </wp:positionV>
            <wp:extent cx="7149465" cy="135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-2019300</wp:posOffset>
            </wp:positionV>
            <wp:extent cx="7149465" cy="135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-1343660</wp:posOffset>
            </wp:positionV>
            <wp:extent cx="7149465" cy="135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-1493520</wp:posOffset>
            </wp:positionV>
            <wp:extent cx="749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-1493520</wp:posOffset>
            </wp:positionV>
            <wp:extent cx="749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157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7149465" cy="157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749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749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60" w:hanging="505"/>
        <w:spacing w:after="0" w:line="247" w:lineRule="auto"/>
        <w:tabs>
          <w:tab w:leader="none" w:pos="5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$14.8 million and $15.7 million for the years ended December 31, 2023 and 2022, respectively. These fees are primarily based on revenues generated by the franchise offices, which were $995.8 million and $1,058.4 million for the years ended December 31, 2023 and 2022, respectively.</w:t>
      </w:r>
    </w:p>
    <w:p>
      <w:pPr>
        <w:ind w:left="505" w:hanging="505"/>
        <w:spacing w:after="0"/>
        <w:tabs>
          <w:tab w:leader="none" w:pos="5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charges for the years ended December 31, 2023 and 2022 relate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666115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12" w:right="279" w:bottom="1440" w:gutter="0" w:footer="0" w:header="0"/>
        </w:sectPr>
      </w:pPr>
    </w:p>
    <w:bookmarkStart w:id="9" w:name="page10"/>
    <w:bookmarkEnd w:id="9"/>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4"/>
          </w:tcPr>
          <w:p>
            <w:pPr>
              <w:jc w:val="center"/>
              <w:ind w:left="60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2,961.6</w:t>
            </w:r>
          </w:p>
        </w:tc>
        <w:tc>
          <w:tcPr>
            <w:tcW w:w="120" w:type="dxa"/>
            <w:vAlign w:val="bottom"/>
          </w:tcPr>
          <w:p>
            <w:pPr>
              <w:spacing w:after="0"/>
              <w:rPr>
                <w:sz w:val="18"/>
                <w:szCs w:val="18"/>
                <w:color w:val="auto"/>
              </w:rPr>
            </w:pPr>
          </w:p>
        </w:tc>
        <w:tc>
          <w:tcPr>
            <w:tcW w:w="4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-15.4 %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94"/>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19,000.4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19,907.6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(85.9 )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Pr>
          <w:p>
            <w:pPr>
              <w:spacing w:after="0"/>
              <w:rPr>
                <w:sz w:val="17"/>
                <w:szCs w:val="17"/>
                <w:color w:val="auto"/>
              </w:rPr>
            </w:pPr>
          </w:p>
        </w:tc>
        <w:tc>
          <w:tcPr>
            <w:tcW w:w="4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-54.2 %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0" w:type="dxa"/>
            <w:vAlign w:val="bottom"/>
          </w:tcPr>
          <w:p>
            <w:pPr>
              <w:spacing w:after="0"/>
              <w:rPr>
                <w:sz w:val="1"/>
                <w:szCs w:val="1"/>
                <w:color w:val="auto"/>
              </w:rPr>
            </w:pPr>
          </w:p>
        </w:tc>
      </w:tr>
      <w:tr>
        <w:trPr>
          <w:trHeight w:val="219"/>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-41.4 %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0" w:type="dxa"/>
            <w:vAlign w:val="bottom"/>
          </w:tcPr>
          <w:p>
            <w:pPr>
              <w:spacing w:after="0"/>
              <w:rPr>
                <w:sz w:val="1"/>
                <w:szCs w:val="1"/>
                <w:color w:val="auto"/>
              </w:rPr>
            </w:pPr>
          </w:p>
        </w:tc>
      </w:tr>
      <w:tr>
        <w:trPr>
          <w:trHeight w:val="205"/>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-17.0 %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-29.4 %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-13.4 %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(116.7 )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-375.0 %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-363.8 %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(153.7 )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(157.0 )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charges (b)</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(55.1 )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(34.6 )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(37.1 )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-56.0 %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0" w:type="dxa"/>
            <w:vAlign w:val="bottom"/>
          </w:tcPr>
          <w:p>
            <w:pPr>
              <w:spacing w:after="0"/>
              <w:rPr>
                <w:sz w:val="1"/>
                <w:szCs w:val="1"/>
                <w:color w:val="auto"/>
              </w:rPr>
            </w:pPr>
          </w:p>
        </w:tc>
      </w:tr>
      <w:tr>
        <w:trPr>
          <w:trHeight w:val="21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net (c)</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(49.9 )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0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-4448810</wp:posOffset>
            </wp:positionV>
            <wp:extent cx="7149465" cy="135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-3893185</wp:posOffset>
            </wp:positionV>
            <wp:extent cx="7149465" cy="135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-3336925</wp:posOffset>
            </wp:positionV>
            <wp:extent cx="7149465" cy="135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-1654810</wp:posOffset>
            </wp:positionV>
            <wp:extent cx="7149465" cy="135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-4170680</wp:posOffset>
            </wp:positionV>
            <wp:extent cx="7149465"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-3622675</wp:posOffset>
            </wp:positionV>
            <wp:extent cx="7149465"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-2924175</wp:posOffset>
            </wp:positionV>
            <wp:extent cx="7493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-2924175</wp:posOffset>
            </wp:positionV>
            <wp:extent cx="7493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-2773680</wp:posOffset>
            </wp:positionV>
            <wp:extent cx="7149465" cy="157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-2210435</wp:posOffset>
            </wp:positionV>
            <wp:extent cx="7149465"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-1377315</wp:posOffset>
            </wp:positionV>
            <wp:extent cx="7149465"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-1099185</wp:posOffset>
            </wp:positionV>
            <wp:extent cx="7149465"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-415925</wp:posOffset>
            </wp:positionV>
            <wp:extent cx="7493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-415925</wp:posOffset>
            </wp:positionV>
            <wp:extent cx="7493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-137795</wp:posOffset>
            </wp:positionV>
            <wp:extent cx="749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-137795</wp:posOffset>
            </wp:positionV>
            <wp:extent cx="7493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3810</wp:posOffset>
            </wp:positionV>
            <wp:extent cx="175704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5" w:lineRule="exact"/>
        <w:rPr>
          <w:sz w:val="20"/>
          <w:szCs w:val="20"/>
          <w:color w:val="auto"/>
        </w:rPr>
      </w:pPr>
    </w:p>
    <w:p>
      <w:pPr>
        <w:ind w:left="506" w:right="100" w:hanging="506"/>
        <w:spacing w:after="0" w:line="254" w:lineRule="auto"/>
        <w:tabs>
          <w:tab w:leader="none" w:pos="36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$11.9 million and $12.8 million for the years ended December 31, 2023 and 2022, respectively. These fees are primarily based on revenues generated by the franchise offices, which were $397.7 million and $476.1 million for the years ended December 31, 2023 and 2022, respectively.</w:t>
      </w:r>
    </w:p>
    <w:p>
      <w:pPr>
        <w:ind w:left="386" w:hanging="386"/>
        <w:spacing w:after="0"/>
        <w:tabs>
          <w:tab w:leader="none" w:pos="38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charges for the years ended December 31, 2023 and 2022 relate to our investment in the Netherlands.</w:t>
      </w:r>
    </w:p>
    <w:p>
      <w:pPr>
        <w:spacing w:after="0" w:line="5"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-604520</wp:posOffset>
            </wp:positionV>
            <wp:extent cx="175704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08"/>
        </w:trPr>
        <w:tc>
          <w:tcPr>
            <w:tcW w:w="7360" w:type="dxa"/>
            <w:vAlign w:val="bottom"/>
          </w:tcPr>
          <w:p>
            <w:pPr>
              <w:spacing w:after="0"/>
              <w:rPr>
                <w:sz w:val="18"/>
                <w:szCs w:val="18"/>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5"/>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c>
          <w:tcPr>
            <w:tcW w:w="60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r>
      <w:tr>
        <w:trPr>
          <w:trHeight w:val="213"/>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(17.4 )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(16.3 )</w:t>
            </w:r>
          </w:p>
        </w:tc>
      </w:tr>
      <w:tr>
        <w:trPr>
          <w:trHeight w:val="205"/>
        </w:trPr>
        <w:tc>
          <w:tcPr>
            <w:tcW w:w="7360" w:type="dxa"/>
            <w:vAlign w:val="bottom"/>
            <w:tcBorders>
              <w:top w:val="single" w:sz="8" w:color="CFF0FC"/>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top w:val="single" w:sz="8" w:color="CFF0FC"/>
            </w:tcBorders>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57"/>
        </w:trPr>
        <w:tc>
          <w:tcPr>
            <w:tcW w:w="7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-735330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-735330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12" w:right="279" w:bottom="1440" w:gutter="0" w:footer="0" w:header="0"/>
        </w:sectPr>
      </w:pPr>
    </w:p>
    <w:bookmarkStart w:id="10" w:name="page11"/>
    <w:bookmarkEnd w:id="10"/>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7"/>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(Unaudited)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5,137.4</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5,934.4</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3,083.8</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17"/>
                <w:szCs w:val="17"/>
                <w:color w:val="auto"/>
              </w:rPr>
            </w:pPr>
          </w:p>
        </w:tc>
      </w:tr>
      <w:tr>
        <w:trPr>
          <w:trHeight w:val="245"/>
        </w:trPr>
        <w:tc>
          <w:tcPr>
            <w:tcW w:w="73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8,830.2</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20" w:type="dxa"/>
            <w:vAlign w:val="bottom"/>
            <w:shd w:val="clear" w:color="auto" w:fill="CFF0FC"/>
          </w:tcPr>
          <w:p>
            <w:pPr>
              <w:spacing w:after="0"/>
              <w:rPr>
                <w:sz w:val="21"/>
                <w:szCs w:val="21"/>
                <w:color w:val="auto"/>
              </w:rPr>
            </w:pPr>
          </w:p>
        </w:tc>
      </w:tr>
      <w:tr>
        <w:trPr>
          <w:trHeight w:val="189"/>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15"/>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4,911.7</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20" w:type="dxa"/>
            <w:vAlign w:val="bottom"/>
          </w:tcPr>
          <w:p>
            <w:pPr>
              <w:spacing w:after="0"/>
              <w:rPr>
                <w:sz w:val="18"/>
                <w:szCs w:val="18"/>
                <w:color w:val="auto"/>
              </w:rPr>
            </w:pPr>
          </w:p>
        </w:tc>
      </w:tr>
      <w:tr>
        <w:trPr>
          <w:trHeight w:val="208"/>
        </w:trPr>
        <w:tc>
          <w:tcPr>
            <w:tcW w:w="7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120" w:type="dxa"/>
            <w:vAlign w:val="bottom"/>
            <w:shd w:val="clear" w:color="auto" w:fill="CFF0FC"/>
          </w:tcPr>
          <w:p>
            <w:pPr>
              <w:spacing w:after="0"/>
              <w:rPr>
                <w:sz w:val="18"/>
                <w:szCs w:val="18"/>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3,868.5</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(466.0 )</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(458.7 )</w:t>
            </w: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w:t>
            </w:r>
          </w:p>
        </w:tc>
        <w:tc>
          <w:tcPr>
            <w:tcW w:w="2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(4,639.8 )</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(4,447.9 )</w:t>
            </w:r>
          </w:p>
        </w:tc>
      </w:tr>
      <w:tr>
        <w:trPr>
          <w:trHeight w:val="205"/>
        </w:trPr>
        <w:tc>
          <w:tcPr>
            <w:tcW w:w="7360" w:type="dxa"/>
            <w:vAlign w:val="bottom"/>
            <w:tcBorders>
              <w:bottom w:val="single" w:sz="8" w:color="CFF0FC"/>
            </w:tcBorders>
            <w:shd w:val="clear" w:color="auto" w:fill="CFF0FC"/>
          </w:tcPr>
          <w:p>
            <w:pPr>
              <w:jc w:val="right"/>
              <w:ind w:right="4101"/>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r>
      <w:tr>
        <w:trPr>
          <w:trHeight w:val="205"/>
        </w:trPr>
        <w:tc>
          <w:tcPr>
            <w:tcW w:w="7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2,458.1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60" w:type="dxa"/>
            <w:vAlign w:val="bottom"/>
          </w:tcPr>
          <w:p>
            <w:pPr>
              <w:jc w:val="right"/>
              <w:ind w:right="4101"/>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8,830.2</w:t>
            </w:r>
          </w:p>
        </w:tc>
        <w:tc>
          <w:tcPr>
            <w:tcW w:w="1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2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57"/>
        </w:trPr>
        <w:tc>
          <w:tcPr>
            <w:tcW w:w="7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-5691505</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-5691505</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-4872990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-4872990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-4324985</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-4324985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-4039870</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-4024630</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-4039870</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-4024630</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-2935605</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-2935605</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-1020445</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-1020445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-735330</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-735330</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1" w:name="page12"/>
    <w:bookmarkEnd w:id="11"/>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600" w:type="dxa"/>
            <w:vAlign w:val="bottom"/>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4"/>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1100" w:type="dxa"/>
            <w:vAlign w:val="bottom"/>
          </w:tcPr>
          <w:p>
            <w:pPr>
              <w:jc w:val="right"/>
              <w:ind w:right="9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Loss on sales of subsidiaries, net</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goodwill and other impairment charges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(20.6 )</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(45.2 )</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r>
      <w:tr>
        <w:trPr>
          <w:trHeight w:val="213"/>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(247.9 )</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(216.0 )</w:t>
            </w:r>
          </w:p>
        </w:tc>
      </w:tr>
      <w:tr>
        <w:trPr>
          <w:trHeight w:val="205"/>
        </w:trPr>
        <w:tc>
          <w:tcPr>
            <w:tcW w:w="7600" w:type="dxa"/>
            <w:vAlign w:val="bottom"/>
            <w:tcBorders>
              <w:top w:val="single" w:sz="8" w:color="CFF0FC"/>
            </w:tcBorders>
          </w:tcPr>
          <w:p>
            <w:pPr>
              <w:ind w:left="9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20" w:type="dxa"/>
            <w:vAlign w:val="bottom"/>
            <w:tcBorders>
              <w:top w:val="single" w:sz="8" w:color="CFF0FC"/>
            </w:tcBorders>
          </w:tcPr>
          <w:p>
            <w:pPr>
              <w:spacing w:after="0"/>
              <w:rPr>
                <w:sz w:val="17"/>
                <w:szCs w:val="17"/>
                <w:color w:val="auto"/>
              </w:rPr>
            </w:pP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Capital expenditures</w:t>
            </w: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(78.2 )</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(75.6 )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the sales of subsidiaries and property and equipment</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r>
      <w:tr>
        <w:trPr>
          <w:trHeight w:val="205"/>
        </w:trPr>
        <w:tc>
          <w:tcPr>
            <w:tcW w:w="76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(74.1 )</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(85.3 )</w:t>
            </w:r>
          </w:p>
        </w:tc>
      </w:tr>
      <w:tr>
        <w:trPr>
          <w:trHeight w:val="206"/>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5"/>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(12.8 )</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repayments of revolving debt facility</w:t>
            </w:r>
          </w:p>
        </w:tc>
        <w:tc>
          <w:tcPr>
            <w:tcW w:w="1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(75.0 )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(412.2 )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derivative settlement</w:t>
            </w:r>
          </w:p>
        </w:tc>
        <w:tc>
          <w:tcPr>
            <w:tcW w:w="1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(10.4 )</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(179.8 )</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(270.0 )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Dividends paid</w:t>
            </w:r>
          </w:p>
        </w:tc>
        <w:tc>
          <w:tcPr>
            <w:tcW w:w="1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(144.3 )</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(139.9 )</w:t>
            </w:r>
          </w:p>
        </w:tc>
      </w:tr>
      <w:tr>
        <w:trPr>
          <w:trHeight w:val="20"/>
        </w:trPr>
        <w:tc>
          <w:tcPr>
            <w:tcW w:w="7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76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1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(349.5 )</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(482.1 )</w:t>
            </w:r>
          </w:p>
        </w:tc>
      </w:tr>
      <w:tr>
        <w:trPr>
          <w:trHeight w:val="20"/>
        </w:trPr>
        <w:tc>
          <w:tcPr>
            <w:tcW w:w="76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(64.7 )</w:t>
            </w:r>
          </w:p>
        </w:tc>
      </w:tr>
      <w:tr>
        <w:trPr>
          <w:trHeight w:val="20"/>
        </w:trPr>
        <w:tc>
          <w:tcPr>
            <w:tcW w:w="7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(57.7 )</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(208.8 )</w:t>
            </w: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20" w:type="dxa"/>
            <w:vAlign w:val="bottom"/>
          </w:tcPr>
          <w:p>
            <w:pPr>
              <w:spacing w:after="0"/>
              <w:rPr>
                <w:sz w:val="18"/>
                <w:szCs w:val="18"/>
                <w:color w:val="auto"/>
              </w:rPr>
            </w:pPr>
          </w:p>
        </w:tc>
      </w:tr>
      <w:tr>
        <w:trPr>
          <w:trHeight w:val="245"/>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10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shd w:val="clear" w:color="auto" w:fill="CFF0FC"/>
          </w:tcPr>
          <w:p>
            <w:pPr>
              <w:spacing w:after="0"/>
              <w:rPr>
                <w:sz w:val="21"/>
                <w:szCs w:val="21"/>
                <w:color w:val="auto"/>
              </w:rPr>
            </w:pPr>
          </w:p>
        </w:tc>
      </w:tr>
      <w:tr>
        <w:trPr>
          <w:trHeight w:val="857"/>
        </w:trPr>
        <w:tc>
          <w:tcPr>
            <w:tcW w:w="7600" w:type="dxa"/>
            <w:vAlign w:val="bottom"/>
            <w:tcBorders>
              <w:top w:val="single" w:sz="8" w:color="CFF0FC"/>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-3896995</wp:posOffset>
            </wp:positionV>
            <wp:extent cx="7493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-3896995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-3063240</wp:posOffset>
            </wp:positionV>
            <wp:extent cx="7493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-3063240</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-1155700</wp:posOffset>
            </wp:positionV>
            <wp:extent cx="7493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-1155700</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-592455</wp:posOffset>
            </wp:positionV>
            <wp:extent cx="7493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-577850</wp:posOffset>
            </wp:positionV>
            <wp:extent cx="749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-592455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-577850</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2024-01-30T06:54:32Z</dcterms:created>
  <dcterms:modified xsi:type="dcterms:W3CDTF">2024-01-30T06:54:32Z</dcterms:modified>
</cp:coreProperties>
</file>