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pursuant to Rule 424(b)(3)</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22"/>
          <w:szCs w:val="22"/>
          <w:color w:val="auto"/>
        </w:rPr>
        <w:t>Registration No. 333-87554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1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1,500,000 Shares</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Manpower Inc.</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12" w:lineRule="exact"/>
        <w:rPr>
          <w:sz w:val="24"/>
          <w:szCs w:val="24"/>
          <w:color w:val="auto"/>
        </w:rPr>
      </w:pPr>
    </w:p>
    <w:p>
      <w:pPr>
        <w:jc w:val="both"/>
        <w:ind w:firstLine="469"/>
        <w:spacing w:after="0" w:line="252" w:lineRule="auto"/>
        <w:rPr>
          <w:sz w:val="20"/>
          <w:szCs w:val="20"/>
          <w:color w:val="auto"/>
        </w:rPr>
      </w:pPr>
      <w:r>
        <w:rPr>
          <w:rFonts w:ascii="Arial" w:cs="Arial" w:eastAsia="Arial" w:hAnsi="Arial"/>
          <w:sz w:val="22"/>
          <w:szCs w:val="22"/>
          <w:color w:val="auto"/>
        </w:rPr>
        <w:t>T</w:t>
      </w:r>
      <w:r>
        <w:rPr>
          <w:rFonts w:ascii="Arial" w:cs="Arial" w:eastAsia="Arial" w:hAnsi="Arial"/>
          <w:sz w:val="17"/>
          <w:szCs w:val="17"/>
          <w:color w:val="auto"/>
        </w:rPr>
        <w:t>his prospectus relates to 1,500,000 shares of common stock which may be offered and issued by us from time to time in connection with our acquisition</w:t>
      </w:r>
      <w:r>
        <w:rPr>
          <w:rFonts w:ascii="Arial" w:cs="Arial" w:eastAsia="Arial" w:hAnsi="Arial"/>
          <w:sz w:val="22"/>
          <w:szCs w:val="22"/>
          <w:color w:val="auto"/>
        </w:rPr>
        <w:t xml:space="preserve"> </w:t>
      </w:r>
      <w:r>
        <w:rPr>
          <w:rFonts w:ascii="Arial" w:cs="Arial" w:eastAsia="Arial" w:hAnsi="Arial"/>
          <w:sz w:val="17"/>
          <w:szCs w:val="17"/>
          <w:color w:val="auto"/>
        </w:rPr>
        <w:t>of businesses or assets of our franchisees, or other businesses or assets. We may structure these acquisitions in a variety of ways, including acquiring stock, other equity interests or assets of the acquired business or merging the acquired business with us or one of our subsidiaries. We expect that the terms of acquisitions will be determined by direct negotiations with the owners or controlling persons of the businesses or assets to be acquired, and that the shares of common stock issued will be valued at prices reasonably related to current market prices at the time that an acquisition is agreed upon, at or about the time of delivery of shares, or at such other time or over such period as may be agreed upon.</w:t>
      </w:r>
    </w:p>
    <w:p>
      <w:pPr>
        <w:spacing w:after="0" w:line="227" w:lineRule="exact"/>
        <w:rPr>
          <w:sz w:val="24"/>
          <w:szCs w:val="24"/>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prospectus, as amended or supplemented, has also been prepared for use by persons who receive shares issued in acquisitions and who wish to offer and sell such shares, on terms then obtainable, in transactions in which they may be deemed underwriters within the meaning of the Securities Act of 1933, as amended, which we refer to as the "Securities Act." See "Resales of Shares."</w:t>
      </w:r>
    </w:p>
    <w:p>
      <w:pPr>
        <w:spacing w:after="0" w:line="22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We will pay all of the expenses of this offering. We do not expect to pay any underwriting discounts or commissions in connection with issuing these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shares.</w:t>
      </w:r>
    </w:p>
    <w:p>
      <w:pPr>
        <w:spacing w:after="0" w:line="246" w:lineRule="exact"/>
        <w:rPr>
          <w:sz w:val="24"/>
          <w:szCs w:val="24"/>
          <w:color w:val="auto"/>
        </w:rPr>
      </w:pPr>
    </w:p>
    <w:p>
      <w:pPr>
        <w:jc w:val="both"/>
        <w:ind w:firstLine="446"/>
        <w:spacing w:after="0" w:line="332" w:lineRule="auto"/>
        <w:rPr>
          <w:sz w:val="20"/>
          <w:szCs w:val="20"/>
          <w:color w:val="auto"/>
        </w:rPr>
      </w:pPr>
      <w:r>
        <w:rPr>
          <w:rFonts w:ascii="Arial" w:cs="Arial" w:eastAsia="Arial" w:hAnsi="Arial"/>
          <w:sz w:val="16"/>
          <w:szCs w:val="16"/>
          <w:color w:val="auto"/>
        </w:rPr>
        <w:t>We may permit individuals or entities that have received or will receive shares of our common stock in connection with the acquisitions described above to use this prospectus to cover resales of those shares. If this happens, we will not receive any proceeds from the resale of such shares.</w:t>
      </w:r>
    </w:p>
    <w:p>
      <w:pPr>
        <w:spacing w:after="0" w:line="166" w:lineRule="exact"/>
        <w:rPr>
          <w:sz w:val="24"/>
          <w:szCs w:val="24"/>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Our common stock is traded on the New York Stock Exchange, Inc., or the NYSE, under the symbol "MAN." Application will be made to list the shares offered hereby on the NYSE. On May 22, 2002, the closing price of our common stock on the NYSE was $41.12 per share.</w:t>
      </w:r>
    </w:p>
    <w:p>
      <w:pPr>
        <w:spacing w:after="0" w:line="167"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You should consider the information set forth in "Risk Factors" beginning on page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3196590</wp:posOffset>
            </wp:positionH>
            <wp:positionV relativeFrom="paragraph">
              <wp:posOffset>259715</wp:posOffset>
            </wp:positionV>
            <wp:extent cx="864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42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both"/>
        <w:ind w:firstLine="459"/>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3196590</wp:posOffset>
            </wp:positionH>
            <wp:positionV relativeFrom="paragraph">
              <wp:posOffset>234950</wp:posOffset>
            </wp:positionV>
            <wp:extent cx="864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42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both"/>
        <w:ind w:firstLine="500"/>
        <w:spacing w:after="0" w:line="306" w:lineRule="auto"/>
        <w:rPr>
          <w:sz w:val="20"/>
          <w:szCs w:val="20"/>
          <w:color w:val="auto"/>
        </w:rPr>
      </w:pPr>
      <w:r>
        <w:rPr>
          <w:rFonts w:ascii="Arial" w:cs="Arial" w:eastAsia="Arial" w:hAnsi="Arial"/>
          <w:sz w:val="16"/>
          <w:szCs w:val="16"/>
          <w:color w:val="auto"/>
        </w:rPr>
        <w:t>This prospectus incorporates by reference important business and financial information about us that is not included in or delivered with this prospectus. See "Incorporation of Information by Reference" on page 12 for a list of documents we have incorporated by reference into this prospectus. These documents are available to you without charge over the Internet at our web site at www.investor.manpower.com, or upon written or oral request made to:</w:t>
      </w:r>
    </w:p>
    <w:p>
      <w:pPr>
        <w:spacing w:after="0" w:line="255"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Manpower Inc.</w:t>
      </w:r>
    </w:p>
    <w:p>
      <w:pPr>
        <w:spacing w:after="0" w:line="15"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P.O. Box 2053</w:t>
      </w:r>
    </w:p>
    <w:p>
      <w:pPr>
        <w:spacing w:after="0" w:line="9"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5301 North Ironwood Road</w:t>
      </w:r>
    </w:p>
    <w:p>
      <w:pPr>
        <w:spacing w:after="0" w:line="9"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Milwaukee, Wisconsin 53201</w:t>
      </w:r>
    </w:p>
    <w:p>
      <w:pPr>
        <w:spacing w:after="0" w:line="9"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Att: Michael J. Van Handel, Corporate Secretary</w:t>
      </w:r>
    </w:p>
    <w:p>
      <w:pPr>
        <w:spacing w:after="0" w:line="9"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Telephone: (414) 961-1000</w:t>
      </w:r>
    </w:p>
    <w:p>
      <w:pPr>
        <w:spacing w:after="0" w:line="334" w:lineRule="exact"/>
        <w:rPr>
          <w:sz w:val="24"/>
          <w:szCs w:val="24"/>
          <w:color w:val="auto"/>
        </w:rPr>
      </w:pPr>
    </w:p>
    <w:p>
      <w:pPr>
        <w:jc w:val="both"/>
        <w:ind w:firstLine="635"/>
        <w:spacing w:after="0" w:line="275" w:lineRule="auto"/>
        <w:rPr>
          <w:sz w:val="20"/>
          <w:szCs w:val="20"/>
          <w:color w:val="auto"/>
        </w:rPr>
      </w:pPr>
      <w:r>
        <w:rPr>
          <w:rFonts w:ascii="Arial" w:cs="Arial" w:eastAsia="Arial" w:hAnsi="Arial"/>
          <w:sz w:val="18"/>
          <w:szCs w:val="18"/>
          <w:b w:val="1"/>
          <w:bCs w:val="1"/>
          <w:color w:val="auto"/>
        </w:rPr>
        <w:t>To ensure timely delivery of the documents, your request should be made at least 5 days prior to the date on which you must make your investment decision.</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May 30, 2002.</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right="900" w:firstLine="432"/>
        <w:spacing w:after="0" w:line="251" w:lineRule="auto"/>
        <w:rPr>
          <w:sz w:val="20"/>
          <w:szCs w:val="20"/>
          <w:color w:val="auto"/>
        </w:rPr>
      </w:pPr>
      <w:r>
        <w:rPr>
          <w:rFonts w:ascii="Arial" w:cs="Arial" w:eastAsia="Arial" w:hAnsi="Arial"/>
          <w:sz w:val="22"/>
          <w:szCs w:val="22"/>
          <w:i w:val="1"/>
          <w:iCs w:val="1"/>
          <w:color w:val="auto"/>
        </w:rPr>
        <w:t>When used in this prospectus, the terms "Manpower," "we," "our," "us" or "the Company" refer to Manpower Inc. or Manpower Inc. and its consolidated subsidiaries, as appropriate in the context.</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12" w:lineRule="exact"/>
        <w:rPr>
          <w:sz w:val="24"/>
          <w:szCs w:val="24"/>
          <w:color w:val="auto"/>
        </w:rPr>
      </w:pPr>
    </w:p>
    <w:p>
      <w:pPr>
        <w:jc w:val="both"/>
        <w:ind w:firstLine="567"/>
        <w:spacing w:after="0"/>
        <w:rPr>
          <w:sz w:val="20"/>
          <w:szCs w:val="20"/>
          <w:color w:val="auto"/>
        </w:rPr>
      </w:pPr>
      <w:r>
        <w:rPr>
          <w:rFonts w:ascii="Arial" w:cs="Arial" w:eastAsia="Arial" w:hAnsi="Arial"/>
          <w:sz w:val="22"/>
          <w:szCs w:val="22"/>
          <w:i w:val="1"/>
          <w:iCs w:val="1"/>
          <w:color w:val="auto"/>
        </w:rPr>
        <w:t>An investment in the shares of common stock involves risks. You should consider carefully the information set forth in this section and all other information provided to you or incorporated by reference in this prospectus before deciding whether to invest in the common stock.</w:t>
      </w:r>
    </w:p>
    <w:p>
      <w:pPr>
        <w:spacing w:after="0" w:line="180" w:lineRule="exact"/>
        <w:rPr>
          <w:sz w:val="24"/>
          <w:szCs w:val="24"/>
          <w:color w:val="auto"/>
        </w:rPr>
      </w:pPr>
    </w:p>
    <w:p>
      <w:pPr>
        <w:jc w:val="both"/>
        <w:ind w:firstLine="621"/>
        <w:spacing w:after="0" w:line="256" w:lineRule="auto"/>
        <w:rPr>
          <w:sz w:val="20"/>
          <w:szCs w:val="20"/>
          <w:color w:val="auto"/>
        </w:rPr>
      </w:pPr>
      <w:r>
        <w:rPr>
          <w:rFonts w:ascii="Arial" w:cs="Arial" w:eastAsia="Arial" w:hAnsi="Arial"/>
          <w:sz w:val="22"/>
          <w:szCs w:val="22"/>
          <w:b w:val="1"/>
          <w:bCs w:val="1"/>
          <w:color w:val="auto"/>
        </w:rPr>
        <w:t>Any significant economic downturn could result in our customers using fewer temporary employees, which would materially adversely affect our business.</w:t>
      </w:r>
    </w:p>
    <w:p>
      <w:pPr>
        <w:sectPr>
          <w:pgSz w:w="11900" w:h="16838" w:orient="portrait"/>
          <w:cols w:equalWidth="0" w:num="1">
            <w:col w:w="11420"/>
          </w:cols>
          <w:pgMar w:left="240" w:top="226" w:right="239" w:bottom="0" w:gutter="0" w:footer="0" w:header="0"/>
        </w:sectPr>
      </w:pPr>
    </w:p>
    <w:bookmarkStart w:id="1" w:name="page2"/>
    <w:bookmarkEnd w:id="1"/>
    <w:p>
      <w:pPr>
        <w:spacing w:after="0" w:line="92"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9"/>
          <w:szCs w:val="19"/>
          <w:color w:val="auto"/>
        </w:rPr>
        <w:t>Because demand for temporary personnel services is sensitive to changes in the level of economic activity, our business may suffer during economic downturns. As economic activity begins to slow down, companies tend to reduce their use of temporary employees before undertaking layoffs of their regular employees, resulting in decreased demand for temporary personnel. Significant declines in demand, and thus in revenues, can result in expense de-leveraging, resulting in lower profit levels. For example, during 2001, our customers across the United States reduced their overall workforce to reflect the slowing demand for their products and services, which in turn significantly reduced our revenues in the United States segment. This revenue decline resulted in expense de-leveraging which significantly impacted the segment profits. We believe that continued economic slowing will continue to challenge revenue and profit growth during 2002. We e xpect earnings in constant currency for 2002 to decline from 2001. Any significant economic downturn, particularly in France and the United States, where we collectively derived 55% of our 2001 revenue, would have a material adverse effect on our business, financial condition, results of operations and liquidity.</w:t>
      </w:r>
    </w:p>
    <w:p>
      <w:pPr>
        <w:spacing w:after="0" w:line="156" w:lineRule="exact"/>
        <w:rPr>
          <w:sz w:val="20"/>
          <w:szCs w:val="20"/>
          <w:color w:val="auto"/>
        </w:rPr>
      </w:pPr>
    </w:p>
    <w:p>
      <w:pPr>
        <w:jc w:val="both"/>
        <w:ind w:right="20" w:firstLine="581"/>
        <w:spacing w:after="0" w:line="256" w:lineRule="auto"/>
        <w:rPr>
          <w:sz w:val="20"/>
          <w:szCs w:val="20"/>
          <w:color w:val="auto"/>
        </w:rPr>
      </w:pPr>
      <w:r>
        <w:rPr>
          <w:rFonts w:ascii="Arial" w:cs="Arial" w:eastAsia="Arial" w:hAnsi="Arial"/>
          <w:sz w:val="22"/>
          <w:szCs w:val="22"/>
          <w:b w:val="1"/>
          <w:bCs w:val="1"/>
          <w:color w:val="auto"/>
        </w:rPr>
        <w:t>The worldwide staffing services industry is highly competitive with limited barriers to entry, which could limit our ability to maintain or increase our market share or profitability.</w:t>
      </w:r>
    </w:p>
    <w:p>
      <w:pPr>
        <w:spacing w:after="0" w:line="169" w:lineRule="exact"/>
        <w:rPr>
          <w:sz w:val="20"/>
          <w:szCs w:val="20"/>
          <w:color w:val="auto"/>
        </w:rPr>
      </w:pPr>
    </w:p>
    <w:p>
      <w:pPr>
        <w:jc w:val="both"/>
        <w:ind w:firstLine="615"/>
        <w:spacing w:after="0" w:line="279" w:lineRule="auto"/>
        <w:rPr>
          <w:sz w:val="20"/>
          <w:szCs w:val="20"/>
          <w:color w:val="auto"/>
        </w:rPr>
      </w:pPr>
      <w:r>
        <w:rPr>
          <w:rFonts w:ascii="Arial" w:cs="Arial" w:eastAsia="Arial" w:hAnsi="Arial"/>
          <w:sz w:val="19"/>
          <w:szCs w:val="19"/>
          <w:color w:val="auto"/>
        </w:rPr>
        <w:t>The worldwide staffing services market is highly competitive with limited barriers to entry, and in recent years has been undergoing significant consolidation. We compete in markets throughout North America, South America, Europe, Australia and Asia with full-service and specialized temporary service agencies. Several of our competitors, including Adecco S.A., Vedior N.V., Randstad Holding N.V. and Kelly Services, Inc., have very substantial marketing and financial resources. Price competition in the staffing industry is intense and pricing pressures from competitors and customers are increasing. We expect that the level of competition will remain high in the future, which could limit our ability to maintain or increase our market share or profitability.</w:t>
      </w:r>
    </w:p>
    <w:p>
      <w:pPr>
        <w:spacing w:after="0" w:line="145" w:lineRule="exact"/>
        <w:rPr>
          <w:sz w:val="20"/>
          <w:szCs w:val="20"/>
          <w:color w:val="auto"/>
        </w:rPr>
      </w:pPr>
    </w:p>
    <w:p>
      <w:pPr>
        <w:jc w:val="both"/>
        <w:ind w:right="20" w:firstLine="716"/>
        <w:spacing w:after="0" w:line="256" w:lineRule="auto"/>
        <w:rPr>
          <w:sz w:val="20"/>
          <w:szCs w:val="20"/>
          <w:color w:val="auto"/>
        </w:rPr>
      </w:pPr>
      <w:r>
        <w:rPr>
          <w:rFonts w:ascii="Arial" w:cs="Arial" w:eastAsia="Arial" w:hAnsi="Arial"/>
          <w:sz w:val="22"/>
          <w:szCs w:val="22"/>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69" w:lineRule="exact"/>
        <w:rPr>
          <w:sz w:val="20"/>
          <w:szCs w:val="20"/>
          <w:color w:val="auto"/>
        </w:rPr>
      </w:pPr>
    </w:p>
    <w:p>
      <w:pPr>
        <w:jc w:val="both"/>
        <w:ind w:firstLine="445"/>
        <w:spacing w:after="0" w:line="235" w:lineRule="auto"/>
        <w:rPr>
          <w:sz w:val="20"/>
          <w:szCs w:val="20"/>
          <w:color w:val="auto"/>
        </w:rPr>
      </w:pPr>
      <w:r>
        <w:rPr>
          <w:rFonts w:ascii="Arial" w:cs="Arial" w:eastAsia="Arial" w:hAnsi="Arial"/>
          <w:sz w:val="22"/>
          <w:szCs w:val="22"/>
          <w:color w:val="auto"/>
        </w:rPr>
        <w:t>In many jurisdictions in which we operate, such as France, Germany and Japan, the temporary employment industry is heavily regulated. For example, governmental regulations in Germany restrict the length of contracts of temporary employees and the industries in which temporary employees may be used. In some countries, special taxes, fees or costs are imposed in connection with the use of temporary workers. For example, temporary workers in France are entitled to a 10% allowance for the precarious nature of employment which is eliminated if a full-time position is offered to them within three days. The countries in which we operate may:</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create additional regulations that prohibit or restrict the types of employment services that we currently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-91440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impose new or additional benefit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require us to obtain additional licensing to provide staffing services;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increase taxes, such as sales or value-added taxes, payable by the providers of staffing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Any future regulations that make it more difficult or expensive for us to continue to provide our staffing services may have a material adverse effect on our financial condition, results of operations and liquidity.</w:t>
      </w:r>
    </w:p>
    <w:p>
      <w:pPr>
        <w:spacing w:after="0" w:line="167"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22"/>
          <w:szCs w:val="22"/>
          <w:b w:val="1"/>
          <w:bCs w:val="1"/>
          <w:color w:val="auto"/>
        </w:rPr>
        <w:t>We are a defendant in a variety of litigation and other actions, which may have a material adverse effect on our business, financial condition and results of operations.</w:t>
      </w:r>
    </w:p>
    <w:p>
      <w:pPr>
        <w:spacing w:after="0" w:line="169"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9"/>
          <w:szCs w:val="19"/>
          <w:color w:val="auto"/>
        </w:rPr>
        <w:t>We and our subsidiaries are regularly involved in a variety of litigation arising out of our business. Occasionally, this litigation can be serious. We cannot assure you that our insurance will cover all claims that may be asserted against us. Should the ultimate judgements or settlements exceed our insurance coverage, they could have a material effect on our results of operations, financial position and cash flows. We also cannot assure you that we will be able to obtain appropriate types or levels of insurance in the future or that adequate replacement policies will be available on acceptable terms, if at all.</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Our acquisition strategy may have a material adverse effect on our business.</w:t>
      </w:r>
    </w:p>
    <w:p>
      <w:pPr>
        <w:spacing w:after="0" w:line="212" w:lineRule="exact"/>
        <w:rPr>
          <w:sz w:val="20"/>
          <w:szCs w:val="20"/>
          <w:color w:val="auto"/>
        </w:rPr>
      </w:pPr>
    </w:p>
    <w:p>
      <w:pPr>
        <w:jc w:val="both"/>
        <w:ind w:firstLine="660"/>
        <w:spacing w:after="0" w:line="238" w:lineRule="auto"/>
        <w:rPr>
          <w:sz w:val="20"/>
          <w:szCs w:val="20"/>
          <w:color w:val="auto"/>
        </w:rPr>
      </w:pPr>
      <w:r>
        <w:rPr>
          <w:rFonts w:ascii="Arial" w:cs="Arial" w:eastAsia="Arial" w:hAnsi="Arial"/>
          <w:sz w:val="22"/>
          <w:szCs w:val="22"/>
          <w:color w:val="auto"/>
        </w:rPr>
        <w:t>We acquired Elan Group Limited in 2000 for a total purchase price of $146.2 million and we acquired Jefferson Wells International, Inc. in 2001 for a purchase price of $174.0 million. In addition, we acquired and invested in other companies during 2001 for a total cost of $95.8 million. We may make acquisitions in the future. Our acquisition strategy involves significant risks, including:</w:t>
      </w:r>
    </w:p>
    <w:p>
      <w:pPr>
        <w:spacing w:after="0" w:line="185" w:lineRule="exact"/>
        <w:rPr>
          <w:sz w:val="20"/>
          <w:szCs w:val="20"/>
          <w:color w:val="auto"/>
        </w:rPr>
      </w:pPr>
    </w:p>
    <w:p>
      <w:pPr>
        <w:ind w:left="1080" w:right="1480"/>
        <w:spacing w:after="0" w:line="435" w:lineRule="auto"/>
        <w:rPr>
          <w:sz w:val="20"/>
          <w:szCs w:val="20"/>
          <w:color w:val="auto"/>
        </w:rPr>
      </w:pPr>
      <w:r>
        <w:rPr>
          <w:rFonts w:ascii="Arial" w:cs="Arial" w:eastAsia="Arial" w:hAnsi="Arial"/>
          <w:sz w:val="22"/>
          <w:szCs w:val="22"/>
          <w:color w:val="auto"/>
        </w:rPr>
        <w:t>difficulties in the assimilation of the operations, services and corporate culture of acquired companies; over-valuation by us of acquired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-520700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-229235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80"/>
        <w:spacing w:after="0" w:line="251" w:lineRule="auto"/>
        <w:rPr>
          <w:sz w:val="20"/>
          <w:szCs w:val="20"/>
          <w:color w:val="auto"/>
        </w:rPr>
      </w:pPr>
      <w:r>
        <w:rPr>
          <w:rFonts w:ascii="Arial" w:cs="Arial" w:eastAsia="Arial" w:hAnsi="Arial"/>
          <w:sz w:val="22"/>
          <w:szCs w:val="22"/>
          <w:color w:val="auto"/>
        </w:rPr>
        <w:t>insufficient indemnification from the selling parties for legal liabilities incurred by the acquired companies prior to the acquisitions;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diversion of management's attention from other business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future acquisitions would likely result in the incurrence of additional debt or dilution, contingent liabilities, an increase in interest expense and amortization expenses related to separately identified intangible assets. In addition, possible impairment losses on goodwill and restructuring charges could occur. Any of these items could have a material adverse effect on our financial</w:t>
      </w:r>
    </w:p>
    <w:p>
      <w:pPr>
        <w:sectPr>
          <w:pgSz w:w="11900" w:h="16931" w:orient="portrait"/>
          <w:cols w:equalWidth="0" w:num="1">
            <w:col w:w="11420"/>
          </w:cols>
          <w:pgMar w:left="240" w:top="118" w:right="239" w:bottom="0" w:gutter="0" w:footer="0" w:header="0"/>
        </w:sectPr>
      </w:pPr>
    </w:p>
    <w:bookmarkStart w:id="2" w:name="page3"/>
    <w:bookmarkEnd w:id="2"/>
    <w:p>
      <w:pPr>
        <w:spacing w:after="0" w:line="12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condition, results of operations and liquidity. For all of these reasons, any future acquisitions or failure to effectively integrate acquired companies could materially adversely affect our business.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Our success depends upon our ability to attract, train and retain qualified personnel.</w:t>
      </w:r>
    </w:p>
    <w:p>
      <w:pPr>
        <w:spacing w:after="0" w:line="212" w:lineRule="exact"/>
        <w:rPr>
          <w:sz w:val="20"/>
          <w:szCs w:val="20"/>
          <w:color w:val="auto"/>
        </w:rPr>
      </w:pPr>
    </w:p>
    <w:p>
      <w:pPr>
        <w:jc w:val="both"/>
        <w:ind w:firstLine="491"/>
        <w:spacing w:after="0" w:line="274" w:lineRule="auto"/>
        <w:rPr>
          <w:sz w:val="20"/>
          <w:szCs w:val="20"/>
          <w:color w:val="auto"/>
        </w:rPr>
      </w:pPr>
      <w:r>
        <w:rPr>
          <w:rFonts w:ascii="Arial" w:cs="Arial" w:eastAsia="Arial" w:hAnsi="Arial"/>
          <w:sz w:val="19"/>
          <w:szCs w:val="19"/>
          <w:color w:val="auto"/>
        </w:rPr>
        <w:t>We depend on our ability to attract and retain qualified temporary personnel who possess the skills and experience necessary to meet the staffing requirements of our clients. We must continually evaluate and upgrade our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 significant expenditures and may not result in the trainees developing effective or adequate skills. We may not be able to develop training programs to respond to our customers' changing needs or retain employees who we have trained. The failure to recruit, train and retain qualified temporary employees could materially adversely affect our business.</w:t>
      </w:r>
    </w:p>
    <w:p>
      <w:pPr>
        <w:spacing w:after="0" w:line="153" w:lineRule="exact"/>
        <w:rPr>
          <w:sz w:val="20"/>
          <w:szCs w:val="20"/>
          <w:color w:val="auto"/>
        </w:rPr>
      </w:pPr>
    </w:p>
    <w:p>
      <w:pPr>
        <w:jc w:val="both"/>
        <w:ind w:firstLine="689"/>
        <w:spacing w:after="0" w:line="256" w:lineRule="auto"/>
        <w:rPr>
          <w:sz w:val="20"/>
          <w:szCs w:val="20"/>
          <w:color w:val="auto"/>
        </w:rPr>
      </w:pPr>
      <w:r>
        <w:rPr>
          <w:rFonts w:ascii="Arial" w:cs="Arial" w:eastAsia="Arial" w:hAnsi="Arial"/>
          <w:sz w:val="22"/>
          <w:szCs w:val="22"/>
          <w:b w:val="1"/>
          <w:bCs w:val="1"/>
          <w:color w:val="auto"/>
        </w:rPr>
        <w:t>We may be exposed to employment-related claims and costs that could materially adversely affect our business, financial condition and results of operations.</w:t>
      </w:r>
    </w:p>
    <w:p>
      <w:pPr>
        <w:spacing w:after="0" w:line="169" w:lineRule="exact"/>
        <w:rPr>
          <w:sz w:val="20"/>
          <w:szCs w:val="20"/>
          <w:color w:val="auto"/>
        </w:rPr>
      </w:pPr>
    </w:p>
    <w:p>
      <w:pPr>
        <w:jc w:val="both"/>
        <w:ind w:firstLine="532"/>
        <w:spacing w:after="0" w:line="251" w:lineRule="auto"/>
        <w:rPr>
          <w:sz w:val="20"/>
          <w:szCs w:val="20"/>
          <w:color w:val="auto"/>
        </w:rPr>
      </w:pPr>
      <w:r>
        <w:rPr>
          <w:rFonts w:ascii="Arial" w:cs="Arial" w:eastAsia="Arial" w:hAnsi="Arial"/>
          <w:sz w:val="22"/>
          <w:szCs w:val="22"/>
          <w:color w:val="auto"/>
        </w:rPr>
        <w:t>We are in the business of employing people and placing them in the workplaces of other businesses. Risks relating to these activities include:</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claims of misconduct or negligence on the part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right="220"/>
        <w:spacing w:after="0" w:line="251" w:lineRule="auto"/>
        <w:rPr>
          <w:sz w:val="20"/>
          <w:szCs w:val="20"/>
          <w:color w:val="auto"/>
        </w:rPr>
      </w:pPr>
      <w:r>
        <w:rPr>
          <w:rFonts w:ascii="Arial" w:cs="Arial" w:eastAsia="Arial" w:hAnsi="Arial"/>
          <w:sz w:val="22"/>
          <w:szCs w:val="22"/>
          <w:color w:val="auto"/>
        </w:rPr>
        <w:t>claims by our employees of discrimination or harassment directed at them, including claims relating to actions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claims related to the employment of illegal aliens or unlicensed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payment of workers' compensation claims and other similar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violations of wage and hour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retroactive entitlement to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9"/>
          <w:szCs w:val="19"/>
          <w:color w:val="auto"/>
        </w:rPr>
        <w:t>errors and omissions of our temporary employees, particularly in the case of professionals, such as accountants;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-76835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1" w:lineRule="exact"/>
        <w:rPr>
          <w:sz w:val="20"/>
          <w:szCs w:val="20"/>
          <w:color w:val="auto"/>
        </w:rPr>
      </w:pPr>
    </w:p>
    <w:p>
      <w:pPr>
        <w:ind w:left="1080" w:right="20"/>
        <w:spacing w:after="0" w:line="251" w:lineRule="auto"/>
        <w:rPr>
          <w:sz w:val="20"/>
          <w:szCs w:val="20"/>
          <w:color w:val="auto"/>
        </w:rPr>
      </w:pPr>
      <w:r>
        <w:rPr>
          <w:rFonts w:ascii="Arial" w:cs="Arial" w:eastAsia="Arial" w:hAnsi="Arial"/>
          <w:sz w:val="22"/>
          <w:szCs w:val="22"/>
          <w:color w:val="auto"/>
        </w:rPr>
        <w:t>claims by our customers relating to our employees' misuse of client proprietary information, misappropriation of funds, other criminal activity or torts or other similar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In some instances, we have agreed to indemnify our customers against some or all of these types of liabilities. We cannot assure you that we will not experience these problems in the future or that our insurance will be sufficient in amount or scope to cover any of these types of liabilities.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If we lose our key personnel, then our business may suffer.</w:t>
      </w:r>
    </w:p>
    <w:p>
      <w:pPr>
        <w:spacing w:after="0" w:line="212"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9"/>
          <w:szCs w:val="19"/>
          <w:color w:val="auto"/>
        </w:rPr>
        <w:t>Our operations are dependent on the continued efforts of our officers and executive management, particularly Jeffrey A. Joerres, our Chairman, President and Chief Executive Officer and Michael J. Van Handel, our Senior Vice President - Chief Financial Officer and Secretary. In addition, we are dependent on the performance and productivity of our local managers and field personnel. Our ability to attract and retain business is significantly affected by local relationships and the quality of service rendered. The loss of those key officers and members of executive management who have acquired significant experience in operating a staffing service on an international level may cause a significant disruption to our business. Moreover, the loss of our key managers and field personnel may jeopardize existing customer relationships with businesses that continue to use our staffing services based upon past relationships with these local managers and field personnel. The loss of such key personnel could materially adversely affect our operations, including our ability to establish and maintain customer relationships.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Foreign currency fluctuations may have a material adverse effect on our operating results.</w:t>
      </w:r>
    </w:p>
    <w:p>
      <w:pPr>
        <w:spacing w:after="0" w:line="212" w:lineRule="exact"/>
        <w:rPr>
          <w:sz w:val="20"/>
          <w:szCs w:val="20"/>
          <w:color w:val="auto"/>
        </w:rPr>
      </w:pPr>
    </w:p>
    <w:p>
      <w:pPr>
        <w:jc w:val="both"/>
        <w:ind w:firstLine="468"/>
        <w:spacing w:after="0" w:line="275" w:lineRule="auto"/>
        <w:rPr>
          <w:sz w:val="20"/>
          <w:szCs w:val="20"/>
          <w:color w:val="auto"/>
        </w:rPr>
      </w:pPr>
      <w:r>
        <w:rPr>
          <w:rFonts w:ascii="Arial" w:cs="Arial" w:eastAsia="Arial" w:hAnsi="Arial"/>
          <w:sz w:val="19"/>
          <w:szCs w:val="19"/>
          <w:color w:val="auto"/>
        </w:rPr>
        <w:t>We conduct our operations in approximately 61 countries and the results of our local operations are reported in the applicable foreign currencies and then translated into U.S. dollars at the applicable foreign currency exchange rates for inclusion in our consolidated financial statements. During 2001, approximately 80% of our revenues and 90% of our operating profits were generated outside of the United States, the majority of which were generated in Europe. Furthermore, approximately $513.6 million of our outstanding indebtedness as of December 31, 2001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risk could have a material adverse effect on our business, financial c ondition, cash flow and results of operations in the future.</w:t>
      </w:r>
    </w:p>
    <w:p>
      <w:pPr>
        <w:spacing w:after="0" w:line="152" w:lineRule="exact"/>
        <w:rPr>
          <w:sz w:val="20"/>
          <w:szCs w:val="20"/>
          <w:color w:val="auto"/>
        </w:rPr>
      </w:pPr>
    </w:p>
    <w:p>
      <w:pPr>
        <w:jc w:val="both"/>
        <w:ind w:firstLine="702"/>
        <w:spacing w:after="0" w:line="335" w:lineRule="auto"/>
        <w:rPr>
          <w:sz w:val="20"/>
          <w:szCs w:val="20"/>
          <w:color w:val="auto"/>
        </w:rPr>
      </w:pPr>
      <w:r>
        <w:rPr>
          <w:rFonts w:ascii="Arial" w:cs="Arial" w:eastAsia="Arial" w:hAnsi="Arial"/>
          <w:sz w:val="19"/>
          <w:szCs w:val="19"/>
          <w:b w:val="1"/>
          <w:bCs w:val="1"/>
          <w:color w:val="auto"/>
        </w:rPr>
        <w:t>As of December 31, 2001, we had approximately $824.6 million of total debt and as of March 31, 2002 we had approximately $827.0 million of total debt. This level of debt could adversely affect our operating flexibility and put us at a</w:t>
      </w:r>
    </w:p>
    <w:p>
      <w:pPr>
        <w:sectPr>
          <w:pgSz w:w="11900" w:h="16967" w:orient="portrait"/>
          <w:cols w:equalWidth="0" w:num="1">
            <w:col w:w="11420"/>
          </w:cols>
          <w:pgMar w:left="240" w:top="118" w:right="239" w:bottom="0" w:gutter="0" w:footer="0" w:header="0"/>
        </w:sectPr>
      </w:pPr>
    </w:p>
    <w:bookmarkStart w:id="3" w:name="page4"/>
    <w:bookmarkEnd w:id="3"/>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competitive disadvantage.</w:t>
      </w:r>
    </w:p>
    <w:p>
      <w:pPr>
        <w:spacing w:after="0" w:line="213" w:lineRule="exact"/>
        <w:rPr>
          <w:sz w:val="20"/>
          <w:szCs w:val="20"/>
          <w:color w:val="auto"/>
        </w:rPr>
      </w:pPr>
    </w:p>
    <w:p>
      <w:pPr>
        <w:jc w:val="both"/>
        <w:ind w:firstLine="436"/>
        <w:spacing w:after="0" w:line="251" w:lineRule="auto"/>
        <w:rPr>
          <w:sz w:val="20"/>
          <w:szCs w:val="20"/>
          <w:color w:val="auto"/>
        </w:rPr>
      </w:pPr>
      <w:r>
        <w:rPr>
          <w:rFonts w:ascii="Arial" w:cs="Arial" w:eastAsia="Arial" w:hAnsi="Arial"/>
          <w:sz w:val="22"/>
          <w:szCs w:val="22"/>
          <w:color w:val="auto"/>
        </w:rPr>
        <w:t>Our level of debt and the limitations imposed on us by our credit agreements could have important consequences for investors, including the following:</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we will have to use a portion of our cash flow from operations for debt service rather than for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-91440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1080" w:right="760"/>
        <w:spacing w:after="0" w:line="251" w:lineRule="auto"/>
        <w:rPr>
          <w:sz w:val="20"/>
          <w:szCs w:val="20"/>
          <w:color w:val="auto"/>
        </w:rPr>
      </w:pPr>
      <w:r>
        <w:rPr>
          <w:rFonts w:ascii="Arial" w:cs="Arial" w:eastAsia="Arial" w:hAnsi="Arial"/>
          <w:sz w:val="22"/>
          <w:szCs w:val="22"/>
          <w:color w:val="auto"/>
        </w:rPr>
        <w:t>we may not be able to obtain additional debt financing for future working capital, capital expenditures or other corporate purposes or may have to pay more for such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right="180"/>
        <w:spacing w:after="0" w:line="251" w:lineRule="auto"/>
        <w:rPr>
          <w:sz w:val="20"/>
          <w:szCs w:val="20"/>
          <w:color w:val="auto"/>
        </w:rPr>
      </w:pPr>
      <w:r>
        <w:rPr>
          <w:rFonts w:ascii="Arial" w:cs="Arial" w:eastAsia="Arial" w:hAnsi="Arial"/>
          <w:sz w:val="22"/>
          <w:szCs w:val="22"/>
          <w:color w:val="auto"/>
        </w:rPr>
        <w:t>some or all of the debt under our current or future revolving credit facilities may be at a variable interest rate, making us more vulnerable to increases in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right="180"/>
        <w:spacing w:after="0" w:line="251" w:lineRule="auto"/>
        <w:rPr>
          <w:sz w:val="20"/>
          <w:szCs w:val="20"/>
          <w:color w:val="auto"/>
        </w:rPr>
      </w:pPr>
      <w:r>
        <w:rPr>
          <w:rFonts w:ascii="Arial" w:cs="Arial" w:eastAsia="Arial" w:hAnsi="Arial"/>
          <w:sz w:val="22"/>
          <w:szCs w:val="22"/>
          <w:color w:val="auto"/>
        </w:rPr>
        <w:t>we could be less able to take advantage of significant business opportunities, such as acquisition opportunities, and to react to changes in market or industry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1080" w:right="2940"/>
        <w:spacing w:after="0" w:line="504" w:lineRule="auto"/>
        <w:rPr>
          <w:sz w:val="20"/>
          <w:szCs w:val="20"/>
          <w:color w:val="auto"/>
        </w:rPr>
      </w:pPr>
      <w:r>
        <w:rPr>
          <w:rFonts w:ascii="Arial" w:cs="Arial" w:eastAsia="Arial" w:hAnsi="Arial"/>
          <w:sz w:val="19"/>
          <w:szCs w:val="19"/>
          <w:color w:val="auto"/>
        </w:rPr>
        <w:t>we will be more vulnerable to general adverse economic and industry conditions; and we may be disadvantaged compared to competitors with less leverage.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-521335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-229235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firstLine="463"/>
        <w:spacing w:after="0" w:line="251" w:lineRule="auto"/>
        <w:rPr>
          <w:sz w:val="20"/>
          <w:szCs w:val="20"/>
          <w:color w:val="auto"/>
        </w:rPr>
      </w:pPr>
      <w:r>
        <w:rPr>
          <w:rFonts w:ascii="Arial" w:cs="Arial" w:eastAsia="Arial" w:hAnsi="Arial"/>
          <w:sz w:val="22"/>
          <w:szCs w:val="22"/>
          <w:color w:val="auto"/>
        </w:rPr>
        <w:t>The terms of our revolving credit facilities permit additional borrowings, subject to certain conditions. If new debt is added to our current debt levels, the related risks we now face could intensify.</w:t>
      </w:r>
    </w:p>
    <w:p>
      <w:pPr>
        <w:spacing w:after="0" w:line="173" w:lineRule="exact"/>
        <w:rPr>
          <w:sz w:val="20"/>
          <w:szCs w:val="20"/>
          <w:color w:val="auto"/>
        </w:rPr>
      </w:pPr>
    </w:p>
    <w:p>
      <w:pPr>
        <w:jc w:val="both"/>
        <w:ind w:firstLine="446"/>
        <w:spacing w:after="0" w:line="275" w:lineRule="auto"/>
        <w:rPr>
          <w:sz w:val="20"/>
          <w:szCs w:val="20"/>
          <w:color w:val="auto"/>
        </w:rPr>
      </w:pPr>
      <w:r>
        <w:rPr>
          <w:rFonts w:ascii="Arial" w:cs="Arial" w:eastAsia="Arial" w:hAnsi="Arial"/>
          <w:sz w:val="19"/>
          <w:szCs w:val="19"/>
          <w:color w:val="auto"/>
        </w:rPr>
        <w:t>We expect to obtain the money to pay our expenses, to repay borrowings under our credit facilities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152" w:lineRule="exact"/>
        <w:rPr>
          <w:sz w:val="20"/>
          <w:szCs w:val="20"/>
          <w:color w:val="auto"/>
        </w:rPr>
      </w:pPr>
    </w:p>
    <w:p>
      <w:pPr>
        <w:jc w:val="both"/>
        <w:ind w:right="20" w:firstLine="675"/>
        <w:spacing w:after="0" w:line="256" w:lineRule="auto"/>
        <w:rPr>
          <w:sz w:val="20"/>
          <w:szCs w:val="20"/>
          <w:color w:val="auto"/>
        </w:rPr>
      </w:pPr>
      <w:r>
        <w:rPr>
          <w:rFonts w:ascii="Arial" w:cs="Arial" w:eastAsia="Arial" w:hAnsi="Arial"/>
          <w:sz w:val="22"/>
          <w:szCs w:val="22"/>
          <w:b w:val="1"/>
          <w:bCs w:val="1"/>
          <w:color w:val="auto"/>
        </w:rPr>
        <w:t>Our failure to comply with restrictive covenants under our revolving credit facilities or a failure to maintain an "investment grade" rating on our debt could trigger prepayment obligations.</w:t>
      </w:r>
    </w:p>
    <w:p>
      <w:pPr>
        <w:spacing w:after="0" w:line="169" w:lineRule="exact"/>
        <w:rPr>
          <w:sz w:val="20"/>
          <w:szCs w:val="20"/>
          <w:color w:val="auto"/>
        </w:rPr>
      </w:pPr>
    </w:p>
    <w:p>
      <w:pPr>
        <w:jc w:val="both"/>
        <w:ind w:firstLine="544"/>
        <w:spacing w:after="0" w:line="238" w:lineRule="auto"/>
        <w:rPr>
          <w:sz w:val="20"/>
          <w:szCs w:val="20"/>
          <w:color w:val="auto"/>
        </w:rPr>
      </w:pPr>
      <w:r>
        <w:rPr>
          <w:rFonts w:ascii="Arial" w:cs="Arial" w:eastAsia="Arial" w:hAnsi="Arial"/>
          <w:sz w:val="22"/>
          <w:szCs w:val="22"/>
          <w:color w:val="auto"/>
        </w:rPr>
        <w:t>Our failure to comply with the restrictive covenants under our revolving credit facilities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85" w:lineRule="exact"/>
        <w:rPr>
          <w:sz w:val="20"/>
          <w:szCs w:val="20"/>
          <w:color w:val="auto"/>
        </w:rPr>
      </w:pPr>
    </w:p>
    <w:p>
      <w:pPr>
        <w:jc w:val="both"/>
        <w:ind w:firstLine="500"/>
        <w:spacing w:after="0" w:line="236" w:lineRule="auto"/>
        <w:rPr>
          <w:sz w:val="20"/>
          <w:szCs w:val="20"/>
          <w:color w:val="auto"/>
        </w:rPr>
      </w:pPr>
      <w:r>
        <w:rPr>
          <w:rFonts w:ascii="Arial" w:cs="Arial" w:eastAsia="Arial" w:hAnsi="Arial"/>
          <w:sz w:val="22"/>
          <w:szCs w:val="22"/>
          <w:color w:val="auto"/>
        </w:rPr>
        <w:t>Certain of our financing agreements require us to maintain "investment grade" credit ratings. We currently have such ratings from Standard and Poors and Moody's Investors Service. If our ratings were significantly lowered, our accounts receivables securitization facility would need to be re-negotiated or would no longer be available. In addition, a significant lowering of our credit ratings could result in a portion or all of our zero-coupon convertible debentures being converted into shares of our common stock.</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The holders of our zero-coupon convertible debentures could require us to purchase the debentures.</w:t>
      </w:r>
    </w:p>
    <w:p>
      <w:pPr>
        <w:spacing w:after="0" w:line="212" w:lineRule="exact"/>
        <w:rPr>
          <w:sz w:val="20"/>
          <w:szCs w:val="20"/>
          <w:color w:val="auto"/>
        </w:rPr>
      </w:pPr>
    </w:p>
    <w:p>
      <w:pPr>
        <w:jc w:val="both"/>
        <w:ind w:firstLine="527"/>
        <w:spacing w:after="0" w:line="234" w:lineRule="auto"/>
        <w:rPr>
          <w:sz w:val="20"/>
          <w:szCs w:val="20"/>
          <w:color w:val="auto"/>
        </w:rPr>
      </w:pPr>
      <w:r>
        <w:rPr>
          <w:rFonts w:ascii="Arial" w:cs="Arial" w:eastAsia="Arial" w:hAnsi="Arial"/>
          <w:sz w:val="22"/>
          <w:szCs w:val="22"/>
          <w:color w:val="auto"/>
        </w:rPr>
        <w:t>The terms of the zero-coupon convertible debentures give holders of the debentures the option to require us to purchase the debentures at the issue price plus accreted original issue discount. Such holders can exercise this option on the first, third, fifth, tenth, and fifteenth anniversary dates. The first such option date is August 17, 2002. If the option were exercised, we would be required to purchase all or a portion of the debentures through the issuance of common stock, with available cash, or by financing the purchase using other available facilities. Our intent is to settle any potential 'put' in cash. In the event of a significant change in the economic environment, we may choose to settle the 'put' with common stock, which may have a dilutive effect on existing shareholders.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Our ability to service our debt is dependent on the performance of our subsidiaries.</w:t>
      </w:r>
    </w:p>
    <w:p>
      <w:pPr>
        <w:spacing w:after="0" w:line="212" w:lineRule="exact"/>
        <w:rPr>
          <w:sz w:val="20"/>
          <w:szCs w:val="20"/>
          <w:color w:val="auto"/>
        </w:rPr>
      </w:pPr>
    </w:p>
    <w:p>
      <w:pPr>
        <w:jc w:val="both"/>
        <w:ind w:firstLine="473"/>
        <w:spacing w:after="0" w:line="236" w:lineRule="auto"/>
        <w:rPr>
          <w:sz w:val="20"/>
          <w:szCs w:val="20"/>
          <w:color w:val="auto"/>
        </w:rPr>
      </w:pPr>
      <w:r>
        <w:rPr>
          <w:rFonts w:ascii="Arial" w:cs="Arial" w:eastAsia="Arial" w:hAnsi="Arial"/>
          <w:sz w:val="22"/>
          <w:szCs w:val="22"/>
          <w:color w:val="auto"/>
        </w:rPr>
        <w:t>Since we conduct a significant portion of our operations through our subsidiaries, our cash flow and our consequent ability to service our debt depends in part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depend upon the earnings of those subsidiaries and be subject to various business considerations.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The price of our common stock may fluctuate significantly, which may result in losses for investors.</w:t>
      </w:r>
    </w:p>
    <w:p>
      <w:pPr>
        <w:spacing w:after="0" w:line="212"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21"/>
          <w:szCs w:val="21"/>
          <w:color w:val="auto"/>
        </w:rPr>
        <w:t>The market price for our common stock has been and may continue to be volatile. For example, during the fiscal year ended December 31, 2001, the prices of our common stock as reported on the New York Stock Exchange ranged from a high of $37.56 to a low of $24.35. Our stock price can fluctuate as a result of a variety of factors, including factors listed in these "Risk Factors" and others, many of which are beyond our control. These factors include:</w:t>
      </w:r>
    </w:p>
    <w:p>
      <w:pPr>
        <w:sectPr>
          <w:pgSz w:w="11900" w:h="16891" w:orient="portrait"/>
          <w:cols w:equalWidth="0" w:num="1">
            <w:col w:w="11420"/>
          </w:cols>
          <w:pgMar w:left="240" w:top="112" w:right="239" w:bottom="0" w:gutter="0" w:footer="0" w:header="0"/>
        </w:sectPr>
      </w:pPr>
    </w:p>
    <w:bookmarkStart w:id="4" w:name="page5"/>
    <w:bookmarkEnd w:id="4"/>
    <w:p>
      <w:pPr>
        <w:ind w:left="1080"/>
        <w:spacing w:after="0"/>
        <w:rPr>
          <w:sz w:val="20"/>
          <w:szCs w:val="20"/>
          <w:color w:val="auto"/>
        </w:rPr>
      </w:pPr>
      <w:r>
        <w:rPr>
          <w:rFonts w:ascii="Arial" w:cs="Arial" w:eastAsia="Arial" w:hAnsi="Arial"/>
          <w:sz w:val="22"/>
          <w:szCs w:val="22"/>
          <w:color w:val="auto"/>
        </w:rPr>
        <w:t>actual or anticipated variations in our quarterly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-98425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announcement of new services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announcements relating to strategic relationships 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changes in financial estimates or other statements by securities analysts;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changes in 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firstLine="567"/>
        <w:spacing w:after="0" w:line="251" w:lineRule="auto"/>
        <w:rPr>
          <w:sz w:val="20"/>
          <w:szCs w:val="20"/>
          <w:color w:val="auto"/>
        </w:rPr>
      </w:pPr>
      <w:r>
        <w:rPr>
          <w:rFonts w:ascii="Arial" w:cs="Arial" w:eastAsia="Arial" w:hAnsi="Arial"/>
          <w:sz w:val="22"/>
          <w:szCs w:val="22"/>
          <w:color w:val="auto"/>
        </w:rPr>
        <w:t>Because of this volatility, we may fail to meet the expectations of our shareholders or of securities analysts, and our stock price could decline as a result.</w:t>
      </w:r>
    </w:p>
    <w:p>
      <w:pPr>
        <w:spacing w:after="0" w:line="167"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22"/>
          <w:szCs w:val="22"/>
          <w:b w:val="1"/>
          <w:bCs w:val="1"/>
          <w:color w:val="auto"/>
        </w:rPr>
        <w:t>Provisions of Wisconsin law and our articles of incorporation and bylaws contain provisions that could make the takeover of us more difficult.</w:t>
      </w:r>
    </w:p>
    <w:p>
      <w:pPr>
        <w:spacing w:after="0" w:line="169" w:lineRule="exact"/>
        <w:rPr>
          <w:sz w:val="20"/>
          <w:szCs w:val="20"/>
          <w:color w:val="auto"/>
        </w:rPr>
      </w:pPr>
    </w:p>
    <w:p>
      <w:pPr>
        <w:jc w:val="both"/>
        <w:ind w:firstLine="690"/>
        <w:spacing w:after="0"/>
        <w:rPr>
          <w:sz w:val="20"/>
          <w:szCs w:val="20"/>
          <w:color w:val="auto"/>
        </w:rPr>
      </w:pPr>
      <w:r>
        <w:rPr>
          <w:rFonts w:ascii="Arial" w:cs="Arial" w:eastAsia="Arial" w:hAnsi="Arial"/>
          <w:sz w:val="22"/>
          <w:szCs w:val="22"/>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providing for a classified board of directors with staggered,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permitting removal of directors only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providing that vacancies on the board of directors will be filled by the remaining directors then in office;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-91440</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requiring advance notice for shareholder proposals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firstLine="442"/>
        <w:spacing w:after="0" w:line="235" w:lineRule="auto"/>
        <w:rPr>
          <w:sz w:val="20"/>
          <w:szCs w:val="20"/>
          <w:color w:val="auto"/>
        </w:rPr>
      </w:pPr>
      <w:r>
        <w:rPr>
          <w:rFonts w:ascii="Arial" w:cs="Arial" w:eastAsia="Arial" w:hAnsi="Arial"/>
          <w:sz w:val="22"/>
          <w:szCs w:val="22"/>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represent a premium over the available market price of our common stock, may be withdrawn or otherwise fail to be realized. The provisions described above could cause our stock price to decline.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w:t>
      </w:r>
    </w:p>
    <w:p>
      <w:pPr>
        <w:spacing w:after="0" w:line="212" w:lineRule="exact"/>
        <w:rPr>
          <w:sz w:val="20"/>
          <w:szCs w:val="20"/>
          <w:color w:val="auto"/>
        </w:rPr>
      </w:pPr>
    </w:p>
    <w:p>
      <w:pPr>
        <w:jc w:val="both"/>
        <w:ind w:firstLine="581"/>
        <w:spacing w:after="0" w:line="328" w:lineRule="auto"/>
        <w:rPr>
          <w:sz w:val="20"/>
          <w:szCs w:val="20"/>
          <w:color w:val="auto"/>
        </w:rPr>
      </w:pPr>
      <w:r>
        <w:rPr>
          <w:rFonts w:ascii="Arial" w:cs="Arial" w:eastAsia="Arial" w:hAnsi="Arial"/>
          <w:sz w:val="19"/>
          <w:szCs w:val="19"/>
          <w:color w:val="auto"/>
        </w:rPr>
        <w:t>We are a global staffing leader delivering high-value staffing and workforce management solutions worldwide. Through a systemwide network of nearly 3,900 offices in 61 countries, we provide a wide range of human resource services, including:</w:t>
      </w:r>
    </w:p>
    <w:p>
      <w:pPr>
        <w:spacing w:after="0" w:line="105"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professional, specialized, office and industrial staffing;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temporary and permanent employee testing, selection, training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internal audit, accounting, technology and tax services;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organizational-performance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firstLine="506"/>
        <w:spacing w:after="0" w:line="258" w:lineRule="auto"/>
        <w:rPr>
          <w:sz w:val="20"/>
          <w:szCs w:val="20"/>
          <w:color w:val="auto"/>
        </w:rPr>
      </w:pPr>
      <w:r>
        <w:rPr>
          <w:rFonts w:ascii="Arial" w:cs="Arial" w:eastAsia="Arial" w:hAnsi="Arial"/>
          <w:sz w:val="21"/>
          <w:szCs w:val="21"/>
          <w:color w:val="auto"/>
        </w:rPr>
        <w:t>The staffing industry is large and fragmented, comprised of thousands of firms employing millions of people and generating billions in annual revenues. It is also a highly competitive industry, reflecting several trends in the global marketplace, notably increasing demand for skilled people and consolidation among customers and in the industry itself.</w:t>
      </w:r>
    </w:p>
    <w:p>
      <w:pPr>
        <w:spacing w:after="0" w:line="167" w:lineRule="exact"/>
        <w:rPr>
          <w:sz w:val="20"/>
          <w:szCs w:val="20"/>
          <w:color w:val="auto"/>
        </w:rPr>
      </w:pPr>
    </w:p>
    <w:p>
      <w:pPr>
        <w:jc w:val="both"/>
        <w:ind w:firstLine="433"/>
        <w:spacing w:after="0" w:line="238" w:lineRule="auto"/>
        <w:rPr>
          <w:sz w:val="20"/>
          <w:szCs w:val="20"/>
          <w:color w:val="auto"/>
        </w:rPr>
      </w:pPr>
      <w:r>
        <w:rPr>
          <w:rFonts w:ascii="Arial" w:cs="Arial" w:eastAsia="Arial" w:hAnsi="Arial"/>
          <w:sz w:val="22"/>
          <w:szCs w:val="22"/>
          <w:color w:val="auto"/>
        </w:rPr>
        <w:t>We attempt to manage these trends by leveraging established strengths, including one of the staffing industry's best-recognized brands; geographic diversification; size and service scope; an innovative product mix; and a strong customer base. While staffing is an important aspect of our business, our strategy is focused on providing both the skilled employees our customers need and high-value workforce management solutions.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Our principal offices are located at 5301 North Ironwood Road, Milwaukee, Wisconsin 53217, and our telephone number is</w:t>
      </w:r>
    </w:p>
    <w:p>
      <w:pPr>
        <w:spacing w:after="0" w:line="43" w:lineRule="exact"/>
        <w:rPr>
          <w:sz w:val="20"/>
          <w:szCs w:val="20"/>
          <w:color w:val="auto"/>
        </w:rPr>
      </w:pPr>
    </w:p>
    <w:p>
      <w:pPr>
        <w:ind w:firstLine="8"/>
        <w:spacing w:after="0" w:line="237" w:lineRule="auto"/>
        <w:tabs>
          <w:tab w:leader="none" w:pos="522" w:val="left"/>
        </w:tabs>
        <w:numPr>
          <w:ilvl w:val="0"/>
          <w:numId w:val="1"/>
        </w:numPr>
        <w:rPr>
          <w:rFonts w:ascii="Arial" w:cs="Arial" w:eastAsia="Arial" w:hAnsi="Arial"/>
          <w:sz w:val="22"/>
          <w:szCs w:val="22"/>
          <w:color w:val="auto"/>
        </w:rPr>
      </w:pPr>
      <w:r>
        <w:rPr>
          <w:rFonts w:ascii="Arial" w:cs="Arial" w:eastAsia="Arial" w:hAnsi="Arial"/>
          <w:sz w:val="22"/>
          <w:szCs w:val="22"/>
          <w:color w:val="auto"/>
        </w:rPr>
        <w:t>961-1000. Our general web site address is www.manpower.com. Information contained on any of our web sites is not deemed to be a part of this prospectus, unless specifically incorporated by reference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RESALES OF SHARES</w:t>
      </w:r>
    </w:p>
    <w:p>
      <w:pPr>
        <w:spacing w:after="0" w:line="212" w:lineRule="exact"/>
        <w:rPr>
          <w:sz w:val="20"/>
          <w:szCs w:val="20"/>
          <w:color w:val="auto"/>
        </w:rPr>
      </w:pPr>
    </w:p>
    <w:p>
      <w:pPr>
        <w:jc w:val="both"/>
        <w:ind w:firstLine="444"/>
        <w:spacing w:after="0" w:line="235" w:lineRule="auto"/>
        <w:rPr>
          <w:sz w:val="20"/>
          <w:szCs w:val="20"/>
          <w:color w:val="auto"/>
        </w:rPr>
      </w:pPr>
      <w:r>
        <w:rPr>
          <w:rFonts w:ascii="Arial" w:cs="Arial" w:eastAsia="Arial" w:hAnsi="Arial"/>
          <w:sz w:val="22"/>
          <w:szCs w:val="22"/>
          <w:color w:val="auto"/>
        </w:rPr>
        <w:t>This prospectus, as amended or supplemented, has also been prepared for use by persons who receive shares of common stock in acquisitions and who wish to offer and sell such shares, on terms then available, in transactions in which they may be deemed underwriters within the meaning of the Securities Act. We refer to such persons as "selling shareholders." Resales by a selling shareholder under this prospectus, as amended or supplemented, is permitted only with prior written authorization from us. Resales may also be made pursuant to Rule 145(d) under the Securities Act, or pursuant to an exemption from the registration provisions of such Act.</w:t>
      </w:r>
    </w:p>
    <w:p>
      <w:pPr>
        <w:sectPr>
          <w:pgSz w:w="11900" w:h="16838" w:orient="portrait"/>
          <w:cols w:equalWidth="0" w:num="1">
            <w:col w:w="11420"/>
          </w:cols>
          <w:pgMar w:left="240" w:top="118" w:right="239" w:bottom="0" w:gutter="0" w:footer="0" w:header="0"/>
        </w:sectPr>
      </w:pPr>
    </w:p>
    <w:bookmarkStart w:id="5" w:name="page6"/>
    <w:bookmarkEnd w:id="5"/>
    <w:p>
      <w:pPr>
        <w:jc w:val="both"/>
        <w:ind w:firstLine="434"/>
        <w:spacing w:after="0" w:line="249" w:lineRule="auto"/>
        <w:rPr>
          <w:sz w:val="20"/>
          <w:szCs w:val="20"/>
          <w:color w:val="auto"/>
        </w:rPr>
      </w:pPr>
      <w:r>
        <w:rPr>
          <w:rFonts w:ascii="Arial" w:cs="Arial" w:eastAsia="Arial" w:hAnsi="Arial"/>
          <w:sz w:val="21"/>
          <w:szCs w:val="21"/>
          <w:color w:val="auto"/>
        </w:rPr>
        <w:t>We will receive none of the proceeds from any such sales. Any commissions paid or concessions allowed to any broker-dealer, and, if any broker-dealer purchases such shares as principal, any profits received on the resale of such shares, may be deemed to be underwriting discounts and commissions under the Securities Act. We will pay printing, certain legal, filing and other similar expenses of this offering. Selling shareholders will bear all other expenses of this offering, including any brokerage fees, underwriting discounts or commissions and their own legal expenses.</w:t>
      </w:r>
    </w:p>
    <w:p>
      <w:pPr>
        <w:spacing w:after="0" w:line="179" w:lineRule="exact"/>
        <w:rPr>
          <w:sz w:val="20"/>
          <w:szCs w:val="20"/>
          <w:color w:val="auto"/>
        </w:rPr>
      </w:pPr>
    </w:p>
    <w:p>
      <w:pPr>
        <w:jc w:val="both"/>
        <w:ind w:firstLine="605"/>
        <w:spacing w:after="0" w:line="234" w:lineRule="auto"/>
        <w:rPr>
          <w:sz w:val="20"/>
          <w:szCs w:val="20"/>
          <w:color w:val="auto"/>
        </w:rPr>
      </w:pPr>
      <w:r>
        <w:rPr>
          <w:rFonts w:ascii="Arial" w:cs="Arial" w:eastAsia="Arial" w:hAnsi="Arial"/>
          <w:sz w:val="22"/>
          <w:szCs w:val="22"/>
          <w:color w:val="auto"/>
        </w:rPr>
        <w:t>There presently are no arrangements or understandings, formal or informal, pertaining to the distribution of the shares as described herein. Upon our being notified by a selling shareholder that any material arrangement has been entered into with a broker-dealer for the sale of shares through a block trade, special offering, exchange distribution or secondary distribution, a supplemented prospectus will be filed, pursuant to Rule 424(b) under the Securities Act, setting forth (i) the name of each selling shareholder and of the participating broker-dealer(s), if any, (ii) the number of shares involved, (iii) the commissions paid or discounts or concessions allowed to such broker-dealer(s), where applicable, and (iv) other material terms of such resale, as appropriate.</w:t>
      </w:r>
    </w:p>
    <w:p>
      <w:pPr>
        <w:spacing w:after="0" w:line="191" w:lineRule="exact"/>
        <w:rPr>
          <w:sz w:val="20"/>
          <w:szCs w:val="20"/>
          <w:color w:val="auto"/>
        </w:rPr>
      </w:pPr>
    </w:p>
    <w:p>
      <w:pPr>
        <w:jc w:val="both"/>
        <w:ind w:firstLine="536"/>
        <w:spacing w:after="0" w:line="273" w:lineRule="auto"/>
        <w:rPr>
          <w:sz w:val="20"/>
          <w:szCs w:val="20"/>
          <w:color w:val="auto"/>
        </w:rPr>
      </w:pPr>
      <w:r>
        <w:rPr>
          <w:rFonts w:ascii="Arial" w:cs="Arial" w:eastAsia="Arial" w:hAnsi="Arial"/>
          <w:sz w:val="19"/>
          <w:szCs w:val="19"/>
          <w:color w:val="auto"/>
        </w:rPr>
        <w:t>Selling shareholders may sell the shares being offered hereby from time to time in transactions (which may involve crosses and block transactions) on the NYSE or such other securities exchange on which our common stock may be listed, in the over-the counter market, in special offerings, in transactions directly with investors, or otherwise, at market prices prevailing at the time of sale, at fixed prices or at negotiated prices. Selling shareholders may sell some or all of the shares in transactions involving broker-dealers, who may act solely as agent and/or may acquire shares as principal. Broker-dealers participating in such transactions as agent may receive commissions from selling shareholders (and, if they act as agent for the purchaser of such shares, from such purchaser) and may effect resales through other broker-dealers, in which case discounts or commissions may be allowed or reallowed. Participating broker-dealers may agree wit h selling shareholders to sell a specified number of shares at a stipulated price per share and, to the extent such broker-dealer is unable to do so acting as agent for selling shareholders, to purchase as principal any unsold shares at the price required to fulfill the broker-dealer's commitment to selling shareholders.</w:t>
      </w:r>
    </w:p>
    <w:p>
      <w:pPr>
        <w:spacing w:after="0" w:line="162" w:lineRule="exact"/>
        <w:rPr>
          <w:sz w:val="20"/>
          <w:szCs w:val="20"/>
          <w:color w:val="auto"/>
        </w:rPr>
      </w:pPr>
    </w:p>
    <w:p>
      <w:pPr>
        <w:jc w:val="both"/>
        <w:ind w:firstLine="554"/>
        <w:spacing w:after="0" w:line="258" w:lineRule="auto"/>
        <w:rPr>
          <w:sz w:val="20"/>
          <w:szCs w:val="20"/>
          <w:color w:val="auto"/>
        </w:rPr>
      </w:pPr>
      <w:r>
        <w:rPr>
          <w:rFonts w:ascii="Arial" w:cs="Arial" w:eastAsia="Arial" w:hAnsi="Arial"/>
          <w:sz w:val="21"/>
          <w:szCs w:val="21"/>
          <w:color w:val="auto"/>
        </w:rPr>
        <w:t>We may agree to indemnify a selling shareholder against certain liabilities, including liabilities arising under the Securities Act. We and/or a selling shareholder may indemnify any broker-dealer that participates in transactions involving sales of shares of common stock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SELECTED CONSOLIDATED FINANCIAL DATA</w:t>
      </w:r>
    </w:p>
    <w:p>
      <w:pPr>
        <w:sectPr>
          <w:pgSz w:w="11900" w:h="16838" w:orient="portrait"/>
          <w:cols w:equalWidth="0" w:num="1">
            <w:col w:w="11420"/>
          </w:cols>
          <w:pgMar w:left="240" w:top="118" w:right="239" w:bottom="6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
        <w:spacing w:after="0"/>
        <w:rPr>
          <w:sz w:val="20"/>
          <w:szCs w:val="20"/>
          <w:color w:val="auto"/>
        </w:rPr>
      </w:pPr>
      <w:r>
        <w:rPr>
          <w:rFonts w:ascii="Arial" w:cs="Arial" w:eastAsia="Arial" w:hAnsi="Arial"/>
          <w:sz w:val="15"/>
          <w:szCs w:val="15"/>
          <w:b w:val="1"/>
          <w:bCs w:val="1"/>
          <w:u w:val="single" w:color="auto"/>
          <w:color w:val="auto"/>
        </w:rPr>
        <w:t>As of and for the year ended December 31</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Operations Data</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Revenues from services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Gross profit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Write-down of capitalized software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 profit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earnings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Per Share Data</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earnings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earnings - diluted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Balance Sheet Data</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assets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2700" w:type="dxa"/>
            <w:vAlign w:val="bottom"/>
            <w:gridSpan w:val="7"/>
          </w:tcPr>
          <w:p>
            <w:pPr>
              <w:ind w:left="260"/>
              <w:spacing w:after="0"/>
              <w:rPr>
                <w:sz w:val="20"/>
                <w:szCs w:val="20"/>
                <w:color w:val="auto"/>
              </w:rPr>
            </w:pPr>
            <w:r>
              <w:rPr>
                <w:rFonts w:ascii="Arial" w:cs="Arial" w:eastAsia="Arial" w:hAnsi="Arial"/>
                <w:sz w:val="18"/>
                <w:szCs w:val="18"/>
                <w:color w:val="auto"/>
                <w:w w:val="87"/>
              </w:rPr>
              <w:t>(in millions, except per share data)</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88"/>
        </w:trPr>
        <w:tc>
          <w:tcPr>
            <w:tcW w:w="3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2001</w:t>
            </w:r>
          </w:p>
        </w:tc>
        <w:tc>
          <w:tcPr>
            <w:tcW w:w="6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2000</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1999</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84"/>
              </w:rPr>
              <w:t>1998</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1997</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856"/>
        </w:trPr>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$10,483.8</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$10,842.8</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$9,770.1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$8,814.3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$7,258.5</w:t>
            </w:r>
          </w:p>
        </w:tc>
      </w:tr>
      <w:tr>
        <w:trPr>
          <w:trHeight w:val="432"/>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1,956.5</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1,946.7</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1,704.9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1,503.0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1,310.2</w:t>
            </w:r>
          </w:p>
        </w:tc>
      </w:tr>
      <w:tr>
        <w:trPr>
          <w:trHeight w:val="432"/>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237.6</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311.0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230.6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255.4</w:t>
            </w:r>
          </w:p>
        </w:tc>
      </w:tr>
      <w:tr>
        <w:trPr>
          <w:trHeight w:val="432"/>
        </w:trPr>
        <w:tc>
          <w:tcPr>
            <w:tcW w:w="700" w:type="dxa"/>
            <w:vAlign w:val="bottom"/>
            <w:gridSpan w:val="2"/>
          </w:tcPr>
          <w:p>
            <w:pPr>
              <w:jc w:val="right"/>
              <w:spacing w:after="0"/>
              <w:rPr>
                <w:sz w:val="20"/>
                <w:szCs w:val="20"/>
                <w:color w:val="auto"/>
              </w:rPr>
            </w:pPr>
            <w:r>
              <w:rPr>
                <w:rFonts w:ascii="Arial" w:cs="Arial" w:eastAsia="Arial" w:hAnsi="Arial"/>
                <w:sz w:val="18"/>
                <w:szCs w:val="18"/>
                <w:color w:val="auto"/>
              </w:rPr>
              <w:t>124.5</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171.2</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150.0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  1.64</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  2.26</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  1.94</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  .94</w:t>
            </w:r>
          </w:p>
        </w:tc>
        <w:tc>
          <w:tcPr>
            <w:tcW w:w="760" w:type="dxa"/>
            <w:vAlign w:val="bottom"/>
          </w:tcPr>
          <w:p>
            <w:pPr>
              <w:jc w:val="right"/>
              <w:spacing w:after="0"/>
              <w:rPr>
                <w:sz w:val="20"/>
                <w:szCs w:val="20"/>
                <w:color w:val="auto"/>
              </w:rPr>
            </w:pPr>
            <w:r>
              <w:rPr>
                <w:rFonts w:ascii="Arial" w:cs="Arial" w:eastAsia="Arial" w:hAnsi="Arial"/>
                <w:sz w:val="18"/>
                <w:szCs w:val="18"/>
                <w:color w:val="auto"/>
              </w:rPr>
              <w:t>$  2.01</w:t>
            </w:r>
          </w:p>
        </w:tc>
      </w:tr>
      <w:tr>
        <w:trPr>
          <w:trHeight w:val="43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1.62</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2.22</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1.91</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.93</w:t>
            </w: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432"/>
        </w:trPr>
        <w:tc>
          <w:tcPr>
            <w:tcW w:w="82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840" w:type="dxa"/>
            <w:vAlign w:val="bottom"/>
          </w:tcPr>
          <w:p>
            <w:pPr>
              <w:jc w:val="right"/>
              <w:ind w:right="132"/>
              <w:spacing w:after="0"/>
              <w:rPr>
                <w:sz w:val="20"/>
                <w:szCs w:val="20"/>
                <w:color w:val="auto"/>
              </w:rPr>
            </w:pPr>
            <w:r>
              <w:rPr>
                <w:rFonts w:ascii="Arial" w:cs="Arial" w:eastAsia="Arial" w:hAnsi="Arial"/>
                <w:sz w:val="18"/>
                <w:szCs w:val="18"/>
                <w:color w:val="auto"/>
                <w:w w:val="85"/>
              </w:rPr>
              <w:t>$3,238.6</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$3,041.6</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$2,718.7</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$2,391.7</w:t>
            </w:r>
          </w:p>
        </w:tc>
        <w:tc>
          <w:tcPr>
            <w:tcW w:w="780" w:type="dxa"/>
            <w:vAlign w:val="bottom"/>
          </w:tcPr>
          <w:p>
            <w:pPr>
              <w:jc w:val="right"/>
              <w:spacing w:after="0"/>
              <w:rPr>
                <w:sz w:val="20"/>
                <w:szCs w:val="20"/>
                <w:color w:val="auto"/>
              </w:rPr>
            </w:pPr>
            <w:r>
              <w:rPr>
                <w:rFonts w:ascii="Arial" w:cs="Arial" w:eastAsia="Arial" w:hAnsi="Arial"/>
                <w:sz w:val="18"/>
                <w:szCs w:val="18"/>
                <w:color w:val="auto"/>
              </w:rPr>
              <w:t>$2,047.0</w:t>
            </w:r>
          </w:p>
        </w:tc>
      </w:tr>
      <w:tr>
        <w:trPr>
          <w:trHeight w:val="432"/>
        </w:trPr>
        <w:tc>
          <w:tcPr>
            <w:tcW w:w="840" w:type="dxa"/>
            <w:vAlign w:val="bottom"/>
          </w:tcPr>
          <w:p>
            <w:pPr>
              <w:jc w:val="right"/>
              <w:ind w:right="132"/>
              <w:spacing w:after="0"/>
              <w:rPr>
                <w:sz w:val="20"/>
                <w:szCs w:val="20"/>
                <w:color w:val="auto"/>
              </w:rPr>
            </w:pPr>
            <w:r>
              <w:rPr>
                <w:rFonts w:ascii="Arial" w:cs="Arial" w:eastAsia="Arial" w:hAnsi="Arial"/>
                <w:sz w:val="18"/>
                <w:szCs w:val="18"/>
                <w:color w:val="auto"/>
              </w:rPr>
              <w:t>811.1</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491.6</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357.5</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154.6</w:t>
            </w:r>
          </w:p>
        </w:tc>
        <w:tc>
          <w:tcPr>
            <w:tcW w:w="780" w:type="dxa"/>
            <w:vAlign w:val="bottom"/>
          </w:tcPr>
          <w:p>
            <w:pPr>
              <w:jc w:val="right"/>
              <w:spacing w:after="0"/>
              <w:rPr>
                <w:sz w:val="20"/>
                <w:szCs w:val="20"/>
                <w:color w:val="auto"/>
              </w:rPr>
            </w:pPr>
            <w:r>
              <w:rPr>
                <w:rFonts w:ascii="Arial" w:cs="Arial" w:eastAsia="Arial" w:hAnsi="Arial"/>
                <w:sz w:val="18"/>
                <w:szCs w:val="18"/>
                <w:color w:val="auto"/>
              </w:rPr>
              <w:t>189.8</w:t>
            </w:r>
          </w:p>
        </w:tc>
      </w:tr>
    </w:tbl>
    <w:p>
      <w:pPr>
        <w:spacing w:after="0" w:line="211" w:lineRule="exact"/>
        <w:rPr>
          <w:sz w:val="20"/>
          <w:szCs w:val="20"/>
          <w:color w:val="auto"/>
        </w:rPr>
      </w:pPr>
    </w:p>
    <w:p>
      <w:pPr>
        <w:sectPr>
          <w:pgSz w:w="11900" w:h="16838" w:orient="portrait"/>
          <w:cols w:equalWidth="0" w:num="2">
            <w:col w:w="3260" w:space="640"/>
            <w:col w:w="7520"/>
          </w:cols>
          <w:pgMar w:left="240" w:top="118" w:right="239" w:bottom="614"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The Notes to Consolidated Financial Statements, which are incorporated by reference herein, should be read in conjunction with the above summary.</w:t>
      </w:r>
    </w:p>
    <w:p>
      <w:pPr>
        <w:sectPr>
          <w:pgSz w:w="11900" w:h="16838" w:orient="portrait"/>
          <w:cols w:equalWidth="0" w:num="1">
            <w:col w:w="11420"/>
          </w:cols>
          <w:pgMar w:left="240" w:top="118" w:right="239" w:bottom="614" w:gutter="0" w:footer="0" w:header="0"/>
          <w:type w:val="continuous"/>
        </w:sectPr>
      </w:pPr>
    </w:p>
    <w:bookmarkStart w:id="6" w:name="page7"/>
    <w:bookmarkEnd w:id="6"/>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LEGAL MATTERS</w:t>
      </w:r>
    </w:p>
    <w:p>
      <w:pPr>
        <w:spacing w:after="0" w:line="213" w:lineRule="exact"/>
        <w:rPr>
          <w:sz w:val="20"/>
          <w:szCs w:val="20"/>
          <w:color w:val="auto"/>
        </w:rPr>
      </w:pPr>
    </w:p>
    <w:p>
      <w:pPr>
        <w:jc w:val="both"/>
        <w:ind w:firstLine="459"/>
        <w:spacing w:after="0" w:line="251" w:lineRule="auto"/>
        <w:rPr>
          <w:sz w:val="20"/>
          <w:szCs w:val="20"/>
          <w:color w:val="auto"/>
        </w:rPr>
      </w:pPr>
      <w:r>
        <w:rPr>
          <w:rFonts w:ascii="Arial" w:cs="Arial" w:eastAsia="Arial" w:hAnsi="Arial"/>
          <w:sz w:val="22"/>
          <w:szCs w:val="22"/>
          <w:color w:val="auto"/>
        </w:rPr>
        <w:t>Certain legal matters in connection with the shares of common stock offered hereby have been passed upon for us by Godfrey &amp; Kahn, S.C., Milwaukee, Wisconsin.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EXPERTS</w:t>
      </w:r>
    </w:p>
    <w:p>
      <w:pPr>
        <w:spacing w:after="0" w:line="212" w:lineRule="exact"/>
        <w:rPr>
          <w:sz w:val="20"/>
          <w:szCs w:val="20"/>
          <w:color w:val="auto"/>
        </w:rPr>
      </w:pPr>
    </w:p>
    <w:p>
      <w:pPr>
        <w:jc w:val="both"/>
        <w:ind w:firstLine="428"/>
        <w:spacing w:after="0" w:line="238" w:lineRule="auto"/>
        <w:rPr>
          <w:sz w:val="20"/>
          <w:szCs w:val="20"/>
          <w:color w:val="auto"/>
        </w:rPr>
      </w:pPr>
      <w:r>
        <w:rPr>
          <w:rFonts w:ascii="Arial" w:cs="Arial" w:eastAsia="Arial" w:hAnsi="Arial"/>
          <w:sz w:val="22"/>
          <w:szCs w:val="22"/>
          <w:color w:val="auto"/>
        </w:rPr>
        <w:t>The audited consolidated financial statements and schedule of Manpower as of December 31, 2001 and for the three years then ended, incorporated by reference in this prospectus, have been audited by Arthur Andersen LLP, independent public accountants, as indicated in their report with respect thereto, and are incorporated herein in reliance upon the authority of said firm as experts in accounting and auditing in giving said report.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212" w:lineRule="exact"/>
        <w:rPr>
          <w:sz w:val="20"/>
          <w:szCs w:val="20"/>
          <w:color w:val="auto"/>
        </w:rPr>
      </w:pPr>
    </w:p>
    <w:p>
      <w:pPr>
        <w:jc w:val="both"/>
        <w:ind w:firstLine="667"/>
        <w:spacing w:after="0" w:line="248" w:lineRule="auto"/>
        <w:rPr>
          <w:sz w:val="20"/>
          <w:szCs w:val="20"/>
          <w:color w:val="auto"/>
        </w:rPr>
      </w:pPr>
      <w:r>
        <w:rPr>
          <w:rFonts w:ascii="Arial" w:cs="Arial" w:eastAsia="Arial" w:hAnsi="Arial"/>
          <w:sz w:val="21"/>
          <w:szCs w:val="21"/>
          <w:color w:val="auto"/>
        </w:rPr>
        <w:t>We file annual, quarterly and special reports, proxy statements and other information with the Securities and Exchange Commission. We have filed with the SEC a Registration Statement under the Securities Act with respect to the common stock offered hereby. This prospectus does not contain all of the information set forth in the Registration Statement and exhibits thereto, or amendments thereto, to which reference is hereby made. Our SEC filings are available over the Internet at the SEC's web site at http://www.sec.gov. or at our web site at http://www.investor.manpower.com. You may also read and copy any document we file with the SEC at its public reference facilities:</w:t>
      </w: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2800" w:type="dxa"/>
            <w:vAlign w:val="bottom"/>
          </w:tcPr>
          <w:p>
            <w:pPr>
              <w:spacing w:after="0"/>
              <w:rPr>
                <w:sz w:val="20"/>
                <w:szCs w:val="20"/>
                <w:color w:val="auto"/>
              </w:rPr>
            </w:pPr>
            <w:r>
              <w:rPr>
                <w:rFonts w:ascii="Arial" w:cs="Arial" w:eastAsia="Arial" w:hAnsi="Arial"/>
                <w:sz w:val="22"/>
                <w:szCs w:val="22"/>
                <w:color w:val="auto"/>
                <w:w w:val="93"/>
              </w:rPr>
              <w:t>Public Reference Room Office</w:t>
            </w:r>
          </w:p>
        </w:tc>
        <w:tc>
          <w:tcPr>
            <w:tcW w:w="2800" w:type="dxa"/>
            <w:vAlign w:val="bottom"/>
          </w:tcPr>
          <w:p>
            <w:pPr>
              <w:ind w:left="140"/>
              <w:spacing w:after="0"/>
              <w:rPr>
                <w:sz w:val="20"/>
                <w:szCs w:val="20"/>
                <w:color w:val="auto"/>
              </w:rPr>
            </w:pPr>
            <w:r>
              <w:rPr>
                <w:rFonts w:ascii="Arial" w:cs="Arial" w:eastAsia="Arial" w:hAnsi="Arial"/>
                <w:sz w:val="22"/>
                <w:szCs w:val="22"/>
                <w:color w:val="auto"/>
              </w:rPr>
              <w:t>New York Regional Office</w:t>
            </w:r>
          </w:p>
        </w:tc>
        <w:tc>
          <w:tcPr>
            <w:tcW w:w="2720" w:type="dxa"/>
            <w:vAlign w:val="bottom"/>
          </w:tcPr>
          <w:p>
            <w:pPr>
              <w:ind w:left="180"/>
              <w:spacing w:after="0"/>
              <w:rPr>
                <w:sz w:val="20"/>
                <w:szCs w:val="20"/>
                <w:color w:val="auto"/>
              </w:rPr>
            </w:pPr>
            <w:r>
              <w:rPr>
                <w:rFonts w:ascii="Arial" w:cs="Arial" w:eastAsia="Arial" w:hAnsi="Arial"/>
                <w:sz w:val="22"/>
                <w:szCs w:val="22"/>
                <w:color w:val="auto"/>
              </w:rPr>
              <w:t>Chicago Regional Office</w:t>
            </w:r>
          </w:p>
        </w:tc>
      </w:tr>
      <w:tr>
        <w:trPr>
          <w:trHeight w:val="243"/>
        </w:trPr>
        <w:tc>
          <w:tcPr>
            <w:tcW w:w="2800" w:type="dxa"/>
            <w:vAlign w:val="bottom"/>
          </w:tcPr>
          <w:p>
            <w:pPr>
              <w:spacing w:after="0" w:line="243" w:lineRule="exact"/>
              <w:rPr>
                <w:sz w:val="20"/>
                <w:szCs w:val="20"/>
                <w:color w:val="auto"/>
              </w:rPr>
            </w:pPr>
            <w:r>
              <w:rPr>
                <w:rFonts w:ascii="Arial" w:cs="Arial" w:eastAsia="Arial" w:hAnsi="Arial"/>
                <w:sz w:val="22"/>
                <w:szCs w:val="22"/>
                <w:color w:val="auto"/>
              </w:rPr>
              <w:t>450 Fifth Street, N.W.</w:t>
            </w:r>
          </w:p>
        </w:tc>
        <w:tc>
          <w:tcPr>
            <w:tcW w:w="2800" w:type="dxa"/>
            <w:vAlign w:val="bottom"/>
          </w:tcPr>
          <w:p>
            <w:pPr>
              <w:ind w:left="140"/>
              <w:spacing w:after="0" w:line="243" w:lineRule="exact"/>
              <w:rPr>
                <w:sz w:val="20"/>
                <w:szCs w:val="20"/>
                <w:color w:val="auto"/>
              </w:rPr>
            </w:pPr>
            <w:r>
              <w:rPr>
                <w:rFonts w:ascii="Arial" w:cs="Arial" w:eastAsia="Arial" w:hAnsi="Arial"/>
                <w:sz w:val="22"/>
                <w:szCs w:val="22"/>
                <w:color w:val="auto"/>
              </w:rPr>
              <w:t>233 Broadway</w:t>
            </w:r>
          </w:p>
        </w:tc>
        <w:tc>
          <w:tcPr>
            <w:tcW w:w="2720" w:type="dxa"/>
            <w:vAlign w:val="bottom"/>
          </w:tcPr>
          <w:p>
            <w:pPr>
              <w:ind w:left="180"/>
              <w:spacing w:after="0" w:line="243" w:lineRule="exact"/>
              <w:rPr>
                <w:sz w:val="20"/>
                <w:szCs w:val="20"/>
                <w:color w:val="auto"/>
              </w:rPr>
            </w:pPr>
            <w:r>
              <w:rPr>
                <w:rFonts w:ascii="Arial" w:cs="Arial" w:eastAsia="Arial" w:hAnsi="Arial"/>
                <w:sz w:val="22"/>
                <w:szCs w:val="22"/>
                <w:color w:val="auto"/>
              </w:rPr>
              <w:t>Citicorp Center</w:t>
            </w:r>
          </w:p>
        </w:tc>
      </w:tr>
      <w:tr>
        <w:trPr>
          <w:trHeight w:val="243"/>
        </w:trPr>
        <w:tc>
          <w:tcPr>
            <w:tcW w:w="2800" w:type="dxa"/>
            <w:vAlign w:val="bottom"/>
          </w:tcPr>
          <w:p>
            <w:pPr>
              <w:spacing w:after="0" w:line="243" w:lineRule="exact"/>
              <w:rPr>
                <w:sz w:val="20"/>
                <w:szCs w:val="20"/>
                <w:color w:val="auto"/>
              </w:rPr>
            </w:pPr>
            <w:r>
              <w:rPr>
                <w:rFonts w:ascii="Arial" w:cs="Arial" w:eastAsia="Arial" w:hAnsi="Arial"/>
                <w:sz w:val="22"/>
                <w:szCs w:val="22"/>
                <w:color w:val="auto"/>
              </w:rPr>
              <w:t>Room 1024</w:t>
            </w:r>
          </w:p>
        </w:tc>
        <w:tc>
          <w:tcPr>
            <w:tcW w:w="2800" w:type="dxa"/>
            <w:vAlign w:val="bottom"/>
          </w:tcPr>
          <w:p>
            <w:pPr>
              <w:ind w:left="140"/>
              <w:spacing w:after="0" w:line="243" w:lineRule="exact"/>
              <w:rPr>
                <w:sz w:val="20"/>
                <w:szCs w:val="20"/>
                <w:color w:val="auto"/>
              </w:rPr>
            </w:pPr>
            <w:r>
              <w:rPr>
                <w:rFonts w:ascii="Arial" w:cs="Arial" w:eastAsia="Arial" w:hAnsi="Arial"/>
                <w:sz w:val="22"/>
                <w:szCs w:val="22"/>
                <w:color w:val="auto"/>
                <w:w w:val="97"/>
              </w:rPr>
              <w:t>New York, New York 10279</w:t>
            </w:r>
          </w:p>
        </w:tc>
        <w:tc>
          <w:tcPr>
            <w:tcW w:w="2720" w:type="dxa"/>
            <w:vAlign w:val="bottom"/>
          </w:tcPr>
          <w:p>
            <w:pPr>
              <w:ind w:left="180"/>
              <w:spacing w:after="0" w:line="243" w:lineRule="exact"/>
              <w:rPr>
                <w:sz w:val="20"/>
                <w:szCs w:val="20"/>
                <w:color w:val="auto"/>
              </w:rPr>
            </w:pPr>
            <w:r>
              <w:rPr>
                <w:rFonts w:ascii="Arial" w:cs="Arial" w:eastAsia="Arial" w:hAnsi="Arial"/>
                <w:sz w:val="22"/>
                <w:szCs w:val="22"/>
                <w:color w:val="auto"/>
              </w:rPr>
              <w:t>500 West Madison Street</w:t>
            </w:r>
          </w:p>
        </w:tc>
      </w:tr>
      <w:tr>
        <w:trPr>
          <w:trHeight w:val="243"/>
        </w:trPr>
        <w:tc>
          <w:tcPr>
            <w:tcW w:w="2800" w:type="dxa"/>
            <w:vAlign w:val="bottom"/>
          </w:tcPr>
          <w:p>
            <w:pPr>
              <w:spacing w:after="0" w:line="243" w:lineRule="exact"/>
              <w:rPr>
                <w:sz w:val="20"/>
                <w:szCs w:val="20"/>
                <w:color w:val="auto"/>
              </w:rPr>
            </w:pPr>
            <w:r>
              <w:rPr>
                <w:rFonts w:ascii="Arial" w:cs="Arial" w:eastAsia="Arial" w:hAnsi="Arial"/>
                <w:sz w:val="22"/>
                <w:szCs w:val="22"/>
                <w:color w:val="auto"/>
              </w:rPr>
              <w:t>Washington, D.C. 20549</w:t>
            </w:r>
          </w:p>
        </w:tc>
        <w:tc>
          <w:tcPr>
            <w:tcW w:w="2800" w:type="dxa"/>
            <w:vAlign w:val="bottom"/>
          </w:tcPr>
          <w:p>
            <w:pPr>
              <w:spacing w:after="0"/>
              <w:rPr>
                <w:sz w:val="21"/>
                <w:szCs w:val="21"/>
                <w:color w:val="auto"/>
              </w:rPr>
            </w:pPr>
          </w:p>
        </w:tc>
        <w:tc>
          <w:tcPr>
            <w:tcW w:w="2720" w:type="dxa"/>
            <w:vAlign w:val="bottom"/>
          </w:tcPr>
          <w:p>
            <w:pPr>
              <w:ind w:left="180"/>
              <w:spacing w:after="0" w:line="243" w:lineRule="exact"/>
              <w:rPr>
                <w:sz w:val="20"/>
                <w:szCs w:val="20"/>
                <w:color w:val="auto"/>
              </w:rPr>
            </w:pPr>
            <w:r>
              <w:rPr>
                <w:rFonts w:ascii="Arial" w:cs="Arial" w:eastAsia="Arial" w:hAnsi="Arial"/>
                <w:sz w:val="22"/>
                <w:szCs w:val="22"/>
                <w:color w:val="auto"/>
              </w:rPr>
              <w:t>Suite 1400</w:t>
            </w:r>
          </w:p>
        </w:tc>
      </w:tr>
      <w:tr>
        <w:trPr>
          <w:trHeight w:val="275"/>
        </w:trPr>
        <w:tc>
          <w:tcPr>
            <w:tcW w:w="280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720" w:type="dxa"/>
            <w:vAlign w:val="bottom"/>
          </w:tcPr>
          <w:p>
            <w:pPr>
              <w:ind w:left="180"/>
              <w:spacing w:after="0"/>
              <w:rPr>
                <w:sz w:val="20"/>
                <w:szCs w:val="20"/>
                <w:color w:val="auto"/>
              </w:rPr>
            </w:pPr>
            <w:r>
              <w:rPr>
                <w:rFonts w:ascii="Arial" w:cs="Arial" w:eastAsia="Arial" w:hAnsi="Arial"/>
                <w:sz w:val="22"/>
                <w:szCs w:val="22"/>
                <w:color w:val="auto"/>
                <w:w w:val="90"/>
              </w:rPr>
              <w:t>Chicago, Illinois 60661-2511</w:t>
            </w:r>
          </w:p>
        </w:tc>
      </w:tr>
    </w:tbl>
    <w:p>
      <w:pPr>
        <w:spacing w:after="0" w:line="279" w:lineRule="exact"/>
        <w:rPr>
          <w:sz w:val="20"/>
          <w:szCs w:val="20"/>
          <w:color w:val="auto"/>
        </w:rPr>
      </w:pPr>
    </w:p>
    <w:p>
      <w:pPr>
        <w:jc w:val="both"/>
        <w:ind w:firstLine="457"/>
        <w:spacing w:after="0" w:line="238" w:lineRule="auto"/>
        <w:rPr>
          <w:sz w:val="20"/>
          <w:szCs w:val="20"/>
          <w:color w:val="auto"/>
        </w:rPr>
      </w:pPr>
      <w:r>
        <w:rPr>
          <w:rFonts w:ascii="Arial" w:cs="Arial" w:eastAsia="Arial" w:hAnsi="Arial"/>
          <w:sz w:val="22"/>
          <w:szCs w:val="22"/>
          <w:color w:val="auto"/>
        </w:rPr>
        <w:t>You may also obtain copies of the documents at prescribed rates by writing to the Public Reference Section of the SEC at 450 Fifth Street, N.W., Room 1024, Washington, D.C. 20549. Please call 1-800-732-0330 for further information on the operations of the public reference facilities. Our SEC filings are also available at the offices of the New York Stock Exchange, 20 Broad Street, New York, New York 10005.</w:t>
      </w:r>
    </w:p>
    <w:p>
      <w:pPr>
        <w:spacing w:after="0" w:line="179"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INCORPORATION OF INFORMATION BY REFERENCE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have elected to incorporate by reference information filed with the SEC, which means that:</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incorporated documents are considered part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we may disclose important information to you by referring you to those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right="240"/>
        <w:spacing w:after="0" w:line="251" w:lineRule="auto"/>
        <w:rPr>
          <w:sz w:val="20"/>
          <w:szCs w:val="20"/>
          <w:color w:val="auto"/>
        </w:rPr>
      </w:pPr>
      <w:r>
        <w:rPr>
          <w:rFonts w:ascii="Arial" w:cs="Arial" w:eastAsia="Arial" w:hAnsi="Arial"/>
          <w:sz w:val="22"/>
          <w:szCs w:val="22"/>
          <w:color w:val="auto"/>
        </w:rPr>
        <w:t>information that we file with the SEC will automatically update and supersede the information in this prospectus and any information that was previously incorporated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-274320</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firstLine="528"/>
        <w:spacing w:after="0" w:line="251" w:lineRule="auto"/>
        <w:rPr>
          <w:sz w:val="20"/>
          <w:szCs w:val="20"/>
          <w:color w:val="auto"/>
        </w:rPr>
      </w:pPr>
      <w:r>
        <w:rPr>
          <w:rFonts w:ascii="Arial" w:cs="Arial" w:eastAsia="Arial" w:hAnsi="Arial"/>
          <w:sz w:val="22"/>
          <w:szCs w:val="22"/>
          <w:color w:val="auto"/>
        </w:rPr>
        <w:t>We incorporate by reference the documents listed below that were filed with the SEC under the Securities Exchange Act of 1934, as amended:</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our annual report on Form 10-K for the fiscal year ended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our quarterly report on Form 10-Q for the quarter ended March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our current reports on Form 8-K dated January 7, 2002, February 25, 2002 and April 10, 2002;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1080" w:right="60"/>
        <w:spacing w:after="0"/>
        <w:rPr>
          <w:sz w:val="20"/>
          <w:szCs w:val="20"/>
          <w:color w:val="auto"/>
        </w:rPr>
      </w:pPr>
      <w:r>
        <w:rPr>
          <w:rFonts w:ascii="Arial" w:cs="Arial" w:eastAsia="Arial" w:hAnsi="Arial"/>
          <w:sz w:val="22"/>
          <w:szCs w:val="22"/>
          <w:color w:val="auto"/>
        </w:rPr>
        <w:t>the description of our common stock contained in our Registration Statement on Form 8-A filed with the SEC on January 22, 1991 pursuant to Section 12 of the Exchange Act, including any amendment or report filed for the purpose of updating such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-420370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firstLine="592"/>
        <w:spacing w:after="0" w:line="328" w:lineRule="auto"/>
        <w:rPr>
          <w:sz w:val="20"/>
          <w:szCs w:val="20"/>
          <w:color w:val="auto"/>
        </w:rPr>
      </w:pPr>
      <w:r>
        <w:rPr>
          <w:rFonts w:ascii="Arial" w:cs="Arial" w:eastAsia="Arial" w:hAnsi="Arial"/>
          <w:sz w:val="19"/>
          <w:szCs w:val="19"/>
          <w:color w:val="auto"/>
        </w:rPr>
        <w:t>We also incorporate by reference any future filings we make with the SEC under Section 13(a), 13(c), 14 or 15(d) of the Exchange Act until the date the offering, or reoffering in the case of resales by selling shareholders, of shares is terminated.</w:t>
      </w:r>
    </w:p>
    <w:p>
      <w:pPr>
        <w:spacing w:after="0" w:line="105" w:lineRule="exact"/>
        <w:rPr>
          <w:sz w:val="20"/>
          <w:szCs w:val="20"/>
          <w:color w:val="auto"/>
        </w:rPr>
      </w:pPr>
    </w:p>
    <w:p>
      <w:pPr>
        <w:jc w:val="both"/>
        <w:ind w:firstLine="940"/>
        <w:spacing w:after="0" w:line="282" w:lineRule="auto"/>
        <w:rPr>
          <w:sz w:val="20"/>
          <w:szCs w:val="20"/>
          <w:color w:val="auto"/>
        </w:rPr>
      </w:pPr>
      <w:r>
        <w:rPr>
          <w:rFonts w:ascii="Arial" w:cs="Arial" w:eastAsia="Arial" w:hAnsi="Arial"/>
          <w:sz w:val="19"/>
          <w:szCs w:val="19"/>
          <w:color w:val="auto"/>
        </w:rPr>
        <w:t>You may obtain any of the filings incorporated by reference in this prospectus through us at our web site at www.investor.manpower.com or at the address listed below or from the SEC through its web site or at the addresses listed above. Documents incorporated by reference are available from us without charge, excluding any exhibits to those documents that are not specifically incorporated by reference in such documents. You may request a copy of the documents incorporated by reference in this prospectus by requesting them in writing or by telephone from us at the following address:</w:t>
      </w:r>
    </w:p>
    <w:p>
      <w:pPr>
        <w:spacing w:after="0" w:line="236"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Manpower Inc.</w:t>
      </w:r>
    </w:p>
    <w:p>
      <w:pPr>
        <w:spacing w:after="0" w:line="4"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P.O. Box 2053</w:t>
      </w:r>
    </w:p>
    <w:p>
      <w:pPr>
        <w:ind w:left="2960"/>
        <w:spacing w:after="0" w:line="230" w:lineRule="auto"/>
        <w:rPr>
          <w:sz w:val="20"/>
          <w:szCs w:val="20"/>
          <w:color w:val="auto"/>
        </w:rPr>
      </w:pPr>
      <w:r>
        <w:rPr>
          <w:rFonts w:ascii="Arial" w:cs="Arial" w:eastAsia="Arial" w:hAnsi="Arial"/>
          <w:sz w:val="22"/>
          <w:szCs w:val="22"/>
          <w:b w:val="1"/>
          <w:bCs w:val="1"/>
          <w:color w:val="auto"/>
        </w:rPr>
        <w:t>5301 North Ironwood Road</w:t>
      </w:r>
    </w:p>
    <w:p>
      <w:pPr>
        <w:spacing w:after="0" w:line="1"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Milwaukee, Wisconsin 53201</w:t>
      </w:r>
    </w:p>
    <w:p>
      <w:pPr>
        <w:sectPr>
          <w:pgSz w:w="11900" w:h="16863" w:orient="portrait"/>
          <w:cols w:equalWidth="0" w:num="1">
            <w:col w:w="11420"/>
          </w:cols>
          <w:pgMar w:left="240" w:top="111" w:right="239" w:bottom="0" w:gutter="0" w:footer="0" w:header="0"/>
        </w:sectPr>
      </w:pPr>
    </w:p>
    <w:bookmarkStart w:id="7" w:name="page8"/>
    <w:bookmarkEnd w:id="7"/>
    <w:p>
      <w:pPr>
        <w:spacing w:after="0" w:line="69"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Attn: Michael J. Van Handel, Corporate Secretary</w:t>
      </w:r>
    </w:p>
    <w:p>
      <w:pPr>
        <w:spacing w:after="0" w:line="15"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Telephone: (414) 961-1000</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DISCLOSURE REGARDING FORWARD-LOOKING STATEMENTS</w:t>
      </w:r>
    </w:p>
    <w:p>
      <w:pPr>
        <w:spacing w:after="0" w:line="212" w:lineRule="exact"/>
        <w:rPr>
          <w:sz w:val="20"/>
          <w:szCs w:val="20"/>
          <w:color w:val="auto"/>
        </w:rPr>
      </w:pPr>
    </w:p>
    <w:p>
      <w:pPr>
        <w:jc w:val="both"/>
        <w:ind w:firstLine="479"/>
        <w:spacing w:after="0" w:line="234" w:lineRule="auto"/>
        <w:rPr>
          <w:sz w:val="20"/>
          <w:szCs w:val="20"/>
          <w:color w:val="auto"/>
        </w:rPr>
      </w:pPr>
      <w:r>
        <w:rPr>
          <w:rFonts w:ascii="Arial" w:cs="Arial" w:eastAsia="Arial" w:hAnsi="Arial"/>
          <w:sz w:val="22"/>
          <w:szCs w:val="22"/>
          <w:color w:val="auto"/>
        </w:rPr>
        <w:t>Statements made in this prospectus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prospectus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88" w:lineRule="exact"/>
        <w:rPr>
          <w:sz w:val="20"/>
          <w:szCs w:val="20"/>
          <w:color w:val="auto"/>
        </w:rPr>
      </w:pPr>
    </w:p>
    <w:p>
      <w:pPr>
        <w:jc w:val="both"/>
        <w:ind w:firstLine="612"/>
        <w:spacing w:after="0" w:line="251" w:lineRule="auto"/>
        <w:rPr>
          <w:sz w:val="20"/>
          <w:szCs w:val="20"/>
          <w:color w:val="auto"/>
        </w:rPr>
      </w:pPr>
      <w:r>
        <w:rPr>
          <w:rFonts w:ascii="Arial" w:cs="Arial" w:eastAsia="Arial" w:hAnsi="Arial"/>
          <w:sz w:val="22"/>
          <w:szCs w:val="22"/>
          <w:color w:val="auto"/>
        </w:rPr>
        <w:t>The following are some of the factors that could cause actual results to differ materially from estimates contained in our forward-looking statements:</w:t>
      </w:r>
    </w:p>
    <w:p>
      <w:pPr>
        <w:spacing w:after="0" w:line="187" w:lineRule="exact"/>
        <w:rPr>
          <w:sz w:val="20"/>
          <w:szCs w:val="20"/>
          <w:color w:val="auto"/>
        </w:rPr>
      </w:pPr>
    </w:p>
    <w:p>
      <w:pPr>
        <w:ind w:left="1260" w:right="3160"/>
        <w:spacing w:after="0" w:line="251" w:lineRule="auto"/>
        <w:rPr>
          <w:sz w:val="20"/>
          <w:szCs w:val="20"/>
          <w:color w:val="auto"/>
        </w:rPr>
      </w:pPr>
      <w:r>
        <w:rPr>
          <w:rFonts w:ascii="Arial" w:cs="Arial" w:eastAsia="Arial" w:hAnsi="Arial"/>
          <w:sz w:val="22"/>
          <w:szCs w:val="22"/>
          <w:color w:val="auto"/>
        </w:rPr>
        <w:t>material changes in the demand from larger customers, including customers with which we have national or multi-national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-274320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availability of temporary workers or workers with the skills required by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increases in the wages paid to temporary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competitive market pressures, including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our ability to successfully expand into new markets or offer new service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our ability to successfully invest in and implement information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right="3380"/>
        <w:spacing w:after="0" w:line="251" w:lineRule="auto"/>
        <w:rPr>
          <w:sz w:val="20"/>
          <w:szCs w:val="20"/>
          <w:color w:val="auto"/>
        </w:rPr>
      </w:pPr>
      <w:r>
        <w:rPr>
          <w:rFonts w:ascii="Arial" w:cs="Arial" w:eastAsia="Arial" w:hAnsi="Arial"/>
          <w:sz w:val="22"/>
          <w:szCs w:val="22"/>
          <w:color w:val="auto"/>
        </w:rPr>
        <w:t>unanticipated technological changes, including obsolescence or impairment of information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-274320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changes in customer attitudes toward the use of staffing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government, tax or regulatory policies adverse to the employment services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general economic conditions in domestic and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interest rate and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right="2900"/>
        <w:spacing w:after="0" w:line="251" w:lineRule="auto"/>
        <w:rPr>
          <w:sz w:val="20"/>
          <w:szCs w:val="20"/>
          <w:color w:val="auto"/>
        </w:rPr>
      </w:pPr>
      <w:r>
        <w:rPr>
          <w:rFonts w:ascii="Arial" w:cs="Arial" w:eastAsia="Arial" w:hAnsi="Arial"/>
          <w:sz w:val="22"/>
          <w:szCs w:val="22"/>
          <w:color w:val="auto"/>
        </w:rPr>
        <w:t>difficulties related to acquisitions, including integrating the acquired companies and achieving the expected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-274320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factors discussed in this prospectus under the heading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other factors that may be disclosed from time to time in our SEC filings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-99060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ectPr>
          <w:pgSz w:w="11900" w:h="1690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100" w:right="760" w:firstLine="450"/>
        <w:spacing w:after="0" w:line="272" w:lineRule="auto"/>
        <w:rPr>
          <w:sz w:val="20"/>
          <w:szCs w:val="20"/>
          <w:color w:val="auto"/>
        </w:rPr>
      </w:pPr>
      <w:r>
        <w:rPr>
          <w:rFonts w:ascii="Arial" w:cs="Arial" w:eastAsia="Arial" w:hAnsi="Arial"/>
          <w:sz w:val="19"/>
          <w:szCs w:val="19"/>
          <w:color w:val="auto"/>
        </w:rPr>
        <w:t>We have not authorized any person to give you any information or to make on our behalf any representations, other than those contained in this prospectus, in connection with the offer made hereby, and, if given or made, you must not rely upon such other information or representations as having been authorized by Manpower. This prospectus does not constitute an offer to sell, or a solicitation of an offer to buy, any security other than the securities offered hereby, or an offer to sell or solicitation of any offer to buy such securities in any jurisdiction in which such offer or solicitation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1,500,000 Shares</w:t>
      </w:r>
    </w:p>
    <w:p>
      <w:pPr>
        <w:sectPr>
          <w:pgSz w:w="11900" w:h="16908" w:orient="portrait"/>
          <w:cols w:equalWidth="0" w:num="2">
            <w:col w:w="5020" w:space="720"/>
            <w:col w:w="5680"/>
          </w:cols>
          <w:pgMar w:left="240" w:top="111" w:right="239" w:bottom="0" w:gutter="0" w:footer="0" w:header="0"/>
          <w:type w:val="continuous"/>
        </w:sectPr>
      </w:pPr>
    </w:p>
    <w:bookmarkStart w:id="8" w:name="page9"/>
    <w:bookmarkEnd w:id="8"/>
    <w:p>
      <w:pPr>
        <w:jc w:val="both"/>
        <w:ind w:right="480"/>
        <w:spacing w:after="0" w:line="274" w:lineRule="auto"/>
        <w:rPr>
          <w:sz w:val="20"/>
          <w:szCs w:val="20"/>
          <w:color w:val="auto"/>
        </w:rPr>
      </w:pPr>
      <w:r>
        <w:rPr>
          <w:rFonts w:ascii="Arial" w:cs="Arial" w:eastAsia="Arial" w:hAnsi="Arial"/>
          <w:sz w:val="19"/>
          <w:szCs w:val="19"/>
          <w:color w:val="auto"/>
        </w:rPr>
        <w:t>not qualified or to any person to whom such offer or solicitation would be unlawful. Neither the delivery of this prospectus nor any sale made hereunder shall under any circumstances create any implication that there has been no change in the affairs of Manpower since the date hereof or that the information contained or incorporated by reference here in is correct as of any date subsequent to the date hereof.</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22"/>
          <w:szCs w:val="22"/>
          <w:u w:val="single" w:color="auto"/>
          <w:color w:val="auto"/>
        </w:rPr>
        <w:t>Table of Contents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24"/>
        </w:trPr>
        <w:tc>
          <w:tcPr>
            <w:tcW w:w="3420" w:type="dxa"/>
            <w:vAlign w:val="bottom"/>
          </w:tcPr>
          <w:p>
            <w:pPr>
              <w:spacing w:after="0"/>
              <w:rPr>
                <w:sz w:val="20"/>
                <w:szCs w:val="20"/>
                <w:color w:val="auto"/>
              </w:rPr>
            </w:pPr>
            <w:r>
              <w:rPr>
                <w:rFonts w:ascii="Arial" w:cs="Arial" w:eastAsia="Arial" w:hAnsi="Arial"/>
                <w:sz w:val="18"/>
                <w:szCs w:val="18"/>
                <w:color w:val="auto"/>
              </w:rPr>
              <w:t>RISK FACTORS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THE COMPANY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RESALES OF SHARES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SELECTED CONSOLIDATED</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FINANCIAL DATA</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405"/>
        </w:trPr>
        <w:tc>
          <w:tcPr>
            <w:tcW w:w="3420" w:type="dxa"/>
            <w:vAlign w:val="bottom"/>
          </w:tcPr>
          <w:p>
            <w:pPr>
              <w:spacing w:after="0"/>
              <w:rPr>
                <w:sz w:val="20"/>
                <w:szCs w:val="20"/>
                <w:color w:val="auto"/>
              </w:rPr>
            </w:pPr>
            <w:r>
              <w:rPr>
                <w:rFonts w:ascii="Arial" w:cs="Arial" w:eastAsia="Arial" w:hAnsi="Arial"/>
                <w:sz w:val="18"/>
                <w:szCs w:val="18"/>
                <w:color w:val="auto"/>
              </w:rPr>
              <w:t>LEGAL MATTERS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EXPERTS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426"/>
        </w:trPr>
        <w:tc>
          <w:tcPr>
            <w:tcW w:w="3420" w:type="dxa"/>
            <w:vAlign w:val="bottom"/>
          </w:tcPr>
          <w:p>
            <w:pPr>
              <w:spacing w:after="0"/>
              <w:rPr>
                <w:sz w:val="20"/>
                <w:szCs w:val="20"/>
                <w:color w:val="auto"/>
              </w:rPr>
            </w:pPr>
            <w:r>
              <w:rPr>
                <w:rFonts w:ascii="Arial" w:cs="Arial" w:eastAsia="Arial" w:hAnsi="Arial"/>
                <w:sz w:val="18"/>
                <w:szCs w:val="18"/>
                <w:color w:val="auto"/>
              </w:rPr>
              <w:t>WHERE YOU CAN FIND ADDITIONAL</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INFORMATION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99"/>
        </w:trPr>
        <w:tc>
          <w:tcPr>
            <w:tcW w:w="3420" w:type="dxa"/>
            <w:vAlign w:val="bottom"/>
          </w:tcPr>
          <w:p>
            <w:pPr>
              <w:spacing w:after="0"/>
              <w:rPr>
                <w:sz w:val="20"/>
                <w:szCs w:val="20"/>
                <w:color w:val="auto"/>
              </w:rPr>
            </w:pPr>
            <w:r>
              <w:rPr>
                <w:rFonts w:ascii="Arial" w:cs="Arial" w:eastAsia="Arial" w:hAnsi="Arial"/>
                <w:sz w:val="18"/>
                <w:szCs w:val="18"/>
                <w:color w:val="auto"/>
              </w:rPr>
              <w:t>INCORPORATION OF INFORMATION</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BY REFERENCE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399"/>
        </w:trPr>
        <w:tc>
          <w:tcPr>
            <w:tcW w:w="3420" w:type="dxa"/>
            <w:vAlign w:val="bottom"/>
          </w:tcPr>
          <w:p>
            <w:pPr>
              <w:spacing w:after="0"/>
              <w:rPr>
                <w:sz w:val="20"/>
                <w:szCs w:val="20"/>
                <w:color w:val="auto"/>
              </w:rPr>
            </w:pPr>
            <w:r>
              <w:rPr>
                <w:rFonts w:ascii="Arial" w:cs="Arial" w:eastAsia="Arial" w:hAnsi="Arial"/>
                <w:sz w:val="18"/>
                <w:szCs w:val="18"/>
                <w:color w:val="auto"/>
              </w:rPr>
              <w:t>DISCLOSURE REGARDING FORWARD-</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LOOKING STATEMENTS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MANPOWER INC.</w:t>
      </w:r>
    </w:p>
    <w:p>
      <w:pPr>
        <w:spacing w:after="0" w:line="200" w:lineRule="exact"/>
        <w:rPr>
          <w:sz w:val="20"/>
          <w:szCs w:val="20"/>
          <w:color w:val="auto"/>
        </w:rPr>
      </w:pPr>
    </w:p>
    <w:p>
      <w:pPr>
        <w:spacing w:after="0" w:line="38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May 30, 2002</w:t>
      </w:r>
    </w:p>
    <w:sectPr>
      <w:pgSz w:w="11900" w:h="16838" w:orient="portrait"/>
      <w:cols w:equalWidth="0" w:num="2">
        <w:col w:w="4640" w:space="720"/>
        <w:col w:w="4759"/>
      </w:cols>
      <w:pgMar w:left="3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1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2019-12-19T23:50:54Z</dcterms:created>
  <dcterms:modified xsi:type="dcterms:W3CDTF">2019-12-19T23:50:54Z</dcterms:modified>
</cp:coreProperties>
</file>