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60"/>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ind w:left="860" w:right="2420" w:hanging="852"/>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MARCH 31, 2002</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right"/>
        <w:ind w:left="860" w:right="2320" w:hanging="852"/>
        <w:spacing w:after="0" w:line="290" w:lineRule="auto"/>
        <w:tabs>
          <w:tab w:leader="none" w:pos="33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 of the Securities Exchange Act of 1934 for the transition period from: ______to______</w:t>
      </w:r>
    </w:p>
    <w:p>
      <w:pPr>
        <w:spacing w:after="0" w:line="164" w:lineRule="exact"/>
        <w:rPr>
          <w:sz w:val="24"/>
          <w:szCs w:val="24"/>
          <w:color w:val="auto"/>
        </w:rPr>
      </w:pPr>
    </w:p>
    <w:p>
      <w:pPr>
        <w:jc w:val="center"/>
        <w:ind w:right="1660"/>
        <w:spacing w:after="0"/>
        <w:rPr>
          <w:sz w:val="20"/>
          <w:szCs w:val="20"/>
          <w:color w:val="auto"/>
        </w:rPr>
      </w:pPr>
      <w:r>
        <w:rPr>
          <w:rFonts w:ascii="Courier New" w:cs="Courier New" w:eastAsia="Courier New" w:hAnsi="Courier New"/>
          <w:sz w:val="18"/>
          <w:szCs w:val="18"/>
          <w:color w:val="auto"/>
        </w:rPr>
        <w:t>Commission file number: 1-10686</w:t>
      </w:r>
    </w:p>
    <w:p>
      <w:pPr>
        <w:spacing w:after="0" w:line="201" w:lineRule="exact"/>
        <w:rPr>
          <w:sz w:val="24"/>
          <w:szCs w:val="24"/>
          <w:color w:val="auto"/>
        </w:rPr>
      </w:pPr>
    </w:p>
    <w:p>
      <w:pPr>
        <w:jc w:val="center"/>
        <w:ind w:right="1660"/>
        <w:spacing w:after="0"/>
        <w:rPr>
          <w:sz w:val="20"/>
          <w:szCs w:val="20"/>
          <w:color w:val="auto"/>
        </w:rPr>
      </w:pPr>
      <w:r>
        <w:rPr>
          <w:rFonts w:ascii="Courier New" w:cs="Courier New" w:eastAsia="Courier New" w:hAnsi="Courier New"/>
          <w:sz w:val="18"/>
          <w:szCs w:val="18"/>
          <w:color w:val="auto"/>
        </w:rPr>
        <w:t>MANPOWER INC.</w:t>
      </w:r>
    </w:p>
    <w:p>
      <w:pPr>
        <w:jc w:val="center"/>
        <w:ind w:right="17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20"/>
          </w:cols>
          <w:pgMar w:left="240" w:top="655" w:right="1439" w:bottom="1440"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39-1672779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600" w:space="720"/>
            <w:col w:w="3900"/>
          </w:cols>
          <w:pgMar w:left="240" w:top="655" w:right="1439" w:bottom="1440" w:gutter="0" w:footer="0" w:header="0"/>
          <w:type w:val="continuous"/>
        </w:sectPr>
      </w:pP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5301 N. IRONWOOD ROAD</w:t>
      </w:r>
    </w:p>
    <w:p>
      <w:pPr>
        <w:ind w:left="860"/>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340" w:space="720"/>
            <w:col w:w="3160"/>
          </w:cols>
          <w:pgMar w:left="240" w:top="655" w:right="1439" w:bottom="1440" w:gutter="0" w:footer="0" w:header="0"/>
          <w:type w:val="continuous"/>
        </w:sectPr>
      </w:pPr>
    </w:p>
    <w:p>
      <w:pPr>
        <w:spacing w:after="0" w:line="1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 (414) 961-1000</w:t>
      </w:r>
    </w:p>
    <w:p>
      <w:pPr>
        <w:spacing w:after="0" w:line="207" w:lineRule="exact"/>
        <w:rPr>
          <w:sz w:val="24"/>
          <w:szCs w:val="24"/>
          <w:color w:val="auto"/>
        </w:rPr>
      </w:pPr>
    </w:p>
    <w:p>
      <w:pPr>
        <w:ind w:left="860" w:right="1780"/>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060"/>
        <w:spacing w:after="0" w:line="234" w:lineRule="auto"/>
        <w:tabs>
          <w:tab w:leader="none" w:pos="4000" w:val="left"/>
          <w:tab w:leader="none" w:pos="46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4"/>
          <w:szCs w:val="24"/>
          <w:color w:val="auto"/>
        </w:rPr>
      </w:pPr>
    </w:p>
    <w:p>
      <w:pPr>
        <w:ind w:left="860" w:right="2520"/>
        <w:spacing w:after="0" w:line="29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367"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42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5160" w:type="dxa"/>
            <w:vAlign w:val="bottom"/>
          </w:tcPr>
          <w:p>
            <w:pPr>
              <w:spacing w:after="0"/>
              <w:rPr>
                <w:sz w:val="17"/>
                <w:szCs w:val="17"/>
                <w:color w:val="auto"/>
              </w:rPr>
            </w:pPr>
          </w:p>
        </w:tc>
        <w:tc>
          <w:tcPr>
            <w:tcW w:w="4200" w:type="dxa"/>
            <w:vAlign w:val="bottom"/>
          </w:tcPr>
          <w:p>
            <w:pPr>
              <w:jc w:val="center"/>
              <w:ind w:left="2112"/>
              <w:spacing w:after="0" w:line="203" w:lineRule="exact"/>
              <w:rPr>
                <w:sz w:val="20"/>
                <w:szCs w:val="20"/>
                <w:color w:val="auto"/>
              </w:rPr>
            </w:pPr>
            <w:r>
              <w:rPr>
                <w:rFonts w:ascii="Courier New" w:cs="Courier New" w:eastAsia="Courier New" w:hAnsi="Courier New"/>
                <w:sz w:val="18"/>
                <w:szCs w:val="18"/>
                <w:color w:val="auto"/>
                <w:w w:val="97"/>
              </w:rPr>
              <w:t>OUTSTANDING</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4200" w:type="dxa"/>
            <w:vAlign w:val="bottom"/>
          </w:tcPr>
          <w:p>
            <w:pPr>
              <w:jc w:val="center"/>
              <w:ind w:left="2132"/>
              <w:spacing w:after="0" w:line="203" w:lineRule="exact"/>
              <w:rPr>
                <w:sz w:val="20"/>
                <w:szCs w:val="20"/>
                <w:color w:val="auto"/>
              </w:rPr>
            </w:pPr>
            <w:r>
              <w:rPr>
                <w:rFonts w:ascii="Courier New" w:cs="Courier New" w:eastAsia="Courier New" w:hAnsi="Courier New"/>
                <w:sz w:val="18"/>
                <w:szCs w:val="18"/>
                <w:color w:val="auto"/>
                <w:w w:val="96"/>
              </w:rPr>
              <w:t>AT MARCH 31, 2002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tcPr>
          <w:p>
            <w:pPr>
              <w:jc w:val="center"/>
              <w:ind w:left="2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Common Stock, $.01 par value</w:t>
            </w:r>
          </w:p>
        </w:tc>
        <w:tc>
          <w:tcPr>
            <w:tcW w:w="4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75,561,292</w:t>
            </w:r>
          </w:p>
        </w:tc>
      </w:tr>
    </w:tbl>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EXPLANATION OF AMENDMENT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Our Quarterly Report on Form 10-Q for the quarter ended March 31, 2002</w:t>
      </w:r>
    </w:p>
    <w:p>
      <w:pPr>
        <w:spacing w:after="0" w:line="238" w:lineRule="auto"/>
        <w:rPr>
          <w:sz w:val="20"/>
          <w:szCs w:val="20"/>
          <w:color w:val="auto"/>
        </w:rPr>
      </w:pPr>
      <w:r>
        <w:rPr>
          <w:rFonts w:ascii="Courier New" w:cs="Courier New" w:eastAsia="Courier New" w:hAnsi="Courier New"/>
          <w:sz w:val="18"/>
          <w:szCs w:val="18"/>
          <w:color w:val="auto"/>
        </w:rPr>
        <w:t>was reviewed by the Securities and Exchange Commission (the "Commission") as</w:t>
      </w:r>
    </w:p>
    <w:p>
      <w:pPr>
        <w:spacing w:after="0"/>
        <w:rPr>
          <w:sz w:val="20"/>
          <w:szCs w:val="20"/>
          <w:color w:val="auto"/>
        </w:rPr>
      </w:pPr>
      <w:r>
        <w:rPr>
          <w:rFonts w:ascii="Courier New" w:cs="Courier New" w:eastAsia="Courier New" w:hAnsi="Courier New"/>
          <w:sz w:val="18"/>
          <w:szCs w:val="18"/>
          <w:color w:val="auto"/>
        </w:rPr>
        <w:t>part of their normal review process. In response to comments received from the</w:t>
      </w:r>
    </w:p>
    <w:p>
      <w:pPr>
        <w:spacing w:after="0" w:line="237" w:lineRule="auto"/>
        <w:rPr>
          <w:sz w:val="20"/>
          <w:szCs w:val="20"/>
          <w:color w:val="auto"/>
        </w:rPr>
      </w:pPr>
      <w:r>
        <w:rPr>
          <w:rFonts w:ascii="Courier New" w:cs="Courier New" w:eastAsia="Courier New" w:hAnsi="Courier New"/>
          <w:sz w:val="18"/>
          <w:szCs w:val="18"/>
          <w:color w:val="auto"/>
        </w:rPr>
        <w:t>Commission, we have amended Item 2, Management's Discussion and Analysis of</w:t>
      </w:r>
    </w:p>
    <w:p>
      <w:pPr>
        <w:spacing w:after="0" w:line="238" w:lineRule="auto"/>
        <w:rPr>
          <w:sz w:val="20"/>
          <w:szCs w:val="20"/>
          <w:color w:val="auto"/>
        </w:rPr>
      </w:pPr>
      <w:r>
        <w:rPr>
          <w:rFonts w:ascii="Courier New" w:cs="Courier New" w:eastAsia="Courier New" w:hAnsi="Courier New"/>
          <w:sz w:val="18"/>
          <w:szCs w:val="18"/>
          <w:color w:val="auto"/>
        </w:rPr>
        <w:t>Financial Condition and Results of Operations, of that filing to add additional</w:t>
      </w:r>
    </w:p>
    <w:p>
      <w:pPr>
        <w:spacing w:after="0"/>
        <w:rPr>
          <w:sz w:val="20"/>
          <w:szCs w:val="20"/>
          <w:color w:val="auto"/>
        </w:rPr>
      </w:pPr>
      <w:r>
        <w:rPr>
          <w:rFonts w:ascii="Courier New" w:cs="Courier New" w:eastAsia="Courier New" w:hAnsi="Courier New"/>
          <w:sz w:val="18"/>
          <w:szCs w:val="18"/>
          <w:color w:val="auto"/>
        </w:rPr>
        <w:t>disclosure related to the impact of acquisitions on our operating results for</w:t>
      </w:r>
    </w:p>
    <w:p>
      <w:pPr>
        <w:spacing w:after="0" w:line="237" w:lineRule="auto"/>
        <w:rPr>
          <w:sz w:val="20"/>
          <w:szCs w:val="20"/>
          <w:color w:val="auto"/>
        </w:rPr>
      </w:pPr>
      <w:r>
        <w:rPr>
          <w:rFonts w:ascii="Courier New" w:cs="Courier New" w:eastAsia="Courier New" w:hAnsi="Courier New"/>
          <w:sz w:val="18"/>
          <w:szCs w:val="18"/>
          <w:color w:val="auto"/>
        </w:rPr>
        <w:t>the three months ended March 31, 2002.</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20"/>
          </w:cols>
          <w:pgMar w:left="240" w:top="655" w:right="1439" w:bottom="1440" w:gutter="0" w:footer="0" w:header="0"/>
          <w:type w:val="continuous"/>
        </w:sectPr>
      </w:pPr>
    </w:p>
    <w:bookmarkStart w:id="1" w:name="page2"/>
    <w:bookmarkEnd w:id="1"/>
    <w:p>
      <w:pPr>
        <w:ind w:right="1779"/>
        <w:spacing w:after="0" w:line="235" w:lineRule="auto"/>
        <w:rPr>
          <w:sz w:val="20"/>
          <w:szCs w:val="20"/>
          <w:color w:val="auto"/>
        </w:rPr>
      </w:pPr>
      <w:r>
        <w:rPr>
          <w:rFonts w:ascii="Courier New" w:cs="Courier New" w:eastAsia="Courier New" w:hAnsi="Courier New"/>
          <w:sz w:val="18"/>
          <w:szCs w:val="18"/>
          <w:color w:val="auto"/>
        </w:rPr>
        <w:t>Item 2 -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 Three Months Ended March 31, 2002 and 2001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decreased 13.9% to $2,284.0 million for the first quarter of 2002. Revenues were unfavorably impacted during the first quarter of 2002 compared to 2001 by changes in currency exchange rates, as the U.S. Dollar strengthened relative to many of the functional currencies of our foreign subsidiaries. At constant exchange rates, the decrease in revenues would have been 10.3%. Revenue growth in the first quarter of 2002 included approximately $70 million attributable to acquisitions. Revenues excluding acquisitions decreased 16.5%, or 12.7% on a constant currency basis.</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U.S., revenues were down 21.5% during the first quarter of 2002 compared to 2001, however, this decline shows some improvement from the 25.0% year-over-year decline experienced during the fourth quarter of 2001. In France, on a local currency basis, revenues were down 14.1% during the first quarter of 2002 compared to 2001, however the year-over-year declines improved throughout the quarter. In the United Kingdom, revenues declined 13.3%, on a constant currency basis, compared to the first quarter of 2001 as the United Kingdom experienced weaker customer demand due to the weakening economy. Revenues in the Other Europe segment, on a constant currency basis, were down 6.8% during the first quarter of 2002 compared to 2001. Revenues of Other Operations increased 21.9%, on a constant currency basis, during the first quarter of 2002 compared to 2001. Although recent acquisitions accounted for a majority of the increase, Other Operations posted revenue growth of 3.5% excluding acquisitions.</w:t>
      </w:r>
    </w:p>
    <w:p>
      <w:pPr>
        <w:spacing w:after="0" w:line="38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Gross profit decreased 14.3% from $483.9 million for the first quarter of 2001 to $414.8 million for the first quarter of 2002. The gross profit margin of</w:t>
      </w:r>
    </w:p>
    <w:p>
      <w:pPr>
        <w:ind w:right="1779"/>
        <w:spacing w:after="0" w:line="237" w:lineRule="auto"/>
        <w:rPr>
          <w:sz w:val="20"/>
          <w:szCs w:val="20"/>
          <w:color w:val="auto"/>
        </w:rPr>
      </w:pPr>
      <w:r>
        <w:rPr>
          <w:rFonts w:ascii="Courier New" w:cs="Courier New" w:eastAsia="Courier New" w:hAnsi="Courier New"/>
          <w:sz w:val="18"/>
          <w:szCs w:val="18"/>
          <w:color w:val="auto"/>
        </w:rPr>
        <w:t>18.2% for the first quarter of 2002 was consistent with the same period of 2001. Gross profit margin gains in France and Other Operations were due primarily to improved pricing and the higher-margin acquisitions. These gains were offset by decreases in the U.S., United Kingdom and Other Europe, caused by economic conditions and changes in business mix. On an organic constant currency basis, gross profit decreased 14.6% in the second quarter of 2002 compared to 2001. Gross profit growth attributable to acquisitions was approximately $20 million, and acquisitions had a 40 basis point (.4%) favorable impact on the gross profit margin in the first quarter of 2002.</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and administrative expenses, excluding goodwill amortization during the first quarter of 2001, decreased 7.4% to $396.1 million in the first quarter of 2002. As a percent of gross profit, excluding goodwill amortization in 2001, selling and administrative expenses were 95.5% in the first quarter of 2002 compared to 88.4% in the first quarter of 2001. The increase as a percent of gross profit is due primarily to the deleveraging of the business caused by the contracting revenue levels and our continued investment in certain expanding markets. We continue to make a concerted effort to improve efficiency and control costs in all major countries.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and other expense decreased $2.3 million from the first quarter of 2001 to $8.0 million in the first quarter of 2002. Net interest expense, including the loss on sale of accounts receivable, was $7.4 million in the first quarter of 2002 compared to $8.3 million in the first quarter of 2001. This decrease was mainly due to lower interest rate levels.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We provided for income taxes at 36.0% for the first quarter of 2002, which is equal to the estimated annual effective tax rate based on the currently available information. This rate is higher than the U.S. Federal statutory rate due primarily to foreign tax rate differences. For the year ended December 31, 2001, excluding the effect of goodwill amortization, we provided for income taxes at 35.1%.</w:t>
      </w: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On a diluted basis, net earnings per share was $.09 in the first quarter of 2002 compared to $.35 in the first quarter of 2001. The diluted net earnings per share, for the first quarter of 2002 was negatively impacted by $.01 due to changes in exchange rates. Excluding the effect of goodwill amortization during the first quarter of 2001, net earnings per share, on a diluted basis, was $.39.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Cash provided by operating activities was $30.4 million in the first quarter of 2002 compared to $81.6 million for the first quarter of 2001. Excluding the changes in amounts advanced under the Receivables Facility, cash provided by changes in working capital requirements was $2.5 million and $98.5 million for the first quarter of 2002 and 2001, respectively. This decrease is mainly due to the changes in working capital obligations due to differences in the timing of vendor and payroll tax payments. Cash provided by operating activities before changes in working capital requirements was $27.9 million in the first quarter of 2002 compared to $50.1 million in the first quarter of 2001. This decrease is a result of lower earnings levels in 2002.</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Capital expenditures were $14.1 million in the first quarter of 2002 compared to $21.6 million during the first quarter of 2001. These expenditures were primarily comprised of purchases of computer equipment, office furniture and other costs related to office openings and refurbishments, as well as capitalized software costs.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cash used to repay borrowings was $7.0 million and $11.4 million in the first quarter of 2002 and 2001, respectively. The amounts shown as Proceeds from long-term debt and Repayment of long-term debt relate primarily to commercial paper borrowings.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aggregate commitments related to debt, operating leases and the forward repurchase agreement. As of March 31, 2002, the aggregate commitments totaled approximately $1,100.0 million, compared to $1,130.2 million as of December 31, 2001. During the first quarter of 2002, we repurchased the remaining 900,000 shares of common stock under the forward repurchase agreement at a cost of $30.7 million. No further obligations exist under this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receivable decreased to $1,847.4 million at March 31, 2002 from</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$1,917.8 million at December 31, 2001. This decrease is mainly due to seasonal fluctuations, as the revenue levels in the first quarter are typically lower than the fourth quarter. Changes in foreign currency exchange rates during the first quarter of 2002 negatively impacted the receivable balance by $31.3 million. There were no amounts advanced under the Receivables Facility as of March 31, 2002, and December 31, 2001. As of March 31, 2001, there was $78.0 million advanced under this facility.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March 31, 2002, we had borrowings of $170.7 million and letters of credit of $65.5 million outstanding under our $450.0 million five-year credit facility, and borrowings of $60.6 million outstanding under our U.S. commercial paper program. Commercial paper borrowings, which are backed by the five-year credit facility, have been classified as long-term debt due to the availability to refinance them on a long-term basis under this facility.</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both"/>
        <w:ind w:right="1999"/>
        <w:spacing w:after="0" w:line="237" w:lineRule="auto"/>
        <w:rPr>
          <w:sz w:val="20"/>
          <w:szCs w:val="20"/>
          <w:color w:val="auto"/>
        </w:rPr>
      </w:pPr>
      <w:r>
        <w:rPr>
          <w:rFonts w:ascii="Courier New" w:cs="Courier New" w:eastAsia="Courier New" w:hAnsi="Courier New"/>
          <w:sz w:val="18"/>
          <w:szCs w:val="18"/>
          <w:color w:val="auto"/>
        </w:rPr>
        <w:t>We and some of our foreign subsidiaries maintain separate lines of credit with foreign financial institutions to meet short-term working capital needs. As of March 31, 2002, such lines totaled $156.4 million, of which $149.3 million was unused.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unsecured zero-coupon convertible debentures, due August 2021 ("Debentures"), allow holders of the Debentures to require us to repurchase these Debentures at the issue price, plus accreted original issue discount, on the first, third, fifth, tenth and fifteenth anniversary dates. We have the option to settle this obligation in cash, common stock, or a combination thereof. Our intent is to settle any potential "put" in cash. Under the current economic environment, we do not anticipate that the Debentures will be "put" on the first anniversary date. If a "put" does become likely, however, we expect to alter the terms of the agreement with the holders of the Debentures to prevent the "put." In the event of a significant change in the economic environment, we may choose to settle the "put" with common stock, which may have a dilutive effect on existing shareholders.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Subsequent to March 31, 2002, Standard &amp; Poor's changed our credit rating outlook from neutral to negative and Moody's Corporation issued a press release indicating that our credit rating was under review for possible downgrade. We currently have an investment grade credit rating and do not anticipate the result of Moody's Corporation's review to decrease our credit rating below investment grade.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2001, which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Report on Form 10-K may be beyond our control. Forward-looking statements can be identified by words such as "expect", "anticipate", "intend", "plan", "may", "will", "believe", "seek", "estimate", and similar expressions. We caution you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740"/>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240"/>
        <w:spacing w:after="0"/>
        <w:rPr>
          <w:sz w:val="20"/>
          <w:szCs w:val="20"/>
          <w:color w:val="auto"/>
        </w:rPr>
      </w:pPr>
      <w:r>
        <w:rPr>
          <w:rFonts w:ascii="Courier New" w:cs="Courier New" w:eastAsia="Courier New" w:hAnsi="Courier New"/>
          <w:sz w:val="18"/>
          <w:szCs w:val="18"/>
          <w:color w:val="auto"/>
        </w:rPr>
        <w:t>MANPOWER INC.</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340"/>
          </w:cols>
          <w:pgMar w:left="240" w:top="71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Van Handel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Van Handel</w:t>
      </w:r>
    </w:p>
    <w:p>
      <w:pPr>
        <w:spacing w:after="0" w:line="238" w:lineRule="auto"/>
        <w:rPr>
          <w:sz w:val="20"/>
          <w:szCs w:val="20"/>
          <w:color w:val="auto"/>
        </w:rPr>
      </w:pPr>
      <w:r>
        <w:rPr>
          <w:rFonts w:ascii="Courier New" w:cs="Courier New" w:eastAsia="Courier New" w:hAnsi="Courier New"/>
          <w:sz w:val="18"/>
          <w:szCs w:val="18"/>
          <w:color w:val="auto"/>
        </w:rPr>
        <w:t>Executive Vice President, Chief Financial Officer, and</w:t>
      </w:r>
    </w:p>
    <w:p>
      <w:pPr>
        <w:spacing w:after="0"/>
        <w:rPr>
          <w:sz w:val="20"/>
          <w:szCs w:val="20"/>
          <w:color w:val="auto"/>
        </w:rPr>
      </w:pPr>
      <w:r>
        <w:rPr>
          <w:rFonts w:ascii="Courier New" w:cs="Courier New" w:eastAsia="Courier New" w:hAnsi="Courier New"/>
          <w:sz w:val="18"/>
          <w:szCs w:val="18"/>
          <w:color w:val="auto"/>
        </w:rPr>
        <w:t>Secretary (Signing on behalf of the Registrant and as the</w:t>
      </w:r>
    </w:p>
    <w:p>
      <w:pPr>
        <w:spacing w:after="0" w:line="237" w:lineRule="auto"/>
        <w:rPr>
          <w:sz w:val="20"/>
          <w:szCs w:val="20"/>
          <w:color w:val="auto"/>
        </w:rPr>
      </w:pPr>
      <w:r>
        <w:rPr>
          <w:rFonts w:ascii="Courier New" w:cs="Courier New" w:eastAsia="Courier New" w:hAnsi="Courier New"/>
          <w:sz w:val="18"/>
          <w:szCs w:val="18"/>
          <w:color w:val="auto"/>
        </w:rPr>
        <w:t>Principal Financial Officer and Principal Accounting</w:t>
      </w:r>
    </w:p>
    <w:p>
      <w:pPr>
        <w:spacing w:after="0" w:line="238"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540" w:space="200"/>
            <w:col w:w="2660" w:space="720"/>
            <w:col w:w="6220"/>
          </w:cols>
          <w:pgMar w:left="240" w:top="71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40"/>
          </w:cols>
          <w:pgMar w:left="240" w:top="717" w:right="1319" w:bottom="1440" w:gutter="0" w:footer="0" w:header="0"/>
          <w:type w:val="continuous"/>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 Jeffrey A. Joerres, Chairman and Chief Executive Officer of Manpower Inc., certify that:</w:t>
      </w:r>
    </w:p>
    <w:p>
      <w:pPr>
        <w:spacing w:after="0" w:line="208" w:lineRule="exact"/>
        <w:rPr>
          <w:sz w:val="20"/>
          <w:szCs w:val="20"/>
          <w:color w:val="auto"/>
        </w:rPr>
      </w:pPr>
    </w:p>
    <w:p>
      <w:pPr>
        <w:ind w:left="1700" w:right="1999" w:hanging="428"/>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Manpower Inc.; and</w:t>
      </w:r>
    </w:p>
    <w:p>
      <w:pPr>
        <w:spacing w:after="0" w:line="208" w:lineRule="exact"/>
        <w:rPr>
          <w:rFonts w:ascii="Courier New" w:cs="Courier New" w:eastAsia="Courier New" w:hAnsi="Courier New"/>
          <w:sz w:val="18"/>
          <w:szCs w:val="18"/>
          <w:color w:val="auto"/>
        </w:rPr>
      </w:pPr>
    </w:p>
    <w:p>
      <w:pPr>
        <w:ind w:left="1700" w:right="1779" w:hanging="428"/>
        <w:spacing w:after="0" w:line="237"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2002</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A. Joerres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Jeffrey A. Joerres</w:t>
      </w:r>
    </w:p>
    <w:p>
      <w:pPr>
        <w:spacing w:after="0" w:line="238" w:lineRule="auto"/>
        <w:rPr>
          <w:sz w:val="20"/>
          <w:szCs w:val="20"/>
          <w:color w:val="auto"/>
        </w:rPr>
      </w:pPr>
      <w:r>
        <w:rPr>
          <w:rFonts w:ascii="Courier New" w:cs="Courier New" w:eastAsia="Courier New" w:hAnsi="Courier New"/>
          <w:sz w:val="18"/>
          <w:szCs w:val="18"/>
          <w:color w:val="auto"/>
        </w:rPr>
        <w:t>Title: Chairman and</w:t>
      </w:r>
    </w:p>
    <w:p>
      <w:pPr>
        <w:ind w:left="7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1380" w:space="200"/>
            <w:col w:w="2340" w:space="720"/>
            <w:col w:w="557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 Michael J. Van Handel, Executive Vice President and Chief Financial Officer of Manpower Inc., certify that:</w:t>
      </w:r>
    </w:p>
    <w:p>
      <w:pPr>
        <w:spacing w:after="0" w:line="208" w:lineRule="exact"/>
        <w:rPr>
          <w:sz w:val="20"/>
          <w:szCs w:val="20"/>
          <w:color w:val="auto"/>
        </w:rPr>
      </w:pPr>
    </w:p>
    <w:p>
      <w:pPr>
        <w:ind w:left="1700" w:right="1999" w:hanging="428"/>
        <w:spacing w:after="0" w:line="235"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Manpower Inc.; and</w:t>
      </w:r>
    </w:p>
    <w:p>
      <w:pPr>
        <w:spacing w:after="0" w:line="208" w:lineRule="exact"/>
        <w:rPr>
          <w:rFonts w:ascii="Courier New" w:cs="Courier New" w:eastAsia="Courier New" w:hAnsi="Courier New"/>
          <w:sz w:val="18"/>
          <w:szCs w:val="18"/>
          <w:color w:val="auto"/>
        </w:rPr>
      </w:pPr>
    </w:p>
    <w:p>
      <w:pPr>
        <w:ind w:left="1700" w:right="1779" w:hanging="428"/>
        <w:spacing w:after="0" w:line="237"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2002</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Michael J. Van Handel ------------------------------------ By: Michael J. Van Handel</w:t>
      </w:r>
    </w:p>
    <w:p>
      <w:pPr>
        <w:spacing w:after="0" w:line="6" w:lineRule="exact"/>
        <w:rPr>
          <w:sz w:val="20"/>
          <w:szCs w:val="20"/>
          <w:color w:val="auto"/>
        </w:rPr>
      </w:pPr>
    </w:p>
    <w:p>
      <w:pPr>
        <w:sectPr>
          <w:pgSz w:w="11900" w:h="16838" w:orient="portrait"/>
          <w:cols w:equalWidth="0" w:num="3">
            <w:col w:w="1380" w:space="200"/>
            <w:col w:w="2340" w:space="720"/>
            <w:col w:w="5579"/>
          </w:cols>
          <w:pgMar w:left="240" w:top="717"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Title: Executive Vice President and</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2019-12-20T04:38:32Z</dcterms:created>
  <dcterms:modified xsi:type="dcterms:W3CDTF">2019-12-20T04:38:32Z</dcterms:modified>
</cp:coreProperties>
</file>