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 $ 0.01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56418H100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7</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r>
      <w:tr>
        <w:trPr>
          <w:trHeight w:val="203"/>
        </w:trPr>
        <w:tc>
          <w:tcPr>
            <w:tcW w:w="34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CUSIP No. 56418H100</w:t>
            </w:r>
          </w:p>
        </w:tc>
        <w:tc>
          <w:tcPr>
            <w:tcW w:w="1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7180" w:hanging="430"/>
        <w:spacing w:after="0"/>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447" w:right="1440" w:bottom="254"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1,768,846</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129,844</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2,766,260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131,944</w:t>
            </w:r>
          </w:p>
        </w:tc>
      </w:tr>
    </w:tbl>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2,898,204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80" w:right="2739" w:hanging="7172"/>
        <w:spacing w:after="0" w:line="399" w:lineRule="auto"/>
        <w:tabs>
          <w:tab w:leader="none" w:pos="64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4419" w:hanging="1152"/>
        <w:spacing w:after="0" w:line="708" w:lineRule="auto"/>
        <w:tabs>
          <w:tab w:leader="none" w:pos="6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3.6 %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WISCONSIN 53212</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Persons Filing:</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GOLDMAN SACHS ASSET MANAGEMENT, L.P.</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Goldman Sachs Asset Management, L.P.</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32 Old Slip</w:t>
      </w:r>
    </w:p>
    <w:p>
      <w:pPr>
        <w:ind w:left="2000"/>
        <w:spacing w:after="0" w:line="238" w:lineRule="auto"/>
        <w:tabs>
          <w:tab w:leader="none" w:pos="3460" w:val="left"/>
        </w:tabs>
        <w:rPr>
          <w:sz w:val="20"/>
          <w:szCs w:val="20"/>
          <w:color w:val="auto"/>
        </w:rPr>
      </w:pPr>
      <w:r>
        <w:rPr>
          <w:rFonts w:ascii="Courier New" w:cs="Courier New" w:eastAsia="Courier New" w:hAnsi="Courier New"/>
          <w:sz w:val="18"/>
          <w:szCs w:val="18"/>
          <w:color w:val="auto"/>
        </w:rPr>
        <w:t>New York, NY</w:t>
        <w:tab/>
        <w:t>10005</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ASSET MANAGEMENT, L.P. - Delaware</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,$ 0.01 par value</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3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is a:</w:t>
      </w:r>
    </w:p>
    <w:p>
      <w:pPr>
        <w:spacing w:after="0" w:line="17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ind w:right="231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ectPr>
          <w:pgSz w:w="11900" w:h="16838" w:orient="portrait"/>
          <w:cols w:equalWidth="0" w:num="2">
            <w:col w:w="1580" w:space="540"/>
            <w:col w:w="8099"/>
          </w:cols>
          <w:pgMar w:left="240" w:top="723"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ind w:right="335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ectPr>
          <w:pgSz w:w="11900" w:h="16838" w:orient="portrait"/>
          <w:cols w:equalWidth="0" w:num="2">
            <w:col w:w="1580" w:space="540"/>
            <w:col w:w="8099"/>
          </w:cols>
          <w:pgMar w:left="240" w:top="723"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ind w:right="187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Insurance company as defined in Section 3(a)(19) of the Act (15 U.S.C. 78c).</w:t>
      </w:r>
    </w:p>
    <w:p>
      <w:pPr>
        <w:spacing w:after="0" w:line="200" w:lineRule="exact"/>
        <w:rPr>
          <w:sz w:val="20"/>
          <w:szCs w:val="20"/>
          <w:color w:val="auto"/>
        </w:rPr>
      </w:pPr>
    </w:p>
    <w:p>
      <w:pPr>
        <w:sectPr>
          <w:pgSz w:w="11900" w:h="16838" w:orient="portrait"/>
          <w:cols w:equalWidth="0" w:num="2">
            <w:col w:w="1580" w:space="540"/>
            <w:col w:w="8099"/>
          </w:cols>
          <w:pgMar w:left="240" w:top="723"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jc w:val="center"/>
        <w:ind w:right="2619"/>
        <w:spacing w:after="0"/>
        <w:tabs>
          <w:tab w:leader="none" w:pos="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Investment company registered under Section 8 of the</w:t>
      </w:r>
    </w:p>
    <w:p>
      <w:pPr>
        <w:jc w:val="center"/>
        <w:ind w:right="2619"/>
        <w:spacing w:after="0" w:line="238" w:lineRule="auto"/>
        <w:rPr>
          <w:sz w:val="20"/>
          <w:szCs w:val="20"/>
          <w:color w:val="auto"/>
        </w:rPr>
      </w:pPr>
      <w:r>
        <w:rPr>
          <w:rFonts w:ascii="Courier New" w:cs="Courier New" w:eastAsia="Courier New" w:hAnsi="Courier New"/>
          <w:sz w:val="18"/>
          <w:szCs w:val="18"/>
          <w:color w:val="auto"/>
        </w:rPr>
        <w:t>Investment Company Act of 1940 (15 U.S.C. 80a-8).</w:t>
      </w:r>
    </w:p>
    <w:p>
      <w:pPr>
        <w:spacing w:after="0" w:line="200" w:lineRule="exact"/>
        <w:rPr>
          <w:sz w:val="20"/>
          <w:szCs w:val="20"/>
          <w:color w:val="auto"/>
        </w:rPr>
      </w:pPr>
    </w:p>
    <w:p>
      <w:pPr>
        <w:sectPr>
          <w:pgSz w:w="11900" w:h="16838" w:orient="portrait"/>
          <w:cols w:equalWidth="0" w:num="2">
            <w:col w:w="1580" w:space="220"/>
            <w:col w:w="8419"/>
          </w:cols>
          <w:pgMar w:left="240" w:top="723" w:right="1440" w:bottom="144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w:t>
      </w:r>
    </w:p>
    <w:p>
      <w:pPr>
        <w:spacing w:after="0" w:line="20" w:lineRule="exact"/>
        <w:rPr>
          <w:sz w:val="20"/>
          <w:szCs w:val="20"/>
          <w:color w:val="auto"/>
        </w:rPr>
      </w:pPr>
      <w:r>
        <w:rPr>
          <w:sz w:val="20"/>
          <w:szCs w:val="20"/>
          <w:color w:val="auto"/>
        </w:rPr>
        <w:br w:type="column"/>
      </w:r>
    </w:p>
    <w:p>
      <w:pPr>
        <w:ind w:right="3899"/>
        <w:spacing w:after="0" w:line="235" w:lineRule="auto"/>
        <w:rPr>
          <w:sz w:val="20"/>
          <w:szCs w:val="20"/>
          <w:color w:val="auto"/>
        </w:rPr>
      </w:pPr>
      <w:r>
        <w:rPr>
          <w:rFonts w:ascii="Courier New" w:cs="Courier New" w:eastAsia="Courier New" w:hAnsi="Courier New"/>
          <w:sz w:val="18"/>
          <w:szCs w:val="18"/>
          <w:color w:val="auto"/>
        </w:rPr>
        <w:t>An investment adviser in accordance with Rule 13d-1(b)(1)(ii)(E);</w:t>
      </w:r>
    </w:p>
    <w:p>
      <w:pPr>
        <w:spacing w:after="0" w:line="200" w:lineRule="exact"/>
        <w:rPr>
          <w:sz w:val="20"/>
          <w:szCs w:val="20"/>
          <w:color w:val="auto"/>
        </w:rPr>
      </w:pPr>
    </w:p>
    <w:p>
      <w:pPr>
        <w:sectPr>
          <w:pgSz w:w="11900" w:h="16838" w:orient="portrait"/>
          <w:cols w:equalWidth="0" w:num="2">
            <w:col w:w="1800" w:space="320"/>
            <w:col w:w="8099"/>
          </w:cols>
          <w:pgMar w:left="240" w:top="723"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w:t>
      </w:r>
    </w:p>
    <w:p>
      <w:pPr>
        <w:spacing w:after="0" w:line="20" w:lineRule="exact"/>
        <w:rPr>
          <w:sz w:val="20"/>
          <w:szCs w:val="20"/>
          <w:color w:val="auto"/>
        </w:rPr>
      </w:pPr>
      <w:r>
        <w:rPr>
          <w:sz w:val="20"/>
          <w:szCs w:val="20"/>
          <w:color w:val="auto"/>
        </w:rPr>
        <w:br w:type="column"/>
      </w:r>
    </w:p>
    <w:p>
      <w:pPr>
        <w:ind w:right="219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An employee benefit plan or endowment fund in accordance with Rule 13d-1(b)(1)(ii)(F);</w:t>
      </w:r>
    </w:p>
    <w:p>
      <w:pPr>
        <w:spacing w:after="0" w:line="200" w:lineRule="exact"/>
        <w:rPr>
          <w:sz w:val="20"/>
          <w:szCs w:val="20"/>
          <w:color w:val="auto"/>
        </w:rPr>
      </w:pPr>
    </w:p>
    <w:p>
      <w:pPr>
        <w:sectPr>
          <w:pgSz w:w="11900" w:h="16838" w:orient="portrait"/>
          <w:cols w:equalWidth="0" w:num="2">
            <w:col w:w="1580" w:space="540"/>
            <w:col w:w="8099"/>
          </w:cols>
          <w:pgMar w:left="240" w:top="723"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(g).[</w:t>
      </w:r>
    </w:p>
    <w:p>
      <w:pPr>
        <w:spacing w:after="0" w:line="20" w:lineRule="exact"/>
        <w:rPr>
          <w:sz w:val="20"/>
          <w:szCs w:val="20"/>
          <w:color w:val="auto"/>
        </w:rPr>
      </w:pPr>
      <w:r>
        <w:rPr>
          <w:sz w:val="20"/>
          <w:szCs w:val="20"/>
          <w:color w:val="auto"/>
        </w:rPr>
        <w:br w:type="column"/>
      </w:r>
    </w:p>
    <w:p>
      <w:pPr>
        <w:ind w:right="219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A parent holding company or control person in accordance with Rule 13d-1(b)(1)(ii)(G);</w:t>
      </w:r>
    </w:p>
    <w:p>
      <w:pPr>
        <w:spacing w:after="0" w:line="200" w:lineRule="exact"/>
        <w:rPr>
          <w:sz w:val="20"/>
          <w:szCs w:val="20"/>
          <w:color w:val="auto"/>
        </w:rPr>
      </w:pPr>
    </w:p>
    <w:p>
      <w:pPr>
        <w:sectPr>
          <w:pgSz w:w="11900" w:h="16838" w:orient="portrait"/>
          <w:cols w:equalWidth="0" w:num="2">
            <w:col w:w="1580" w:space="540"/>
            <w:col w:w="8099"/>
          </w:cols>
          <w:pgMar w:left="240" w:top="723"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(h).[</w:t>
      </w:r>
    </w:p>
    <w:p>
      <w:pPr>
        <w:spacing w:after="0" w:line="20" w:lineRule="exact"/>
        <w:rPr>
          <w:sz w:val="20"/>
          <w:szCs w:val="20"/>
          <w:color w:val="auto"/>
        </w:rPr>
      </w:pPr>
      <w:r>
        <w:rPr>
          <w:sz w:val="20"/>
          <w:szCs w:val="20"/>
          <w:color w:val="auto"/>
        </w:rPr>
        <w:br w:type="column"/>
      </w:r>
    </w:p>
    <w:p>
      <w:pPr>
        <w:ind w:right="231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580" w:space="540"/>
            <w:col w:w="8099"/>
          </w:cols>
          <w:pgMar w:left="240" w:top="723"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w:t>
      </w:r>
    </w:p>
    <w:p>
      <w:pPr>
        <w:spacing w:after="0" w:line="20" w:lineRule="exact"/>
        <w:rPr>
          <w:sz w:val="20"/>
          <w:szCs w:val="20"/>
          <w:color w:val="auto"/>
        </w:rPr>
      </w:pPr>
      <w:r>
        <w:rPr>
          <w:sz w:val="20"/>
          <w:szCs w:val="20"/>
          <w:color w:val="auto"/>
        </w:rPr>
        <w:br w:type="column"/>
      </w:r>
    </w:p>
    <w:p>
      <w:pPr>
        <w:ind w:right="2199" w:hanging="319"/>
        <w:spacing w:after="0" w:line="23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ectPr>
          <w:pgSz w:w="11900" w:h="16838" w:orient="portrait"/>
          <w:cols w:equalWidth="0" w:num="2">
            <w:col w:w="1580" w:space="540"/>
            <w:col w:w="8099"/>
          </w:cols>
          <w:pgMar w:left="240" w:top="723" w:right="1440" w:bottom="1440"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Rule 13d-1(b)(1)(ii)(J).</w:t>
      </w:r>
    </w:p>
    <w:p>
      <w:pPr>
        <w:spacing w:after="0" w:line="200" w:lineRule="exact"/>
        <w:rPr>
          <w:sz w:val="20"/>
          <w:szCs w:val="20"/>
          <w:color w:val="auto"/>
        </w:rPr>
      </w:pPr>
    </w:p>
    <w:p>
      <w:pPr>
        <w:sectPr>
          <w:pgSz w:w="11900" w:h="16838" w:orient="portrait"/>
          <w:cols w:equalWidth="0" w:num="2">
            <w:col w:w="1580" w:space="220"/>
            <w:col w:w="8419"/>
          </w:cols>
          <w:pgMar w:left="240" w:top="723"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3 of 7</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280" w:space="720"/>
            <w:col w:w="8219"/>
          </w:cols>
          <w:pgMar w:left="240" w:top="520" w:right="1440" w:bottom="144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 to Item 9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Percent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response(s)to Item 11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1440" w:gutter="0" w:footer="0" w:header="0"/>
          <w:type w:val="continuous"/>
        </w:sectPr>
      </w:pPr>
    </w:p>
    <w:p>
      <w:pPr>
        <w:spacing w:after="0" w:line="18"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7" w:lineRule="exact"/>
        <w:rPr>
          <w:sz w:val="20"/>
          <w:szCs w:val="20"/>
          <w:color w:val="auto"/>
        </w:rPr>
      </w:pPr>
    </w:p>
    <w:p>
      <w:pPr>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right"/>
        <w:ind w:left="2000" w:right="1879"/>
        <w:spacing w:after="0" w:line="235" w:lineRule="auto"/>
        <w:rPr>
          <w:sz w:val="20"/>
          <w:szCs w:val="20"/>
          <w:color w:val="auto"/>
        </w:rPr>
      </w:pPr>
      <w:r>
        <w:rPr>
          <w:rFonts w:ascii="Courier New" w:cs="Courier New" w:eastAsia="Courier New" w:hAnsi="Courier New"/>
          <w:sz w:val="18"/>
          <w:szCs w:val="18"/>
          <w:color w:val="auto"/>
        </w:rPr>
        <w:t>(ii).   Shared power to vote or to direct the vote:  See the response(s) to Item 6 on the attached cover page(s).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880" w:type="dxa"/>
            <w:vAlign w:val="bottom"/>
          </w:tcPr>
          <w:p>
            <w:pPr>
              <w:ind w:left="560"/>
              <w:spacing w:after="0"/>
              <w:rPr>
                <w:sz w:val="20"/>
                <w:szCs w:val="20"/>
                <w:color w:val="auto"/>
              </w:rPr>
            </w:pPr>
            <w:r>
              <w:rPr>
                <w:rFonts w:ascii="Courier New" w:cs="Courier New" w:eastAsia="Courier New" w:hAnsi="Courier New"/>
                <w:sz w:val="18"/>
                <w:szCs w:val="18"/>
                <w:color w:val="auto"/>
              </w:rPr>
              <w:t>(iii).  Sole</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power to</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dispose or to</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1700" w:type="dxa"/>
            <w:vAlign w:val="bottom"/>
          </w:tcPr>
          <w:p>
            <w:pPr>
              <w:spacing w:after="0"/>
              <w:rPr>
                <w:sz w:val="20"/>
                <w:szCs w:val="20"/>
                <w:color w:val="auto"/>
              </w:rPr>
            </w:pPr>
            <w:r>
              <w:rPr>
                <w:rFonts w:ascii="Courier New" w:cs="Courier New" w:eastAsia="Courier New" w:hAnsi="Courier New"/>
                <w:sz w:val="18"/>
                <w:szCs w:val="18"/>
                <w:color w:val="auto"/>
              </w:rPr>
              <w:t>the disposition</w:t>
            </w:r>
          </w:p>
        </w:tc>
      </w:tr>
      <w:tr>
        <w:trPr>
          <w:trHeight w:val="203"/>
        </w:trPr>
        <w:tc>
          <w:tcPr>
            <w:tcW w:w="1440" w:type="dxa"/>
            <w:vAlign w:val="bottom"/>
          </w:tcPr>
          <w:p>
            <w:pPr>
              <w:spacing w:after="0"/>
              <w:rPr>
                <w:sz w:val="17"/>
                <w:szCs w:val="17"/>
                <w:color w:val="auto"/>
              </w:rPr>
            </w:pPr>
          </w:p>
        </w:tc>
        <w:tc>
          <w:tcPr>
            <w:tcW w:w="18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of:</w:t>
            </w:r>
          </w:p>
        </w:tc>
        <w:tc>
          <w:tcPr>
            <w:tcW w:w="2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7</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on the attached</w:t>
            </w:r>
          </w:p>
        </w:tc>
      </w:tr>
      <w:tr>
        <w:trPr>
          <w:trHeight w:val="203"/>
        </w:trPr>
        <w:tc>
          <w:tcPr>
            <w:tcW w:w="1440" w:type="dxa"/>
            <w:vAlign w:val="bottom"/>
          </w:tcPr>
          <w:p>
            <w:pPr>
              <w:spacing w:after="0"/>
              <w:rPr>
                <w:sz w:val="17"/>
                <w:szCs w:val="17"/>
                <w:color w:val="auto"/>
              </w:rPr>
            </w:pPr>
          </w:p>
        </w:tc>
        <w:tc>
          <w:tcPr>
            <w:tcW w:w="442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7000" w:type="dxa"/>
            <w:vAlign w:val="bottom"/>
            <w:gridSpan w:val="5"/>
          </w:tcPr>
          <w:p>
            <w:pPr>
              <w:ind w:left="560"/>
              <w:spacing w:after="0"/>
              <w:rPr>
                <w:sz w:val="20"/>
                <w:szCs w:val="20"/>
                <w:color w:val="auto"/>
              </w:rPr>
            </w:pPr>
            <w:r>
              <w:rPr>
                <w:rFonts w:ascii="Courier New" w:cs="Courier New" w:eastAsia="Courier New" w:hAnsi="Courier New"/>
                <w:sz w:val="18"/>
                <w:szCs w:val="18"/>
                <w:color w:val="auto"/>
                <w:w w:val="99"/>
              </w:rPr>
              <w:t>(iv).   Shared power to dispose or to direct the disposition</w:t>
            </w:r>
          </w:p>
        </w:tc>
      </w:tr>
      <w:tr>
        <w:trPr>
          <w:trHeight w:val="203"/>
        </w:trPr>
        <w:tc>
          <w:tcPr>
            <w:tcW w:w="1440" w:type="dxa"/>
            <w:vAlign w:val="bottom"/>
          </w:tcPr>
          <w:p>
            <w:pPr>
              <w:spacing w:after="0"/>
              <w:rPr>
                <w:sz w:val="17"/>
                <w:szCs w:val="17"/>
                <w:color w:val="auto"/>
              </w:rPr>
            </w:pPr>
          </w:p>
        </w:tc>
        <w:tc>
          <w:tcPr>
            <w:tcW w:w="18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of:</w:t>
            </w:r>
          </w:p>
        </w:tc>
        <w:tc>
          <w:tcPr>
            <w:tcW w:w="2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8</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on the attached</w:t>
            </w:r>
          </w:p>
        </w:tc>
      </w:tr>
      <w:tr>
        <w:trPr>
          <w:trHeight w:val="203"/>
        </w:trPr>
        <w:tc>
          <w:tcPr>
            <w:tcW w:w="1440" w:type="dxa"/>
            <w:vAlign w:val="bottom"/>
          </w:tcPr>
          <w:p>
            <w:pPr>
              <w:spacing w:after="0"/>
              <w:rPr>
                <w:sz w:val="17"/>
                <w:szCs w:val="17"/>
                <w:color w:val="auto"/>
              </w:rPr>
            </w:pPr>
          </w:p>
        </w:tc>
        <w:tc>
          <w:tcPr>
            <w:tcW w:w="442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300" w:type="dxa"/>
            <w:vAlign w:val="bottom"/>
            <w:gridSpan w:val="4"/>
          </w:tcPr>
          <w:p>
            <w:pPr>
              <w:ind w:left="560"/>
              <w:spacing w:after="0"/>
              <w:rPr>
                <w:sz w:val="20"/>
                <w:szCs w:val="20"/>
                <w:color w:val="auto"/>
              </w:rPr>
            </w:pPr>
            <w:r>
              <w:rPr>
                <w:rFonts w:ascii="Courier New" w:cs="Courier New" w:eastAsia="Courier New" w:hAnsi="Courier New"/>
                <w:sz w:val="18"/>
                <w:szCs w:val="18"/>
                <w:color w:val="auto"/>
                <w:w w:val="97"/>
              </w:rPr>
              <w:t>Ownership of Five Percent or Less of a Class.</w:t>
            </w:r>
          </w:p>
        </w:tc>
        <w:tc>
          <w:tcPr>
            <w:tcW w:w="17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If this statement is being filed to report the fact that as</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of the date hereof the reporting persons have ceased to be</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the beneficial owners of more than five percent of the class</w:t>
            </w:r>
          </w:p>
        </w:tc>
      </w:tr>
      <w:tr>
        <w:trPr>
          <w:trHeight w:val="203"/>
        </w:trPr>
        <w:tc>
          <w:tcPr>
            <w:tcW w:w="1440" w:type="dxa"/>
            <w:vAlign w:val="bottom"/>
          </w:tcPr>
          <w:p>
            <w:pPr>
              <w:spacing w:after="0"/>
              <w:rPr>
                <w:sz w:val="17"/>
                <w:szCs w:val="17"/>
                <w:color w:val="auto"/>
              </w:rPr>
            </w:pPr>
          </w:p>
        </w:tc>
        <w:tc>
          <w:tcPr>
            <w:tcW w:w="530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rPr>
              <w:t>of securities, check the following [X].</w:t>
            </w: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00" w:type="dxa"/>
            <w:vAlign w:val="bottom"/>
            <w:gridSpan w:val="5"/>
          </w:tcPr>
          <w:p>
            <w:pPr>
              <w:ind w:left="56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r>
      <w:tr>
        <w:trPr>
          <w:trHeight w:val="203"/>
        </w:trPr>
        <w:tc>
          <w:tcPr>
            <w:tcW w:w="1440" w:type="dxa"/>
            <w:vAlign w:val="bottom"/>
          </w:tcPr>
          <w:p>
            <w:pPr>
              <w:spacing w:after="0"/>
              <w:rPr>
                <w:sz w:val="17"/>
                <w:szCs w:val="17"/>
                <w:color w:val="auto"/>
              </w:rPr>
            </w:pPr>
          </w:p>
        </w:tc>
        <w:tc>
          <w:tcPr>
            <w:tcW w:w="18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Person.</w:t>
            </w: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42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780" w:type="dxa"/>
            <w:vAlign w:val="bottom"/>
            <w:gridSpan w:val="2"/>
          </w:tcPr>
          <w:p>
            <w:pPr>
              <w:ind w:left="560"/>
              <w:spacing w:after="0"/>
              <w:rPr>
                <w:sz w:val="20"/>
                <w:szCs w:val="20"/>
                <w:color w:val="auto"/>
              </w:rPr>
            </w:pPr>
            <w:r>
              <w:rPr>
                <w:rFonts w:ascii="Courier New" w:cs="Courier New" w:eastAsia="Courier New" w:hAnsi="Courier New"/>
                <w:sz w:val="18"/>
                <w:szCs w:val="18"/>
                <w:color w:val="auto"/>
              </w:rPr>
              <w:t>Identification  and</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Classification</w:t>
            </w:r>
          </w:p>
        </w:tc>
        <w:tc>
          <w:tcPr>
            <w:tcW w:w="2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the Subsidiary Which</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Acquired  the  Security  Being  Reported  on  by the  Parent</w:t>
            </w:r>
          </w:p>
        </w:tc>
      </w:tr>
      <w:tr>
        <w:trPr>
          <w:trHeight w:val="203"/>
        </w:trPr>
        <w:tc>
          <w:tcPr>
            <w:tcW w:w="1440" w:type="dxa"/>
            <w:vAlign w:val="bottom"/>
          </w:tcPr>
          <w:p>
            <w:pPr>
              <w:spacing w:after="0"/>
              <w:rPr>
                <w:sz w:val="17"/>
                <w:szCs w:val="17"/>
                <w:color w:val="auto"/>
              </w:rPr>
            </w:pPr>
          </w:p>
        </w:tc>
        <w:tc>
          <w:tcPr>
            <w:tcW w:w="278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Holding Company.</w:t>
            </w: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42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000" w:type="dxa"/>
            <w:vAlign w:val="bottom"/>
            <w:gridSpan w:val="5"/>
          </w:tcPr>
          <w:p>
            <w:pPr>
              <w:ind w:left="5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40" w:type="dxa"/>
            <w:vAlign w:val="bottom"/>
          </w:tcPr>
          <w:p>
            <w:pPr>
              <w:spacing w:after="0"/>
              <w:rPr>
                <w:sz w:val="17"/>
                <w:szCs w:val="17"/>
                <w:color w:val="auto"/>
              </w:rPr>
            </w:pPr>
          </w:p>
        </w:tc>
        <w:tc>
          <w:tcPr>
            <w:tcW w:w="442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42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Notice of Dissolution of Group.</w:t>
            </w: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442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780" w:type="dxa"/>
            <w:vAlign w:val="bottom"/>
            <w:gridSpan w:val="2"/>
          </w:tcPr>
          <w:p>
            <w:pPr>
              <w:ind w:left="560"/>
              <w:spacing w:after="0"/>
              <w:rPr>
                <w:sz w:val="20"/>
                <w:szCs w:val="20"/>
                <w:color w:val="auto"/>
              </w:rPr>
            </w:pPr>
            <w:r>
              <w:rPr>
                <w:rFonts w:ascii="Courier New" w:cs="Courier New" w:eastAsia="Courier New" w:hAnsi="Courier New"/>
                <w:sz w:val="18"/>
                <w:szCs w:val="18"/>
                <w:color w:val="auto"/>
              </w:rPr>
              <w:t>Certification.</w:t>
            </w: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By signing below I certify that, to the best of my knowledge</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and are held in the ordinary course of business and were not</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effect of changing or influencing the control of the issuer</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of the securities and were not acquired and are not held in</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7"/>
              </w:rPr>
              <w:t>connection with or as a participant in any transaction having</w:t>
            </w:r>
          </w:p>
        </w:tc>
      </w:tr>
      <w:tr>
        <w:trPr>
          <w:trHeight w:val="203"/>
        </w:trPr>
        <w:tc>
          <w:tcPr>
            <w:tcW w:w="1440" w:type="dxa"/>
            <w:vAlign w:val="bottom"/>
          </w:tcPr>
          <w:p>
            <w:pPr>
              <w:spacing w:after="0"/>
              <w:rPr>
                <w:sz w:val="17"/>
                <w:szCs w:val="17"/>
                <w:color w:val="auto"/>
              </w:rPr>
            </w:pPr>
          </w:p>
        </w:tc>
        <w:tc>
          <w:tcPr>
            <w:tcW w:w="442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rPr>
              <w:t>that purpose or effect.</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 In accordance with Securities and Exchange Commission ("SEC") Release No. 34-39538 (January 12, 1998), this filing reflects the securities beneficially owned by Goldman Sachs Asset Management, L.P. ("GSAM LP"). GSAM LP, an investment advisor, disclaims beneficial ownership of any securities managed, on GSAM LP's behalf,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7</w:t>
      </w:r>
    </w:p>
    <w:p>
      <w:pPr>
        <w:sectPr>
          <w:pgSz w:w="11900" w:h="16838" w:orient="portrait"/>
          <w:cols w:equalWidth="0" w:num="1">
            <w:col w:w="10219"/>
          </w:cols>
          <w:pgMar w:left="240" w:top="520" w:right="1440" w:bottom="1440" w:gutter="0" w:footer="0" w:header="0"/>
          <w:type w:val="continuous"/>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31, 2008</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By:/s/</w:t>
      </w:r>
      <w:r>
        <w:rPr>
          <w:sz w:val="20"/>
          <w:szCs w:val="20"/>
          <w:color w:val="auto"/>
        </w:rPr>
        <w:tab/>
      </w:r>
      <w:r>
        <w:rPr>
          <w:rFonts w:ascii="Courier New" w:cs="Courier New" w:eastAsia="Courier New" w:hAnsi="Courier New"/>
          <w:sz w:val="16"/>
          <w:szCs w:val="16"/>
          <w:color w:val="auto"/>
        </w:rPr>
        <w:t>Catherine Wedgbury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Catherine Wedgbury</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7</w:t>
      </w:r>
    </w:p>
    <w:p>
      <w:pPr>
        <w:sectPr>
          <w:pgSz w:w="11900" w:h="16838" w:orient="portrait"/>
          <w:cols w:equalWidth="0" w:num="1">
            <w:col w:w="10219"/>
          </w:cols>
          <w:pgMar w:left="240" w:top="717"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Exhibit</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Power of Attorney, relating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ASSET MANAGEMENT, L.P.</w:t>
      </w:r>
    </w:p>
    <w:p>
      <w:pPr>
        <w:spacing w:after="0" w:line="200" w:lineRule="exact"/>
        <w:rPr>
          <w:sz w:val="20"/>
          <w:szCs w:val="20"/>
          <w:color w:val="auto"/>
        </w:rPr>
      </w:pPr>
    </w:p>
    <w:p>
      <w:pPr>
        <w:sectPr>
          <w:pgSz w:w="11900" w:h="16838" w:orient="portrait"/>
          <w:cols w:equalWidth="0" w:num="2">
            <w:col w:w="1380" w:space="320"/>
            <w:col w:w="8519"/>
          </w:cols>
          <w:pgMar w:left="240" w:top="723" w:right="1440" w:bottom="1440" w:gutter="0" w:footer="0" w:header="0"/>
          <w:type w:val="continuous"/>
        </w:sectPr>
      </w:pPr>
    </w:p>
    <w:p>
      <w:pPr>
        <w:spacing w:after="0" w:line="2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6 of 7</w:t>
      </w:r>
    </w:p>
    <w:p>
      <w:pPr>
        <w:sectPr>
          <w:pgSz w:w="11900" w:h="16838" w:orient="portrait"/>
          <w:cols w:equalWidth="0" w:num="1">
            <w:col w:w="10219"/>
          </w:cols>
          <w:pgMar w:left="240" w:top="723"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spacing w:after="0" w:line="270" w:lineRule="auto"/>
        <w:rPr>
          <w:sz w:val="20"/>
          <w:szCs w:val="20"/>
          <w:color w:val="auto"/>
        </w:rPr>
      </w:pPr>
      <w:r>
        <w:rPr>
          <w:rFonts w:ascii="Courier New" w:cs="Courier New" w:eastAsia="Courier New" w:hAnsi="Courier New"/>
          <w:sz w:val="16"/>
          <w:szCs w:val="16"/>
          <w:color w:val="auto"/>
        </w:rPr>
        <w:t>KNOW ALL PERSONS BY THESE PRESENTS that GOLDMAN SACHS ASSET MANAGEMENT, L.P. (the "Company") does hereby make, constitute and appoint each of Catherine Wedgbury, Ronald L. Christopher and Lauren LoFaro,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87" w:lineRule="exact"/>
        <w:rPr>
          <w:sz w:val="20"/>
          <w:szCs w:val="20"/>
          <w:color w:val="auto"/>
        </w:rPr>
      </w:pPr>
    </w:p>
    <w:p>
      <w:pPr>
        <w:jc w:val="both"/>
        <w:ind w:right="21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jc w:val="both"/>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4, 2007.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Ellen R. Porges</w:t>
      </w:r>
    </w:p>
    <w:p>
      <w:pPr>
        <w:spacing w:after="0" w:line="238" w:lineRule="auto"/>
        <w:rPr>
          <w:sz w:val="20"/>
          <w:szCs w:val="20"/>
          <w:color w:val="auto"/>
        </w:rPr>
      </w:pPr>
      <w:r>
        <w:rPr>
          <w:rFonts w:ascii="Courier New" w:cs="Courier New" w:eastAsia="Courier New" w:hAnsi="Courier New"/>
          <w:sz w:val="18"/>
          <w:szCs w:val="18"/>
          <w:color w:val="auto"/>
        </w:rPr>
        <w:t>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Ellen R. Porges</w:t>
      </w:r>
    </w:p>
    <w:p>
      <w:pPr>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7</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upperLetter"/>
      <w:start w:val="24"/>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6">
    <w:nsid w:val="216231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7">
    <w:nsid w:val="1F16E9E8"/>
    <w:multiLevelType w:val="hybridMultilevel"/>
    <w:lvl w:ilvl="0">
      <w:lvlJc w:val="left"/>
      <w:lvlText w:val="-"/>
      <w:numFmt w:val="bullet"/>
      <w:start w:val="1"/>
    </w:lvl>
    <w:lvl w:ilvl="1">
      <w:lvlJc w:val="left"/>
      <w:lvlText w:val="%2."/>
      <w:numFmt w:val="decimal"/>
      <w:start w:val="4"/>
    </w:lvl>
  </w:abstractNum>
  <w:abstractNum w:abstractNumId="8">
    <w:nsid w:val="1190CDE7"/>
    <w:multiLevelType w:val="hybridMultilevel"/>
    <w:lvl w:ilvl="0">
      <w:lvlJc w:val="left"/>
      <w:lvlText w:val="-"/>
      <w:numFmt w:val="bullet"/>
      <w:start w:val="1"/>
    </w:lvl>
    <w:lvl w:ilvl="1">
      <w:lvlJc w:val="left"/>
      <w:lvlText w:val="%2."/>
      <w:numFmt w:val="decimal"/>
      <w:start w:val="5"/>
    </w:lvl>
  </w:abstractNum>
  <w:abstractNum w:abstractNumId="9">
    <w:nsid w:val="66EF438D"/>
    <w:multiLevelType w:val="hybridMultilevel"/>
    <w:lvl w:ilvl="0">
      <w:lvlJc w:val="left"/>
      <w:lvlText w:val="-"/>
      <w:numFmt w:val="bullet"/>
      <w:start w:val="1"/>
    </w:lvl>
    <w:lvl w:ilvl="1">
      <w:lvlJc w:val="left"/>
      <w:lvlText w:val="%2."/>
      <w:numFmt w:val="decimal"/>
      <w:start w:val="9"/>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decimal"/>
      <w:start w:val="1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2019-12-19T21:52:04Z</dcterms:created>
  <dcterms:modified xsi:type="dcterms:W3CDTF">2019-12-19T21:52:04Z</dcterms:modified>
</cp:coreProperties>
</file>