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line="230" w:lineRule="auto"/>
        <w:rPr>
          <w:sz w:val="20"/>
          <w:szCs w:val="20"/>
          <w:color w:val="auto"/>
        </w:rPr>
      </w:pPr>
      <w:r>
        <w:rPr>
          <w:rFonts w:ascii="Arial" w:cs="Arial" w:eastAsia="Arial" w:hAnsi="Arial"/>
          <w:sz w:val="22"/>
          <w:szCs w:val="22"/>
          <w:b w:val="1"/>
          <w:bCs w:val="1"/>
          <w:color w:val="auto"/>
        </w:rPr>
        <w:t>WASHINGTON, D.C. 20549</w:t>
      </w:r>
    </w:p>
    <w:p>
      <w:pPr>
        <w:spacing w:after="0" w:line="1" w:lineRule="exact"/>
        <w:rPr>
          <w:sz w:val="24"/>
          <w:szCs w:val="24"/>
          <w:color w:val="auto"/>
        </w:rPr>
      </w:pPr>
    </w:p>
    <w:p>
      <w:pPr>
        <w:ind w:left="3640"/>
        <w:spacing w:after="0"/>
        <w:rPr>
          <w:sz w:val="20"/>
          <w:szCs w:val="20"/>
          <w:color w:val="auto"/>
        </w:rPr>
      </w:pPr>
      <w:r>
        <w:rPr>
          <w:rFonts w:ascii="Arial" w:cs="Arial" w:eastAsia="Arial" w:hAnsi="Arial"/>
          <w:sz w:val="22"/>
          <w:szCs w:val="22"/>
          <w:color w:val="auto"/>
        </w:rPr>
        <w:t>________________</w:t>
      </w:r>
    </w:p>
    <w:p>
      <w:pPr>
        <w:spacing w:after="0" w:line="182" w:lineRule="exact"/>
        <w:rPr>
          <w:sz w:val="24"/>
          <w:szCs w:val="24"/>
          <w:color w:val="auto"/>
        </w:rPr>
      </w:pPr>
    </w:p>
    <w:p>
      <w:pPr>
        <w:ind w:left="3700"/>
        <w:spacing w:after="0"/>
        <w:rPr>
          <w:sz w:val="20"/>
          <w:szCs w:val="20"/>
          <w:color w:val="auto"/>
        </w:rPr>
      </w:pPr>
      <w:r>
        <w:rPr>
          <w:rFonts w:ascii="Arial" w:cs="Arial" w:eastAsia="Arial" w:hAnsi="Arial"/>
          <w:sz w:val="22"/>
          <w:szCs w:val="22"/>
          <w:b w:val="1"/>
          <w:bCs w:val="1"/>
          <w:color w:val="auto"/>
        </w:rPr>
        <w:t>SCHEDULE 13D</w:t>
      </w:r>
    </w:p>
    <w:p>
      <w:pPr>
        <w:spacing w:after="0" w:line="212" w:lineRule="exact"/>
        <w:rPr>
          <w:sz w:val="24"/>
          <w:szCs w:val="24"/>
          <w:color w:val="auto"/>
        </w:rPr>
      </w:pPr>
    </w:p>
    <w:p>
      <w:pPr>
        <w:ind w:left="2640"/>
        <w:spacing w:after="0"/>
        <w:rPr>
          <w:sz w:val="20"/>
          <w:szCs w:val="20"/>
          <w:color w:val="auto"/>
        </w:rPr>
      </w:pPr>
      <w:r>
        <w:rPr>
          <w:rFonts w:ascii="Arial" w:cs="Arial" w:eastAsia="Arial" w:hAnsi="Arial"/>
          <w:sz w:val="22"/>
          <w:szCs w:val="22"/>
          <w:color w:val="auto"/>
        </w:rPr>
        <w:t>Under the Securities Exchange Act of 1934</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(Amendment No. 2)*</w:t>
      </w:r>
    </w:p>
    <w:p>
      <w:pPr>
        <w:spacing w:after="0" w:line="188" w:lineRule="exact"/>
        <w:rPr>
          <w:sz w:val="24"/>
          <w:szCs w:val="24"/>
          <w:color w:val="auto"/>
        </w:rPr>
      </w:pPr>
    </w:p>
    <w:p>
      <w:pPr>
        <w:jc w:val="center"/>
        <w:spacing w:after="0"/>
        <w:rPr>
          <w:sz w:val="20"/>
          <w:szCs w:val="20"/>
          <w:color w:val="auto"/>
        </w:rPr>
      </w:pPr>
      <w:r>
        <w:rPr>
          <w:rFonts w:ascii="Arial" w:cs="Arial" w:eastAsia="Arial" w:hAnsi="Arial"/>
          <w:sz w:val="22"/>
          <w:szCs w:val="22"/>
          <w:u w:val="single" w:color="auto"/>
          <w:color w:val="auto"/>
        </w:rPr>
        <w:t>Right Management Consultants, Inc.</w:t>
      </w:r>
    </w:p>
    <w:p>
      <w:pPr>
        <w:spacing w:after="0" w:line="1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of Issuer)</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22"/>
          <w:szCs w:val="22"/>
          <w:u w:val="single" w:color="auto"/>
          <w:color w:val="auto"/>
        </w:rPr>
        <w:t>Common Stock</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22"/>
          <w:szCs w:val="22"/>
          <w:u w:val="single" w:color="auto"/>
          <w:color w:val="auto"/>
        </w:rPr>
        <w:t>Par Value $0.01 per Share</w:t>
      </w:r>
    </w:p>
    <w:p>
      <w:pPr>
        <w:jc w:val="center"/>
        <w:spacing w:after="0"/>
        <w:rPr>
          <w:sz w:val="20"/>
          <w:szCs w:val="20"/>
          <w:color w:val="auto"/>
        </w:rPr>
      </w:pPr>
      <w:r>
        <w:rPr>
          <w:rFonts w:ascii="Arial" w:cs="Arial" w:eastAsia="Arial" w:hAnsi="Arial"/>
          <w:sz w:val="18"/>
          <w:szCs w:val="18"/>
          <w:color w:val="auto"/>
        </w:rPr>
        <w:t>(Title of Class of Securities)</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22"/>
          <w:szCs w:val="22"/>
          <w:u w:val="single" w:color="auto"/>
          <w:color w:val="auto"/>
        </w:rPr>
        <w:t>766573109</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(CUSIP Number)</w:t>
      </w:r>
    </w:p>
    <w:p>
      <w:pPr>
        <w:spacing w:after="0" w:line="188"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Michael J. Van Handel</w:t>
      </w:r>
    </w:p>
    <w:p>
      <w:pPr>
        <w:jc w:val="center"/>
        <w:spacing w:after="0" w:line="238" w:lineRule="auto"/>
        <w:rPr>
          <w:sz w:val="20"/>
          <w:szCs w:val="20"/>
          <w:color w:val="auto"/>
        </w:rPr>
      </w:pPr>
      <w:r>
        <w:rPr>
          <w:rFonts w:ascii="Arial" w:cs="Arial" w:eastAsia="Arial" w:hAnsi="Arial"/>
          <w:sz w:val="22"/>
          <w:szCs w:val="22"/>
          <w:color w:val="auto"/>
        </w:rPr>
        <w:t>Manpower Inc.</w:t>
      </w:r>
    </w:p>
    <w:p>
      <w:pPr>
        <w:jc w:val="center"/>
        <w:spacing w:after="0" w:line="230" w:lineRule="auto"/>
        <w:rPr>
          <w:sz w:val="20"/>
          <w:szCs w:val="20"/>
          <w:color w:val="auto"/>
        </w:rPr>
      </w:pPr>
      <w:r>
        <w:rPr>
          <w:rFonts w:ascii="Arial" w:cs="Arial" w:eastAsia="Arial" w:hAnsi="Arial"/>
          <w:sz w:val="22"/>
          <w:szCs w:val="22"/>
          <w:color w:val="auto"/>
        </w:rPr>
        <w:t>5301 North Ironwood Road</w:t>
      </w:r>
    </w:p>
    <w:p>
      <w:pPr>
        <w:jc w:val="center"/>
        <w:spacing w:after="0" w:line="231" w:lineRule="auto"/>
        <w:rPr>
          <w:sz w:val="20"/>
          <w:szCs w:val="20"/>
          <w:color w:val="auto"/>
        </w:rPr>
      </w:pPr>
      <w:r>
        <w:rPr>
          <w:rFonts w:ascii="Arial" w:cs="Arial" w:eastAsia="Arial" w:hAnsi="Arial"/>
          <w:sz w:val="22"/>
          <w:szCs w:val="22"/>
          <w:color w:val="auto"/>
        </w:rPr>
        <w:t>Milwaukee, Wisconsin 53217</w:t>
      </w:r>
    </w:p>
    <w:p>
      <w:pPr>
        <w:jc w:val="center"/>
        <w:spacing w:after="0"/>
        <w:rPr>
          <w:sz w:val="20"/>
          <w:szCs w:val="20"/>
          <w:color w:val="auto"/>
        </w:rPr>
      </w:pPr>
      <w:r>
        <w:rPr>
          <w:rFonts w:ascii="Arial" w:cs="Arial" w:eastAsia="Arial" w:hAnsi="Arial"/>
          <w:sz w:val="22"/>
          <w:szCs w:val="22"/>
          <w:u w:val="single" w:color="auto"/>
          <w:color w:val="auto"/>
        </w:rPr>
        <w:t>(414) 961-1000</w:t>
      </w:r>
    </w:p>
    <w:p>
      <w:pPr>
        <w:jc w:val="center"/>
        <w:spacing w:after="0"/>
        <w:rPr>
          <w:sz w:val="20"/>
          <w:szCs w:val="20"/>
          <w:color w:val="auto"/>
        </w:rPr>
      </w:pPr>
      <w:r>
        <w:rPr>
          <w:rFonts w:ascii="Arial" w:cs="Arial" w:eastAsia="Arial" w:hAnsi="Arial"/>
          <w:sz w:val="18"/>
          <w:szCs w:val="18"/>
          <w:color w:val="auto"/>
        </w:rPr>
        <w:t>(Name, Address and Telephone Number of Person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Authorized to Receive Notices and Communications)</w:t>
      </w:r>
    </w:p>
    <w:p>
      <w:pPr>
        <w:spacing w:after="0" w:line="206" w:lineRule="exact"/>
        <w:rPr>
          <w:sz w:val="24"/>
          <w:szCs w:val="24"/>
          <w:color w:val="auto"/>
        </w:rPr>
      </w:pPr>
    </w:p>
    <w:p>
      <w:pPr>
        <w:jc w:val="center"/>
        <w:spacing w:after="0"/>
        <w:rPr>
          <w:sz w:val="20"/>
          <w:szCs w:val="20"/>
          <w:color w:val="auto"/>
        </w:rPr>
      </w:pPr>
      <w:r>
        <w:rPr>
          <w:rFonts w:ascii="Arial" w:cs="Arial" w:eastAsia="Arial" w:hAnsi="Arial"/>
          <w:sz w:val="22"/>
          <w:szCs w:val="22"/>
          <w:u w:val="single" w:color="auto"/>
          <w:color w:val="auto"/>
        </w:rPr>
        <w:t>January 23, 2004</w:t>
      </w:r>
    </w:p>
    <w:p>
      <w:pPr>
        <w:spacing w:after="0" w:line="1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Event which Requires Filing of this Statement)</w:t>
      </w:r>
    </w:p>
    <w:p>
      <w:pPr>
        <w:spacing w:after="0" w:line="200" w:lineRule="exact"/>
        <w:rPr>
          <w:sz w:val="24"/>
          <w:szCs w:val="24"/>
          <w:color w:val="auto"/>
        </w:rPr>
      </w:pPr>
    </w:p>
    <w:p>
      <w:pPr>
        <w:spacing w:after="0" w:line="200" w:lineRule="exact"/>
        <w:rPr>
          <w:sz w:val="24"/>
          <w:szCs w:val="24"/>
          <w:color w:val="auto"/>
        </w:rPr>
      </w:pPr>
    </w:p>
    <w:p>
      <w:pPr>
        <w:spacing w:after="0" w:line="284" w:lineRule="exact"/>
        <w:rPr>
          <w:sz w:val="24"/>
          <w:szCs w:val="24"/>
          <w:color w:val="auto"/>
        </w:rPr>
      </w:pPr>
    </w:p>
    <w:p>
      <w:pPr>
        <w:jc w:val="both"/>
        <w:ind w:left="1460" w:right="999"/>
        <w:spacing w:after="0" w:line="306" w:lineRule="auto"/>
        <w:rPr>
          <w:sz w:val="20"/>
          <w:szCs w:val="20"/>
          <w:color w:val="auto"/>
        </w:rPr>
      </w:pPr>
      <w:r>
        <w:rPr>
          <w:rFonts w:ascii="Arial" w:cs="Arial" w:eastAsia="Arial" w:hAnsi="Arial"/>
          <w:sz w:val="16"/>
          <w:szCs w:val="16"/>
          <w:color w:val="auto"/>
        </w:rPr>
        <w:t>If the filing person has previously filed a statement on Schedule 13G to report the acquisition that is the subject of this Schedule 13D, and is filing this schedule because of Rule 240.13d-1(e), Rule 240.13d-1(f) or Rule 240.13d-1(g), check the following box [ ].</w:t>
      </w:r>
    </w:p>
    <w:p>
      <w:pPr>
        <w:spacing w:after="0" w:line="242" w:lineRule="exact"/>
        <w:rPr>
          <w:sz w:val="24"/>
          <w:szCs w:val="24"/>
          <w:color w:val="auto"/>
        </w:rPr>
      </w:pPr>
    </w:p>
    <w:p>
      <w:pPr>
        <w:ind w:left="1460" w:right="919"/>
        <w:spacing w:after="0" w:line="259" w:lineRule="auto"/>
        <w:rPr>
          <w:sz w:val="20"/>
          <w:szCs w:val="20"/>
          <w:color w:val="auto"/>
        </w:rPr>
      </w:pPr>
      <w:r>
        <w:rPr>
          <w:rFonts w:ascii="Arial" w:cs="Arial" w:eastAsia="Arial" w:hAnsi="Arial"/>
          <w:sz w:val="18"/>
          <w:szCs w:val="18"/>
          <w:color w:val="auto"/>
        </w:rPr>
        <w:t>NOTE: Schedules filed in paper format shall include a signed original and five copies of the schedule, including all exhibits. See Rule 240.13d-7 for other parties to whom copies are to be sent.</w:t>
      </w:r>
    </w:p>
    <w:p>
      <w:pPr>
        <w:spacing w:after="0" w:line="275" w:lineRule="exact"/>
        <w:rPr>
          <w:sz w:val="24"/>
          <w:szCs w:val="24"/>
          <w:color w:val="auto"/>
        </w:rPr>
      </w:pPr>
    </w:p>
    <w:p>
      <w:pPr>
        <w:ind w:left="1460" w:right="899" w:hanging="586"/>
        <w:spacing w:after="0" w:line="306" w:lineRule="auto"/>
        <w:tabs>
          <w:tab w:leader="none" w:pos="1460" w:val="left"/>
        </w:tabs>
        <w:numPr>
          <w:ilvl w:val="0"/>
          <w:numId w:val="1"/>
        </w:numPr>
        <w:rPr>
          <w:rFonts w:ascii="Arial" w:cs="Arial" w:eastAsia="Arial" w:hAnsi="Arial"/>
          <w:sz w:val="16"/>
          <w:szCs w:val="16"/>
          <w:color w:val="auto"/>
        </w:rPr>
      </w:pPr>
      <w:r>
        <w:rPr>
          <w:rFonts w:ascii="Arial" w:cs="Arial" w:eastAsia="Arial" w:hAnsi="Arial"/>
          <w:sz w:val="16"/>
          <w:szCs w:val="16"/>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241" w:lineRule="exact"/>
        <w:rPr>
          <w:rFonts w:ascii="Arial" w:cs="Arial" w:eastAsia="Arial" w:hAnsi="Arial"/>
          <w:sz w:val="16"/>
          <w:szCs w:val="16"/>
          <w:color w:val="auto"/>
        </w:rPr>
      </w:pPr>
    </w:p>
    <w:p>
      <w:pPr>
        <w:ind w:left="1460" w:right="899"/>
        <w:spacing w:after="0" w:line="256" w:lineRule="auto"/>
        <w:rPr>
          <w:rFonts w:ascii="Arial" w:cs="Arial" w:eastAsia="Arial" w:hAnsi="Arial"/>
          <w:sz w:val="16"/>
          <w:szCs w:val="16"/>
          <w:color w:val="auto"/>
        </w:rPr>
      </w:pPr>
      <w:r>
        <w:rPr>
          <w:rFonts w:ascii="Arial" w:cs="Arial" w:eastAsia="Arial" w:hAnsi="Arial"/>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175895</wp:posOffset>
            </wp:positionH>
            <wp:positionV relativeFrom="paragraph">
              <wp:posOffset>428625</wp:posOffset>
            </wp:positionV>
            <wp:extent cx="5389880" cy="2799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389880" cy="279971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0" w:lineRule="exact"/>
        <w:rPr>
          <w:sz w:val="24"/>
          <w:szCs w:val="24"/>
          <w:color w:val="auto"/>
        </w:rPr>
      </w:pPr>
    </w:p>
    <w:p>
      <w:pPr>
        <w:ind w:left="1200"/>
        <w:spacing w:after="0"/>
        <w:rPr>
          <w:sz w:val="20"/>
          <w:szCs w:val="20"/>
          <w:color w:val="auto"/>
        </w:rPr>
      </w:pPr>
      <w:r>
        <w:rPr>
          <w:rFonts w:ascii="Arial" w:cs="Arial" w:eastAsia="Arial" w:hAnsi="Arial"/>
          <w:sz w:val="14"/>
          <w:szCs w:val="14"/>
          <w:color w:val="auto"/>
        </w:rPr>
        <w:t>NAME OF REPORTING PERSON</w:t>
      </w:r>
    </w:p>
    <w:p>
      <w:pPr>
        <w:ind w:left="1200"/>
        <w:spacing w:after="0" w:line="214" w:lineRule="auto"/>
        <w:rPr>
          <w:sz w:val="20"/>
          <w:szCs w:val="20"/>
          <w:color w:val="auto"/>
        </w:rPr>
      </w:pPr>
      <w:r>
        <w:rPr>
          <w:rFonts w:ascii="Arial" w:cs="Arial" w:eastAsia="Arial" w:hAnsi="Arial"/>
          <w:sz w:val="14"/>
          <w:szCs w:val="14"/>
          <w:color w:val="auto"/>
        </w:rPr>
        <w:t>I.R.S. IDENTIFICATION NO. OF ABOVE PERSON (Entities Only)</w:t>
      </w:r>
    </w:p>
    <w:p>
      <w:pPr>
        <w:ind w:left="1200"/>
        <w:spacing w:after="0" w:line="230" w:lineRule="auto"/>
        <w:rPr>
          <w:sz w:val="20"/>
          <w:szCs w:val="20"/>
          <w:color w:val="auto"/>
        </w:rPr>
      </w:pPr>
      <w:r>
        <w:rPr>
          <w:rFonts w:ascii="Arial" w:cs="Arial" w:eastAsia="Arial" w:hAnsi="Arial"/>
          <w:sz w:val="22"/>
          <w:szCs w:val="22"/>
          <w:color w:val="auto"/>
        </w:rPr>
        <w:t>Manpower Inc.</w:t>
      </w:r>
    </w:p>
    <w:p>
      <w:pPr>
        <w:spacing w:after="0" w:line="1" w:lineRule="exact"/>
        <w:rPr>
          <w:sz w:val="24"/>
          <w:szCs w:val="24"/>
          <w:color w:val="auto"/>
        </w:rPr>
      </w:pPr>
    </w:p>
    <w:p>
      <w:pPr>
        <w:ind w:left="1200" w:hanging="873"/>
        <w:spacing w:after="0"/>
        <w:tabs>
          <w:tab w:leader="none" w:pos="1200" w:val="left"/>
        </w:tabs>
        <w:numPr>
          <w:ilvl w:val="0"/>
          <w:numId w:val="2"/>
        </w:numPr>
        <w:rPr>
          <w:rFonts w:ascii="Arial" w:cs="Arial" w:eastAsia="Arial" w:hAnsi="Arial"/>
          <w:sz w:val="22"/>
          <w:szCs w:val="22"/>
          <w:color w:val="auto"/>
        </w:rPr>
      </w:pPr>
      <w:r>
        <w:rPr>
          <w:rFonts w:ascii="Arial" w:cs="Arial" w:eastAsia="Arial" w:hAnsi="Arial"/>
          <w:sz w:val="22"/>
          <w:szCs w:val="22"/>
          <w:color w:val="auto"/>
        </w:rPr>
        <w:t>39-1672779</w:t>
      </w:r>
    </w:p>
    <w:p>
      <w:pPr>
        <w:spacing w:after="0" w:line="212" w:lineRule="exact"/>
        <w:rPr>
          <w:sz w:val="24"/>
          <w:szCs w:val="24"/>
          <w:color w:val="auto"/>
        </w:rPr>
      </w:pPr>
    </w:p>
    <w:p>
      <w:pPr>
        <w:ind w:left="1200"/>
        <w:spacing w:after="0"/>
        <w:rPr>
          <w:sz w:val="20"/>
          <w:szCs w:val="20"/>
          <w:color w:val="auto"/>
        </w:rPr>
      </w:pPr>
      <w:r>
        <w:rPr>
          <w:rFonts w:ascii="Arial" w:cs="Arial" w:eastAsia="Arial" w:hAnsi="Arial"/>
          <w:sz w:val="14"/>
          <w:szCs w:val="14"/>
          <w:color w:val="auto"/>
        </w:rPr>
        <w:t>CHECK THE APPROPRIATE BOX IF A MEMBER OF A GROUP</w:t>
      </w:r>
    </w:p>
    <w:p>
      <w:pPr>
        <w:ind w:left="1200"/>
        <w:spacing w:after="0" w:line="213" w:lineRule="auto"/>
        <w:rPr>
          <w:sz w:val="20"/>
          <w:szCs w:val="20"/>
          <w:color w:val="auto"/>
        </w:rPr>
      </w:pPr>
      <w:r>
        <w:rPr>
          <w:rFonts w:ascii="Arial" w:cs="Arial" w:eastAsia="Arial" w:hAnsi="Arial"/>
          <w:sz w:val="18"/>
          <w:szCs w:val="18"/>
          <w:color w:val="auto"/>
        </w:rPr>
        <w:t>(a) [ ]</w:t>
      </w:r>
    </w:p>
    <w:p>
      <w:pPr>
        <w:ind w:left="1200" w:hanging="873"/>
        <w:spacing w:after="0" w:line="232" w:lineRule="auto"/>
        <w:tabs>
          <w:tab w:leader="none" w:pos="1200" w:val="left"/>
        </w:tabs>
        <w:numPr>
          <w:ilvl w:val="0"/>
          <w:numId w:val="3"/>
        </w:numPr>
        <w:rPr>
          <w:rFonts w:ascii="Arial" w:cs="Arial" w:eastAsia="Arial" w:hAnsi="Arial"/>
          <w:sz w:val="22"/>
          <w:szCs w:val="22"/>
          <w:color w:val="auto"/>
        </w:rPr>
      </w:pPr>
      <w:r>
        <w:rPr>
          <w:rFonts w:ascii="Arial" w:cs="Arial" w:eastAsia="Arial" w:hAnsi="Arial"/>
          <w:sz w:val="18"/>
          <w:szCs w:val="18"/>
          <w:color w:val="auto"/>
        </w:rPr>
        <w:t>(b) [ ]</w:t>
      </w:r>
    </w:p>
    <w:p>
      <w:pPr>
        <w:spacing w:after="0" w:line="208" w:lineRule="exact"/>
        <w:rPr>
          <w:sz w:val="24"/>
          <w:szCs w:val="24"/>
          <w:color w:val="auto"/>
        </w:rPr>
      </w:pPr>
    </w:p>
    <w:p>
      <w:pPr>
        <w:ind w:left="1200"/>
        <w:spacing w:after="0"/>
        <w:rPr>
          <w:sz w:val="20"/>
          <w:szCs w:val="20"/>
          <w:color w:val="auto"/>
        </w:rPr>
      </w:pPr>
      <w:r>
        <w:rPr>
          <w:rFonts w:ascii="Arial" w:cs="Arial" w:eastAsia="Arial" w:hAnsi="Arial"/>
          <w:sz w:val="14"/>
          <w:szCs w:val="14"/>
          <w:color w:val="auto"/>
        </w:rPr>
        <w:t>SEC USE ONLY</w:t>
      </w:r>
    </w:p>
    <w:p>
      <w:pPr>
        <w:spacing w:after="0" w:line="166" w:lineRule="exact"/>
        <w:rPr>
          <w:sz w:val="24"/>
          <w:szCs w:val="24"/>
          <w:color w:val="auto"/>
        </w:rPr>
      </w:pPr>
    </w:p>
    <w:p>
      <w:pPr>
        <w:ind w:left="320"/>
        <w:spacing w:after="0"/>
        <w:rPr>
          <w:sz w:val="20"/>
          <w:szCs w:val="20"/>
          <w:color w:val="auto"/>
        </w:rPr>
      </w:pPr>
      <w:r>
        <w:rPr>
          <w:rFonts w:ascii="Arial" w:cs="Arial" w:eastAsia="Arial" w:hAnsi="Arial"/>
          <w:sz w:val="22"/>
          <w:szCs w:val="22"/>
          <w:color w:val="auto"/>
        </w:rPr>
        <w:t>3</w:t>
      </w:r>
    </w:p>
    <w:p>
      <w:pPr>
        <w:spacing w:after="0" w:line="311" w:lineRule="exact"/>
        <w:rPr>
          <w:sz w:val="24"/>
          <w:szCs w:val="24"/>
          <w:color w:val="auto"/>
        </w:rPr>
      </w:pPr>
    </w:p>
    <w:p>
      <w:pPr>
        <w:ind w:left="1200"/>
        <w:spacing w:after="0"/>
        <w:rPr>
          <w:sz w:val="20"/>
          <w:szCs w:val="20"/>
          <w:color w:val="auto"/>
        </w:rPr>
      </w:pPr>
      <w:r>
        <w:rPr>
          <w:rFonts w:ascii="Arial" w:cs="Arial" w:eastAsia="Arial" w:hAnsi="Arial"/>
          <w:sz w:val="14"/>
          <w:szCs w:val="14"/>
          <w:color w:val="auto"/>
        </w:rPr>
        <w:t>SOURCE OF FUNDS (See Instructions)</w:t>
      </w:r>
    </w:p>
    <w:p>
      <w:pPr>
        <w:ind w:left="1200" w:hanging="873"/>
        <w:spacing w:after="0" w:line="194" w:lineRule="auto"/>
        <w:tabs>
          <w:tab w:leader="none" w:pos="1200" w:val="left"/>
        </w:tabs>
        <w:numPr>
          <w:ilvl w:val="0"/>
          <w:numId w:val="4"/>
        </w:numPr>
        <w:rPr>
          <w:rFonts w:ascii="Arial" w:cs="Arial" w:eastAsia="Arial" w:hAnsi="Arial"/>
          <w:sz w:val="43"/>
          <w:szCs w:val="43"/>
          <w:color w:val="auto"/>
          <w:vertAlign w:val="superscript"/>
        </w:rPr>
      </w:pPr>
      <w:r>
        <w:rPr>
          <w:rFonts w:ascii="Arial" w:cs="Arial" w:eastAsia="Arial" w:hAnsi="Arial"/>
          <w:sz w:val="22"/>
          <w:szCs w:val="22"/>
          <w:color w:val="auto"/>
        </w:rPr>
        <w:t>OO</w:t>
      </w:r>
    </w:p>
    <w:p>
      <w:pPr>
        <w:spacing w:after="0" w:line="208" w:lineRule="exact"/>
        <w:rPr>
          <w:sz w:val="24"/>
          <w:szCs w:val="24"/>
          <w:color w:val="auto"/>
        </w:rPr>
      </w:pPr>
    </w:p>
    <w:p>
      <w:pPr>
        <w:ind w:left="1200"/>
        <w:spacing w:after="0"/>
        <w:rPr>
          <w:sz w:val="20"/>
          <w:szCs w:val="20"/>
          <w:color w:val="auto"/>
        </w:rPr>
      </w:pPr>
      <w:r>
        <w:rPr>
          <w:rFonts w:ascii="Arial" w:cs="Arial" w:eastAsia="Arial" w:hAnsi="Arial"/>
          <w:sz w:val="12"/>
          <w:szCs w:val="12"/>
          <w:color w:val="auto"/>
        </w:rPr>
        <w:t>CHECK BOX IF DISCLOSURE OF LEGAL PROCEEDINGS IS REQUIRED PURSUANT TO ITEMS 2(d) OR 2(e)</w:t>
      </w:r>
    </w:p>
    <w:p>
      <w:pPr>
        <w:ind w:left="1200" w:hanging="873"/>
        <w:spacing w:after="0" w:line="180" w:lineRule="auto"/>
        <w:tabs>
          <w:tab w:leader="none" w:pos="1200" w:val="left"/>
        </w:tabs>
        <w:numPr>
          <w:ilvl w:val="0"/>
          <w:numId w:val="5"/>
        </w:numPr>
        <w:rPr>
          <w:rFonts w:ascii="Arial" w:cs="Arial" w:eastAsia="Arial" w:hAnsi="Arial"/>
          <w:sz w:val="43"/>
          <w:szCs w:val="43"/>
          <w:color w:val="auto"/>
          <w:vertAlign w:val="subscript"/>
        </w:rPr>
      </w:pPr>
      <w:r>
        <w:rPr>
          <w:rFonts w:ascii="Arial" w:cs="Arial" w:eastAsia="Arial" w:hAnsi="Arial"/>
          <w:sz w:val="18"/>
          <w:szCs w:val="18"/>
          <w:color w:val="auto"/>
        </w:rPr>
        <w:t>[ ]</w:t>
      </w:r>
    </w:p>
    <w:p>
      <w:pPr>
        <w:sectPr>
          <w:pgSz w:w="11900" w:h="16838" w:orient="portrait"/>
          <w:cols w:equalWidth="0" w:num="1">
            <w:col w:w="9019"/>
          </w:cols>
          <w:pgMar w:left="1440" w:top="220" w:right="1440" w:bottom="0" w:gutter="0" w:footer="0" w:header="0"/>
        </w:sectPr>
      </w:pPr>
    </w:p>
    <w:bookmarkStart w:id="1" w:name="page2"/>
    <w:bookmarkEnd w:id="1"/>
    <w:tbl>
      <w:tblPr>
        <w:tblLayout w:type="fixed"/>
        <w:tblInd w:w="1520" w:type="dxa"/>
        <w:tblCellMar>
          <w:top w:w="0" w:type="dxa"/>
          <w:left w:w="0" w:type="dxa"/>
          <w:bottom w:w="0" w:type="dxa"/>
          <w:right w:w="0" w:type="dxa"/>
        </w:tblCellMar>
      </w:tblPr>
      <w:tr>
        <w:trPr>
          <w:trHeight w:val="172"/>
        </w:trPr>
        <w:tc>
          <w:tcPr>
            <w:tcW w:w="500" w:type="dxa"/>
            <w:vAlign w:val="bottom"/>
          </w:tcPr>
          <w:p>
            <w:pPr>
              <w:spacing w:after="0"/>
              <w:rPr>
                <w:sz w:val="14"/>
                <w:szCs w:val="14"/>
                <w:color w:val="auto"/>
              </w:rPr>
            </w:pPr>
          </w:p>
        </w:tc>
        <w:tc>
          <w:tcPr>
            <w:tcW w:w="3120" w:type="dxa"/>
            <w:vAlign w:val="bottom"/>
          </w:tcPr>
          <w:p>
            <w:pPr>
              <w:ind w:left="380"/>
              <w:spacing w:after="0"/>
              <w:rPr>
                <w:sz w:val="20"/>
                <w:szCs w:val="20"/>
                <w:color w:val="auto"/>
              </w:rPr>
            </w:pPr>
            <w:r>
              <w:rPr>
                <w:rFonts w:ascii="Arial" w:cs="Arial" w:eastAsia="Arial" w:hAnsi="Arial"/>
                <w:sz w:val="14"/>
                <w:szCs w:val="14"/>
                <w:color w:val="auto"/>
                <w:w w:val="91"/>
              </w:rPr>
              <w:t>CITIZENSHIP OR PLACE OF ORGANIZATION</w:t>
            </w:r>
          </w:p>
        </w:tc>
        <w:tc>
          <w:tcPr>
            <w:tcW w:w="0" w:type="dxa"/>
            <w:vAlign w:val="bottom"/>
          </w:tcPr>
          <w:p>
            <w:pPr>
              <w:spacing w:after="0"/>
              <w:rPr>
                <w:sz w:val="1"/>
                <w:szCs w:val="1"/>
                <w:color w:val="auto"/>
              </w:rPr>
            </w:pPr>
          </w:p>
        </w:tc>
      </w:tr>
      <w:tr>
        <w:trPr>
          <w:trHeight w:val="389"/>
        </w:trPr>
        <w:tc>
          <w:tcPr>
            <w:tcW w:w="500" w:type="dxa"/>
            <w:vAlign w:val="bottom"/>
            <w:vMerge w:val="restart"/>
          </w:tcPr>
          <w:p>
            <w:pPr>
              <w:jc w:val="right"/>
              <w:ind w:right="272"/>
              <w:spacing w:after="0"/>
              <w:rPr>
                <w:sz w:val="20"/>
                <w:szCs w:val="20"/>
                <w:color w:val="auto"/>
              </w:rPr>
            </w:pPr>
            <w:r>
              <w:rPr>
                <w:rFonts w:ascii="Arial" w:cs="Arial" w:eastAsia="Arial" w:hAnsi="Arial"/>
                <w:sz w:val="22"/>
                <w:szCs w:val="22"/>
                <w:color w:val="auto"/>
                <w:w w:val="81"/>
              </w:rPr>
              <w:t>6</w:t>
            </w:r>
          </w:p>
        </w:tc>
        <w:tc>
          <w:tcPr>
            <w:tcW w:w="3120" w:type="dxa"/>
            <w:vAlign w:val="bottom"/>
          </w:tcPr>
          <w:p>
            <w:pPr>
              <w:ind w:left="380"/>
              <w:spacing w:after="0"/>
              <w:rPr>
                <w:sz w:val="20"/>
                <w:szCs w:val="20"/>
                <w:color w:val="auto"/>
              </w:rPr>
            </w:pPr>
            <w:r>
              <w:rPr>
                <w:rFonts w:ascii="Arial" w:cs="Arial" w:eastAsia="Arial" w:hAnsi="Arial"/>
                <w:sz w:val="22"/>
                <w:szCs w:val="22"/>
                <w:color w:val="auto"/>
              </w:rPr>
              <w:t>Wisconsin</w:t>
            </w:r>
          </w:p>
        </w:tc>
        <w:tc>
          <w:tcPr>
            <w:tcW w:w="0" w:type="dxa"/>
            <w:vAlign w:val="bottom"/>
          </w:tcPr>
          <w:p>
            <w:pPr>
              <w:spacing w:after="0"/>
              <w:rPr>
                <w:sz w:val="1"/>
                <w:szCs w:val="1"/>
                <w:color w:val="auto"/>
              </w:rPr>
            </w:pPr>
          </w:p>
        </w:tc>
      </w:tr>
      <w:tr>
        <w:trPr>
          <w:trHeight w:val="149"/>
        </w:trPr>
        <w:tc>
          <w:tcPr>
            <w:tcW w:w="500" w:type="dxa"/>
            <w:vAlign w:val="bottom"/>
            <w:vMerge w:val="continue"/>
          </w:tcPr>
          <w:p>
            <w:pPr>
              <w:spacing w:after="0"/>
              <w:rPr>
                <w:sz w:val="12"/>
                <w:szCs w:val="12"/>
                <w:color w:val="auto"/>
              </w:rPr>
            </w:pPr>
          </w:p>
        </w:tc>
        <w:tc>
          <w:tcPr>
            <w:tcW w:w="31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1090295</wp:posOffset>
            </wp:positionH>
            <wp:positionV relativeFrom="page">
              <wp:posOffset>88900</wp:posOffset>
            </wp:positionV>
            <wp:extent cx="5389880" cy="39128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389880" cy="3912870"/>
                    </a:xfrm>
                    <a:prstGeom prst="rect">
                      <a:avLst/>
                    </a:prstGeom>
                    <a:noFill/>
                  </pic:spPr>
                </pic:pic>
              </a:graphicData>
            </a:graphic>
          </wp:anchor>
        </w:drawing>
      </w:r>
    </w:p>
    <w:tbl>
      <w:tblPr>
        <w:tblLayout w:type="fixed"/>
        <w:tblInd w:w="1510" w:type="dxa"/>
        <w:tblCellMar>
          <w:top w:w="0" w:type="dxa"/>
          <w:left w:w="0" w:type="dxa"/>
          <w:bottom w:w="0" w:type="dxa"/>
          <w:right w:w="0" w:type="dxa"/>
        </w:tblCellMar>
      </w:tblPr>
      <w:tr>
        <w:trPr>
          <w:trHeight w:val="238"/>
        </w:trPr>
        <w:tc>
          <w:tcPr>
            <w:tcW w:w="2180" w:type="dxa"/>
            <w:vAlign w:val="bottom"/>
            <w:tcBorders>
              <w:top w:val="single" w:sz="8" w:color="auto"/>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Number of</w:t>
            </w:r>
          </w:p>
        </w:tc>
        <w:tc>
          <w:tcPr>
            <w:tcW w:w="40" w:type="dxa"/>
            <w:vAlign w:val="bottom"/>
            <w:tcBorders>
              <w:right w:val="single" w:sz="8" w:color="auto"/>
            </w:tcBorders>
          </w:tcPr>
          <w:p>
            <w:pPr>
              <w:spacing w:after="0"/>
              <w:rPr>
                <w:sz w:val="20"/>
                <w:szCs w:val="20"/>
                <w:color w:val="auto"/>
              </w:rPr>
            </w:pPr>
          </w:p>
        </w:tc>
        <w:tc>
          <w:tcPr>
            <w:tcW w:w="740" w:type="dxa"/>
            <w:vAlign w:val="bottom"/>
            <w:tcBorders>
              <w:top w:val="single" w:sz="8" w:color="auto"/>
              <w:right w:val="single" w:sz="8" w:color="auto"/>
            </w:tcBorders>
          </w:tcPr>
          <w:p>
            <w:pPr>
              <w:spacing w:after="0"/>
              <w:rPr>
                <w:sz w:val="20"/>
                <w:szCs w:val="20"/>
                <w:color w:val="auto"/>
              </w:rPr>
            </w:pPr>
          </w:p>
        </w:tc>
        <w:tc>
          <w:tcPr>
            <w:tcW w:w="5480" w:type="dxa"/>
            <w:vAlign w:val="bottom"/>
            <w:tcBorders>
              <w:top w:val="single" w:sz="8" w:color="auto"/>
              <w:right w:val="single" w:sz="8" w:color="auto"/>
            </w:tcBorders>
            <w:vMerge w:val="restart"/>
          </w:tcPr>
          <w:p>
            <w:pPr>
              <w:ind w:left="20"/>
              <w:spacing w:after="0"/>
              <w:rPr>
                <w:sz w:val="20"/>
                <w:szCs w:val="20"/>
                <w:color w:val="auto"/>
              </w:rPr>
            </w:pPr>
            <w:r>
              <w:rPr>
                <w:rFonts w:ascii="Arial" w:cs="Arial" w:eastAsia="Arial" w:hAnsi="Arial"/>
                <w:sz w:val="14"/>
                <w:szCs w:val="14"/>
                <w:color w:val="auto"/>
              </w:rPr>
              <w:t>SOLE VOTING POWER</w:t>
            </w:r>
          </w:p>
        </w:tc>
        <w:tc>
          <w:tcPr>
            <w:tcW w:w="0" w:type="dxa"/>
            <w:vAlign w:val="bottom"/>
          </w:tcPr>
          <w:p>
            <w:pPr>
              <w:spacing w:after="0"/>
              <w:rPr>
                <w:sz w:val="1"/>
                <w:szCs w:val="1"/>
                <w:color w:val="auto"/>
              </w:rPr>
            </w:pPr>
          </w:p>
        </w:tc>
      </w:tr>
      <w:tr>
        <w:trPr>
          <w:trHeight w:val="170"/>
        </w:trPr>
        <w:tc>
          <w:tcPr>
            <w:tcW w:w="2180" w:type="dxa"/>
            <w:vAlign w:val="bottom"/>
            <w:tcBorders>
              <w:left w:val="single" w:sz="8" w:color="auto"/>
              <w:right w:val="single" w:sz="8" w:color="auto"/>
            </w:tcBorders>
          </w:tcPr>
          <w:p>
            <w:pPr>
              <w:ind w:left="20"/>
              <w:spacing w:after="0" w:line="170" w:lineRule="exact"/>
              <w:rPr>
                <w:sz w:val="20"/>
                <w:szCs w:val="20"/>
                <w:color w:val="auto"/>
              </w:rPr>
            </w:pPr>
            <w:r>
              <w:rPr>
                <w:rFonts w:ascii="Arial" w:cs="Arial" w:eastAsia="Arial" w:hAnsi="Arial"/>
                <w:sz w:val="18"/>
                <w:szCs w:val="18"/>
                <w:color w:val="auto"/>
              </w:rPr>
              <w:t>Shares Beneficially</w:t>
            </w:r>
          </w:p>
        </w:tc>
        <w:tc>
          <w:tcPr>
            <w:tcW w:w="40" w:type="dxa"/>
            <w:vAlign w:val="bottom"/>
            <w:tcBorders>
              <w:right w:val="single" w:sz="8" w:color="auto"/>
            </w:tcBorders>
          </w:tcPr>
          <w:p>
            <w:pPr>
              <w:spacing w:after="0"/>
              <w:rPr>
                <w:sz w:val="14"/>
                <w:szCs w:val="14"/>
                <w:color w:val="auto"/>
              </w:rPr>
            </w:pPr>
          </w:p>
        </w:tc>
        <w:tc>
          <w:tcPr>
            <w:tcW w:w="740" w:type="dxa"/>
            <w:vAlign w:val="bottom"/>
            <w:tcBorders>
              <w:right w:val="single" w:sz="8" w:color="auto"/>
            </w:tcBorders>
          </w:tcPr>
          <w:p>
            <w:pPr>
              <w:spacing w:after="0"/>
              <w:rPr>
                <w:sz w:val="14"/>
                <w:szCs w:val="14"/>
                <w:color w:val="auto"/>
              </w:rPr>
            </w:pPr>
          </w:p>
        </w:tc>
        <w:tc>
          <w:tcPr>
            <w:tcW w:w="5480" w:type="dxa"/>
            <w:vAlign w:val="bottom"/>
            <w:tcBorders>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180" w:type="dxa"/>
            <w:vAlign w:val="bottom"/>
            <w:tcBorders>
              <w:left w:val="single" w:sz="8" w:color="auto"/>
              <w:right w:val="single" w:sz="8" w:color="auto"/>
            </w:tcBorders>
            <w:vMerge w:val="restart"/>
          </w:tcPr>
          <w:p>
            <w:pPr>
              <w:ind w:left="20"/>
              <w:spacing w:after="0"/>
              <w:rPr>
                <w:sz w:val="20"/>
                <w:szCs w:val="20"/>
                <w:color w:val="auto"/>
              </w:rPr>
            </w:pPr>
            <w:r>
              <w:rPr>
                <w:rFonts w:ascii="Arial" w:cs="Arial" w:eastAsia="Arial" w:hAnsi="Arial"/>
                <w:sz w:val="18"/>
                <w:szCs w:val="18"/>
                <w:color w:val="auto"/>
              </w:rPr>
              <w:t>Owned by Each</w:t>
            </w:r>
          </w:p>
        </w:tc>
        <w:tc>
          <w:tcPr>
            <w:tcW w:w="4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7</w:t>
            </w:r>
          </w:p>
        </w:tc>
        <w:tc>
          <w:tcPr>
            <w:tcW w:w="5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22,839,866</w:t>
            </w:r>
          </w:p>
        </w:tc>
        <w:tc>
          <w:tcPr>
            <w:tcW w:w="0" w:type="dxa"/>
            <w:vAlign w:val="bottom"/>
          </w:tcPr>
          <w:p>
            <w:pPr>
              <w:spacing w:after="0"/>
              <w:rPr>
                <w:sz w:val="1"/>
                <w:szCs w:val="1"/>
                <w:color w:val="auto"/>
              </w:rPr>
            </w:pPr>
          </w:p>
        </w:tc>
      </w:tr>
      <w:tr>
        <w:trPr>
          <w:trHeight w:val="91"/>
        </w:trPr>
        <w:tc>
          <w:tcPr>
            <w:tcW w:w="2180" w:type="dxa"/>
            <w:vAlign w:val="bottom"/>
            <w:tcBorders>
              <w:left w:val="single" w:sz="8" w:color="auto"/>
              <w:right w:val="single" w:sz="8" w:color="auto"/>
            </w:tcBorders>
            <w:vMerge w:val="continue"/>
          </w:tcPr>
          <w:p>
            <w:pPr>
              <w:spacing w:after="0"/>
              <w:rPr>
                <w:sz w:val="7"/>
                <w:szCs w:val="7"/>
                <w:color w:val="auto"/>
              </w:rPr>
            </w:pPr>
          </w:p>
        </w:tc>
        <w:tc>
          <w:tcPr>
            <w:tcW w:w="40" w:type="dxa"/>
            <w:vAlign w:val="bottom"/>
            <w:tcBorders>
              <w:right w:val="single" w:sz="8" w:color="auto"/>
            </w:tcBorders>
          </w:tcPr>
          <w:p>
            <w:pPr>
              <w:spacing w:after="0"/>
              <w:rPr>
                <w:sz w:val="7"/>
                <w:szCs w:val="7"/>
                <w:color w:val="auto"/>
              </w:rPr>
            </w:pPr>
          </w:p>
        </w:tc>
        <w:tc>
          <w:tcPr>
            <w:tcW w:w="740" w:type="dxa"/>
            <w:vAlign w:val="bottom"/>
            <w:tcBorders>
              <w:bottom w:val="single" w:sz="8" w:color="auto"/>
              <w:right w:val="single" w:sz="8" w:color="auto"/>
            </w:tcBorders>
            <w:vMerge w:val="continue"/>
          </w:tcPr>
          <w:p>
            <w:pPr>
              <w:spacing w:after="0"/>
              <w:rPr>
                <w:sz w:val="7"/>
                <w:szCs w:val="7"/>
                <w:color w:val="auto"/>
              </w:rPr>
            </w:pPr>
          </w:p>
        </w:tc>
        <w:tc>
          <w:tcPr>
            <w:tcW w:w="54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0"/>
        </w:trPr>
        <w:tc>
          <w:tcPr>
            <w:tcW w:w="2180" w:type="dxa"/>
            <w:vAlign w:val="bottom"/>
            <w:tcBorders>
              <w:left w:val="single" w:sz="8" w:color="auto"/>
              <w:right w:val="single" w:sz="8" w:color="auto"/>
            </w:tcBorders>
          </w:tcPr>
          <w:p>
            <w:pPr>
              <w:ind w:left="20"/>
              <w:spacing w:after="0" w:line="151" w:lineRule="exact"/>
              <w:rPr>
                <w:sz w:val="20"/>
                <w:szCs w:val="20"/>
                <w:color w:val="auto"/>
              </w:rPr>
            </w:pPr>
            <w:r>
              <w:rPr>
                <w:rFonts w:ascii="Arial" w:cs="Arial" w:eastAsia="Arial" w:hAnsi="Arial"/>
                <w:sz w:val="16"/>
                <w:szCs w:val="16"/>
                <w:color w:val="auto"/>
              </w:rPr>
              <w:t>Reporting Person</w:t>
            </w:r>
          </w:p>
        </w:tc>
        <w:tc>
          <w:tcPr>
            <w:tcW w:w="40" w:type="dxa"/>
            <w:vAlign w:val="bottom"/>
            <w:tcBorders>
              <w:right w:val="single" w:sz="8" w:color="auto"/>
            </w:tcBorders>
          </w:tcPr>
          <w:p>
            <w:pPr>
              <w:spacing w:after="0"/>
              <w:rPr>
                <w:sz w:val="13"/>
                <w:szCs w:val="13"/>
                <w:color w:val="auto"/>
              </w:rPr>
            </w:pPr>
          </w:p>
        </w:tc>
        <w:tc>
          <w:tcPr>
            <w:tcW w:w="740" w:type="dxa"/>
            <w:vAlign w:val="bottom"/>
            <w:tcBorders>
              <w:right w:val="single" w:sz="8" w:color="auto"/>
            </w:tcBorders>
          </w:tcPr>
          <w:p>
            <w:pPr>
              <w:spacing w:after="0"/>
              <w:rPr>
                <w:sz w:val="13"/>
                <w:szCs w:val="13"/>
                <w:color w:val="auto"/>
              </w:rPr>
            </w:pPr>
          </w:p>
        </w:tc>
        <w:tc>
          <w:tcPr>
            <w:tcW w:w="548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SHARED VOTING POWER</w:t>
            </w:r>
          </w:p>
        </w:tc>
        <w:tc>
          <w:tcPr>
            <w:tcW w:w="0" w:type="dxa"/>
            <w:vAlign w:val="bottom"/>
          </w:tcPr>
          <w:p>
            <w:pPr>
              <w:spacing w:after="0"/>
              <w:rPr>
                <w:sz w:val="1"/>
                <w:szCs w:val="1"/>
                <w:color w:val="auto"/>
              </w:rPr>
            </w:pPr>
          </w:p>
        </w:tc>
      </w:tr>
      <w:tr>
        <w:trPr>
          <w:trHeight w:val="149"/>
        </w:trPr>
        <w:tc>
          <w:tcPr>
            <w:tcW w:w="2180" w:type="dxa"/>
            <w:vAlign w:val="bottom"/>
            <w:tcBorders>
              <w:left w:val="single" w:sz="8" w:color="auto"/>
              <w:right w:val="single" w:sz="8" w:color="auto"/>
            </w:tcBorders>
          </w:tcPr>
          <w:p>
            <w:pPr>
              <w:ind w:left="20"/>
              <w:spacing w:after="0" w:line="148" w:lineRule="exact"/>
              <w:rPr>
                <w:sz w:val="20"/>
                <w:szCs w:val="20"/>
                <w:color w:val="auto"/>
              </w:rPr>
            </w:pPr>
            <w:r>
              <w:rPr>
                <w:rFonts w:ascii="Arial" w:cs="Arial" w:eastAsia="Arial" w:hAnsi="Arial"/>
                <w:sz w:val="16"/>
                <w:szCs w:val="16"/>
                <w:color w:val="auto"/>
              </w:rPr>
              <w:t>With</w:t>
            </w:r>
          </w:p>
        </w:tc>
        <w:tc>
          <w:tcPr>
            <w:tcW w:w="4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vMerge w:val="restart"/>
          </w:tcPr>
          <w:p>
            <w:pPr>
              <w:spacing w:after="0"/>
              <w:rPr>
                <w:sz w:val="20"/>
                <w:szCs w:val="20"/>
                <w:color w:val="auto"/>
              </w:rPr>
            </w:pPr>
            <w:r>
              <w:rPr>
                <w:rFonts w:ascii="Arial" w:cs="Arial" w:eastAsia="Arial" w:hAnsi="Arial"/>
                <w:sz w:val="22"/>
                <w:szCs w:val="22"/>
                <w:color w:val="auto"/>
              </w:rPr>
              <w:t>8</w:t>
            </w:r>
          </w:p>
        </w:tc>
        <w:tc>
          <w:tcPr>
            <w:tcW w:w="548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62"/>
        </w:trPr>
        <w:tc>
          <w:tcPr>
            <w:tcW w:w="2180" w:type="dxa"/>
            <w:vAlign w:val="bottom"/>
            <w:tcBorders>
              <w:left w:val="single" w:sz="8" w:color="auto"/>
              <w:right w:val="single" w:sz="8" w:color="auto"/>
            </w:tcBorders>
          </w:tcPr>
          <w:p>
            <w:pPr>
              <w:spacing w:after="0"/>
              <w:rPr>
                <w:sz w:val="22"/>
                <w:szCs w:val="22"/>
                <w:color w:val="auto"/>
              </w:rPr>
            </w:pPr>
          </w:p>
        </w:tc>
        <w:tc>
          <w:tcPr>
            <w:tcW w:w="40" w:type="dxa"/>
            <w:vAlign w:val="bottom"/>
            <w:tcBorders>
              <w:right w:val="single" w:sz="8" w:color="auto"/>
            </w:tcBorders>
          </w:tcPr>
          <w:p>
            <w:pPr>
              <w:spacing w:after="0"/>
              <w:rPr>
                <w:sz w:val="22"/>
                <w:szCs w:val="22"/>
                <w:color w:val="auto"/>
              </w:rPr>
            </w:pPr>
          </w:p>
        </w:tc>
        <w:tc>
          <w:tcPr>
            <w:tcW w:w="740" w:type="dxa"/>
            <w:vAlign w:val="bottom"/>
            <w:tcBorders>
              <w:bottom w:val="single" w:sz="8" w:color="auto"/>
              <w:right w:val="single" w:sz="8" w:color="auto"/>
            </w:tcBorders>
            <w:vMerge w:val="continue"/>
          </w:tcPr>
          <w:p>
            <w:pPr>
              <w:spacing w:after="0"/>
              <w:rPr>
                <w:sz w:val="22"/>
                <w:szCs w:val="22"/>
                <w:color w:val="auto"/>
              </w:rPr>
            </w:pP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99"/>
        </w:trPr>
        <w:tc>
          <w:tcPr>
            <w:tcW w:w="2180" w:type="dxa"/>
            <w:vAlign w:val="bottom"/>
            <w:tcBorders>
              <w:left w:val="single" w:sz="8" w:color="auto"/>
              <w:right w:val="single" w:sz="8" w:color="auto"/>
            </w:tcBorders>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74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9</w:t>
            </w:r>
          </w:p>
        </w:tc>
        <w:tc>
          <w:tcPr>
            <w:tcW w:w="548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SOLE DISPOSITIVE POWER</w:t>
            </w:r>
          </w:p>
        </w:tc>
        <w:tc>
          <w:tcPr>
            <w:tcW w:w="0" w:type="dxa"/>
            <w:vAlign w:val="bottom"/>
          </w:tcPr>
          <w:p>
            <w:pPr>
              <w:spacing w:after="0"/>
              <w:rPr>
                <w:sz w:val="1"/>
                <w:szCs w:val="1"/>
                <w:color w:val="auto"/>
              </w:rPr>
            </w:pPr>
          </w:p>
        </w:tc>
      </w:tr>
      <w:tr>
        <w:trPr>
          <w:trHeight w:val="141"/>
        </w:trPr>
        <w:tc>
          <w:tcPr>
            <w:tcW w:w="2180" w:type="dxa"/>
            <w:vAlign w:val="bottom"/>
            <w:tcBorders>
              <w:left w:val="single" w:sz="8" w:color="auto"/>
              <w:right w:val="single" w:sz="8" w:color="auto"/>
            </w:tcBorders>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vMerge w:val="continue"/>
          </w:tcPr>
          <w:p>
            <w:pPr>
              <w:spacing w:after="0"/>
              <w:rPr>
                <w:sz w:val="12"/>
                <w:szCs w:val="12"/>
                <w:color w:val="auto"/>
              </w:rPr>
            </w:pPr>
          </w:p>
        </w:tc>
        <w:tc>
          <w:tcPr>
            <w:tcW w:w="548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22,839,866</w:t>
            </w:r>
          </w:p>
        </w:tc>
        <w:tc>
          <w:tcPr>
            <w:tcW w:w="0" w:type="dxa"/>
            <w:vAlign w:val="bottom"/>
          </w:tcPr>
          <w:p>
            <w:pPr>
              <w:spacing w:after="0"/>
              <w:rPr>
                <w:sz w:val="1"/>
                <w:szCs w:val="1"/>
                <w:color w:val="auto"/>
              </w:rPr>
            </w:pPr>
          </w:p>
        </w:tc>
      </w:tr>
      <w:tr>
        <w:trPr>
          <w:trHeight w:val="120"/>
        </w:trPr>
        <w:tc>
          <w:tcPr>
            <w:tcW w:w="2180" w:type="dxa"/>
            <w:vAlign w:val="bottom"/>
            <w:tcBorders>
              <w:left w:val="single" w:sz="8" w:color="auto"/>
              <w:right w:val="single" w:sz="8" w:color="auto"/>
            </w:tcBorders>
          </w:tcPr>
          <w:p>
            <w:pPr>
              <w:spacing w:after="0"/>
              <w:rPr>
                <w:sz w:val="10"/>
                <w:szCs w:val="10"/>
                <w:color w:val="auto"/>
              </w:rPr>
            </w:pPr>
          </w:p>
        </w:tc>
        <w:tc>
          <w:tcPr>
            <w:tcW w:w="40" w:type="dxa"/>
            <w:vAlign w:val="bottom"/>
            <w:tcBorders>
              <w:right w:val="single" w:sz="8" w:color="auto"/>
            </w:tcBorders>
          </w:tcPr>
          <w:p>
            <w:pPr>
              <w:spacing w:after="0"/>
              <w:rPr>
                <w:sz w:val="10"/>
                <w:szCs w:val="10"/>
                <w:color w:val="auto"/>
              </w:rPr>
            </w:pPr>
          </w:p>
        </w:tc>
        <w:tc>
          <w:tcPr>
            <w:tcW w:w="740" w:type="dxa"/>
            <w:vAlign w:val="bottom"/>
            <w:tcBorders>
              <w:bottom w:val="single" w:sz="8" w:color="auto"/>
              <w:right w:val="single" w:sz="8" w:color="auto"/>
            </w:tcBorders>
          </w:tcPr>
          <w:p>
            <w:pPr>
              <w:spacing w:after="0"/>
              <w:rPr>
                <w:sz w:val="10"/>
                <w:szCs w:val="10"/>
                <w:color w:val="auto"/>
              </w:rPr>
            </w:pPr>
          </w:p>
        </w:tc>
        <w:tc>
          <w:tcPr>
            <w:tcW w:w="5480" w:type="dxa"/>
            <w:vAlign w:val="bottom"/>
            <w:tcBorders>
              <w:bottom w:val="single" w:sz="8" w:color="auto"/>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99"/>
        </w:trPr>
        <w:tc>
          <w:tcPr>
            <w:tcW w:w="2180" w:type="dxa"/>
            <w:vAlign w:val="bottom"/>
            <w:tcBorders>
              <w:left w:val="single" w:sz="8" w:color="auto"/>
              <w:right w:val="single" w:sz="8" w:color="auto"/>
            </w:tcBorders>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74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10</w:t>
            </w:r>
          </w:p>
        </w:tc>
        <w:tc>
          <w:tcPr>
            <w:tcW w:w="548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SHARED DISPOSITIVE POWER</w:t>
            </w:r>
          </w:p>
        </w:tc>
        <w:tc>
          <w:tcPr>
            <w:tcW w:w="0" w:type="dxa"/>
            <w:vAlign w:val="bottom"/>
          </w:tcPr>
          <w:p>
            <w:pPr>
              <w:spacing w:after="0"/>
              <w:rPr>
                <w:sz w:val="1"/>
                <w:szCs w:val="1"/>
                <w:color w:val="auto"/>
              </w:rPr>
            </w:pPr>
          </w:p>
        </w:tc>
      </w:tr>
      <w:tr>
        <w:trPr>
          <w:trHeight w:val="141"/>
        </w:trPr>
        <w:tc>
          <w:tcPr>
            <w:tcW w:w="2180" w:type="dxa"/>
            <w:vAlign w:val="bottom"/>
            <w:tcBorders>
              <w:left w:val="single" w:sz="8" w:color="auto"/>
              <w:right w:val="single" w:sz="8" w:color="auto"/>
            </w:tcBorders>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vMerge w:val="continue"/>
          </w:tcPr>
          <w:p>
            <w:pPr>
              <w:spacing w:after="0"/>
              <w:rPr>
                <w:sz w:val="12"/>
                <w:szCs w:val="12"/>
                <w:color w:val="auto"/>
              </w:rPr>
            </w:pPr>
          </w:p>
        </w:tc>
        <w:tc>
          <w:tcPr>
            <w:tcW w:w="548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93"/>
        </w:trPr>
        <w:tc>
          <w:tcPr>
            <w:tcW w:w="2180" w:type="dxa"/>
            <w:vAlign w:val="bottom"/>
            <w:tcBorders>
              <w:left w:val="single" w:sz="8" w:color="auto"/>
              <w:bottom w:val="single" w:sz="8" w:color="auto"/>
              <w:right w:val="single" w:sz="8" w:color="auto"/>
            </w:tcBorders>
          </w:tcPr>
          <w:p>
            <w:pPr>
              <w:spacing w:after="0"/>
              <w:rPr>
                <w:sz w:val="8"/>
                <w:szCs w:val="8"/>
                <w:color w:val="auto"/>
              </w:rPr>
            </w:pPr>
          </w:p>
        </w:tc>
        <w:tc>
          <w:tcPr>
            <w:tcW w:w="40" w:type="dxa"/>
            <w:vAlign w:val="bottom"/>
            <w:tcBorders>
              <w:right w:val="single" w:sz="8" w:color="auto"/>
            </w:tcBorders>
          </w:tcPr>
          <w:p>
            <w:pPr>
              <w:spacing w:after="0"/>
              <w:rPr>
                <w:sz w:val="8"/>
                <w:szCs w:val="8"/>
                <w:color w:val="auto"/>
              </w:rPr>
            </w:pPr>
          </w:p>
        </w:tc>
        <w:tc>
          <w:tcPr>
            <w:tcW w:w="740" w:type="dxa"/>
            <w:vAlign w:val="bottom"/>
            <w:tcBorders>
              <w:bottom w:val="single" w:sz="8" w:color="auto"/>
              <w:right w:val="single" w:sz="8" w:color="auto"/>
            </w:tcBorders>
          </w:tcPr>
          <w:p>
            <w:pPr>
              <w:spacing w:after="0"/>
              <w:rPr>
                <w:sz w:val="8"/>
                <w:szCs w:val="8"/>
                <w:color w:val="auto"/>
              </w:rPr>
            </w:pPr>
          </w:p>
        </w:tc>
        <w:tc>
          <w:tcPr>
            <w:tcW w:w="5480" w:type="dxa"/>
            <w:vAlign w:val="bottom"/>
            <w:tcBorders>
              <w:bottom w:val="single" w:sz="8" w:color="auto"/>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2400"/>
        <w:spacing w:after="0"/>
        <w:rPr>
          <w:sz w:val="20"/>
          <w:szCs w:val="20"/>
          <w:color w:val="auto"/>
        </w:rPr>
      </w:pPr>
      <w:r>
        <w:rPr>
          <w:rFonts w:ascii="Arial" w:cs="Arial" w:eastAsia="Arial" w:hAnsi="Arial"/>
          <w:sz w:val="14"/>
          <w:szCs w:val="14"/>
          <w:color w:val="auto"/>
        </w:rPr>
        <w:t>AGGREGATE AMOUNT BENEFICIALLY OWNED BY EACH REPORTING PERSON</w:t>
      </w:r>
    </w:p>
    <w:p>
      <w:pPr>
        <w:spacing w:after="0" w:line="125" w:lineRule="exact"/>
        <w:rPr>
          <w:sz w:val="20"/>
          <w:szCs w:val="20"/>
          <w:color w:val="auto"/>
        </w:rPr>
      </w:pPr>
    </w:p>
    <w:p>
      <w:pPr>
        <w:ind w:left="1520"/>
        <w:spacing w:after="0"/>
        <w:tabs>
          <w:tab w:leader="none" w:pos="238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8"/>
          <w:szCs w:val="18"/>
          <w:color w:val="auto"/>
        </w:rPr>
        <w:t>22,839,866</w:t>
      </w:r>
    </w:p>
    <w:p>
      <w:pPr>
        <w:spacing w:after="0" w:line="236" w:lineRule="exact"/>
        <w:rPr>
          <w:sz w:val="20"/>
          <w:szCs w:val="20"/>
          <w:color w:val="auto"/>
        </w:rPr>
      </w:pPr>
    </w:p>
    <w:p>
      <w:pPr>
        <w:ind w:left="2400"/>
        <w:spacing w:after="0"/>
        <w:rPr>
          <w:sz w:val="20"/>
          <w:szCs w:val="20"/>
          <w:color w:val="auto"/>
        </w:rPr>
      </w:pPr>
      <w:r>
        <w:rPr>
          <w:rFonts w:ascii="Arial" w:cs="Arial" w:eastAsia="Arial" w:hAnsi="Arial"/>
          <w:sz w:val="14"/>
          <w:szCs w:val="14"/>
          <w:color w:val="auto"/>
        </w:rPr>
        <w:t>CHECK IF THE AGGREGATE AMOUNT IN ROW (11) EXCLUDES CERTAIN SHARES (See Instructions)</w:t>
      </w:r>
    </w:p>
    <w:p>
      <w:pPr>
        <w:spacing w:after="0" w:line="125" w:lineRule="exact"/>
        <w:rPr>
          <w:sz w:val="20"/>
          <w:szCs w:val="20"/>
          <w:color w:val="auto"/>
        </w:rPr>
      </w:pPr>
    </w:p>
    <w:p>
      <w:pPr>
        <w:ind w:left="1520"/>
        <w:spacing w:after="0"/>
        <w:tabs>
          <w:tab w:leader="none" w:pos="238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8"/>
          <w:szCs w:val="18"/>
          <w:color w:val="auto"/>
        </w:rPr>
        <w:t>[X]</w:t>
      </w:r>
    </w:p>
    <w:p>
      <w:pPr>
        <w:spacing w:after="0" w:line="236" w:lineRule="exact"/>
        <w:rPr>
          <w:sz w:val="20"/>
          <w:szCs w:val="20"/>
          <w:color w:val="auto"/>
        </w:rPr>
      </w:pPr>
    </w:p>
    <w:p>
      <w:pPr>
        <w:ind w:left="2400"/>
        <w:spacing w:after="0"/>
        <w:rPr>
          <w:sz w:val="20"/>
          <w:szCs w:val="20"/>
          <w:color w:val="auto"/>
        </w:rPr>
      </w:pPr>
      <w:r>
        <w:rPr>
          <w:rFonts w:ascii="Arial" w:cs="Arial" w:eastAsia="Arial" w:hAnsi="Arial"/>
          <w:sz w:val="14"/>
          <w:szCs w:val="14"/>
          <w:color w:val="auto"/>
        </w:rPr>
        <w:t>PERCENT OF CLASS REPRESENTED BY AMOUNT IN ROW (11)</w:t>
      </w:r>
    </w:p>
    <w:p>
      <w:pPr>
        <w:spacing w:after="0" w:line="125" w:lineRule="exact"/>
        <w:rPr>
          <w:sz w:val="20"/>
          <w:szCs w:val="20"/>
          <w:color w:val="auto"/>
        </w:rPr>
      </w:pPr>
    </w:p>
    <w:p>
      <w:pPr>
        <w:ind w:left="1520"/>
        <w:spacing w:after="0"/>
        <w:tabs>
          <w:tab w:leader="none" w:pos="2380"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8"/>
          <w:szCs w:val="18"/>
          <w:color w:val="auto"/>
        </w:rPr>
        <w:t>100%</w:t>
      </w:r>
    </w:p>
    <w:p>
      <w:pPr>
        <w:spacing w:after="0" w:line="236" w:lineRule="exact"/>
        <w:rPr>
          <w:sz w:val="20"/>
          <w:szCs w:val="20"/>
          <w:color w:val="auto"/>
        </w:rPr>
      </w:pPr>
    </w:p>
    <w:p>
      <w:pPr>
        <w:ind w:left="2400"/>
        <w:spacing w:after="0"/>
        <w:rPr>
          <w:sz w:val="20"/>
          <w:szCs w:val="20"/>
          <w:color w:val="auto"/>
        </w:rPr>
      </w:pPr>
      <w:r>
        <w:rPr>
          <w:rFonts w:ascii="Arial" w:cs="Arial" w:eastAsia="Arial" w:hAnsi="Arial"/>
          <w:sz w:val="14"/>
          <w:szCs w:val="14"/>
          <w:color w:val="auto"/>
        </w:rPr>
        <w:t>TYPE OF REPORTING PERSON</w:t>
      </w:r>
    </w:p>
    <w:p>
      <w:pPr>
        <w:spacing w:after="0" w:line="125" w:lineRule="exact"/>
        <w:rPr>
          <w:sz w:val="20"/>
          <w:szCs w:val="20"/>
          <w:color w:val="auto"/>
        </w:rPr>
      </w:pPr>
    </w:p>
    <w:p>
      <w:pPr>
        <w:ind w:left="1520"/>
        <w:spacing w:after="0"/>
        <w:tabs>
          <w:tab w:leader="none" w:pos="2380" w:val="left"/>
        </w:tabs>
        <w:rPr>
          <w:sz w:val="20"/>
          <w:szCs w:val="20"/>
          <w:color w:val="auto"/>
        </w:rPr>
      </w:pPr>
      <w:r>
        <w:rPr>
          <w:rFonts w:ascii="Arial" w:cs="Arial" w:eastAsia="Arial" w:hAnsi="Arial"/>
          <w:sz w:val="18"/>
          <w:szCs w:val="18"/>
          <w:color w:val="auto"/>
        </w:rPr>
        <w:t>14</w:t>
      </w:r>
      <w:r>
        <w:rPr>
          <w:sz w:val="20"/>
          <w:szCs w:val="20"/>
          <w:color w:val="auto"/>
        </w:rPr>
        <w:tab/>
      </w:r>
      <w:r>
        <w:rPr>
          <w:rFonts w:ascii="Arial" w:cs="Arial" w:eastAsia="Arial" w:hAnsi="Arial"/>
          <w:sz w:val="18"/>
          <w:szCs w:val="18"/>
          <w:color w:val="auto"/>
        </w:rPr>
        <w:t>CO</w:t>
      </w:r>
    </w:p>
    <w:p>
      <w:pPr>
        <w:spacing w:after="0" w:line="293" w:lineRule="exact"/>
        <w:rPr>
          <w:sz w:val="20"/>
          <w:szCs w:val="20"/>
          <w:color w:val="auto"/>
        </w:rPr>
      </w:pPr>
    </w:p>
    <w:p>
      <w:pPr>
        <w:ind w:right="700" w:firstLine="611"/>
        <w:spacing w:after="0" w:line="268" w:lineRule="auto"/>
        <w:rPr>
          <w:sz w:val="20"/>
          <w:szCs w:val="20"/>
          <w:color w:val="auto"/>
        </w:rPr>
      </w:pPr>
      <w:r>
        <w:rPr>
          <w:rFonts w:ascii="Arial" w:cs="Arial" w:eastAsia="Arial" w:hAnsi="Arial"/>
          <w:sz w:val="18"/>
          <w:szCs w:val="18"/>
          <w:color w:val="auto"/>
        </w:rPr>
        <w:t>This Amendment No. 2 amends and supplements the Schedule 13D (the "Schedule 13D"), as amended and supplemented (the "Schedule 13D") originally filed on December 22, 2004 by Manpower Inc., a Wisconsin corporation.</w:t>
      </w:r>
    </w:p>
    <w:p>
      <w:pPr>
        <w:spacing w:after="0" w:line="14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Capitalized terms used and not defined herein shall have the meanings set forth in the Schedule 13D.</w:t>
      </w:r>
    </w:p>
    <w:p>
      <w:pPr>
        <w:spacing w:after="0" w:line="18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The items of the Schedule 13D set forth below are hereby amended and supplemented as follows:</w:t>
      </w:r>
    </w:p>
    <w:p>
      <w:pPr>
        <w:spacing w:after="0" w:line="200" w:lineRule="exact"/>
        <w:rPr>
          <w:sz w:val="20"/>
          <w:szCs w:val="20"/>
          <w:color w:val="auto"/>
        </w:rPr>
      </w:pPr>
    </w:p>
    <w:p>
      <w:pPr>
        <w:spacing w:after="0" w:line="370" w:lineRule="exact"/>
        <w:rPr>
          <w:sz w:val="20"/>
          <w:szCs w:val="20"/>
          <w:color w:val="auto"/>
        </w:rPr>
      </w:pPr>
    </w:p>
    <w:p>
      <w:pPr>
        <w:ind w:left="620"/>
        <w:spacing w:after="0"/>
        <w:rPr>
          <w:sz w:val="20"/>
          <w:szCs w:val="20"/>
          <w:color w:val="auto"/>
        </w:rPr>
      </w:pPr>
      <w:r>
        <w:rPr>
          <w:rFonts w:ascii="Arial" w:cs="Arial" w:eastAsia="Arial" w:hAnsi="Arial"/>
          <w:sz w:val="18"/>
          <w:szCs w:val="18"/>
          <w:b w:val="1"/>
          <w:bCs w:val="1"/>
          <w:color w:val="auto"/>
        </w:rPr>
        <w:t>Item 5. Interest in Securities of the Issuer</w:t>
      </w:r>
    </w:p>
    <w:p>
      <w:pPr>
        <w:spacing w:after="0" w:line="191" w:lineRule="exact"/>
        <w:rPr>
          <w:sz w:val="20"/>
          <w:szCs w:val="20"/>
          <w:color w:val="auto"/>
        </w:rPr>
      </w:pPr>
    </w:p>
    <w:p>
      <w:pPr>
        <w:ind w:left="620"/>
        <w:spacing w:after="0"/>
        <w:rPr>
          <w:sz w:val="20"/>
          <w:szCs w:val="20"/>
          <w:color w:val="auto"/>
        </w:rPr>
      </w:pPr>
      <w:r>
        <w:rPr>
          <w:rFonts w:ascii="Arial" w:cs="Arial" w:eastAsia="Arial" w:hAnsi="Arial"/>
          <w:sz w:val="18"/>
          <w:szCs w:val="18"/>
          <w:color w:val="auto"/>
        </w:rPr>
        <w:t>Item 5 is amended by amending and restating subsection (a)-(b) in their entirety as follows:</w:t>
      </w:r>
    </w:p>
    <w:p>
      <w:pPr>
        <w:spacing w:after="0" w:line="185"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(a)-(b) Manpower has acquired beneficial ownership (as defined in Exchange Act Rule 13d-3) of 100% of the total number of shares of Right Common Stock outstanding on January 23, 2004. To Manpower's knowledge, none of the persons listed on Schedule I was the beneficial owner of any shares of Right Common Stock. Except as described in this Schedule 13D, neither Manpower nor, to Manpower's knowledge, any of the persons listed in Schedule I, beneficially owns any shares of Right Common Stock.</w:t>
      </w:r>
    </w:p>
    <w:p>
      <w:pPr>
        <w:spacing w:after="0" w:line="157" w:lineRule="exact"/>
        <w:rPr>
          <w:sz w:val="20"/>
          <w:szCs w:val="20"/>
          <w:color w:val="auto"/>
        </w:rPr>
      </w:pPr>
    </w:p>
    <w:p>
      <w:pPr>
        <w:ind w:left="620"/>
        <w:spacing w:after="0"/>
        <w:rPr>
          <w:sz w:val="20"/>
          <w:szCs w:val="20"/>
          <w:color w:val="auto"/>
        </w:rPr>
      </w:pPr>
      <w:r>
        <w:rPr>
          <w:rFonts w:ascii="Arial" w:cs="Arial" w:eastAsia="Arial" w:hAnsi="Arial"/>
          <w:sz w:val="18"/>
          <w:szCs w:val="18"/>
          <w:color w:val="auto"/>
        </w:rPr>
        <w:t>Item 5 is amended by adding the following paragraphs to subsection (c) thereof:</w:t>
      </w:r>
    </w:p>
    <w:p>
      <w:pPr>
        <w:spacing w:after="0" w:line="185" w:lineRule="exact"/>
        <w:rPr>
          <w:sz w:val="20"/>
          <w:szCs w:val="20"/>
          <w:color w:val="auto"/>
        </w:rPr>
      </w:pPr>
    </w:p>
    <w:p>
      <w:pPr>
        <w:ind w:left="540" w:right="20" w:hanging="161"/>
        <w:spacing w:after="0" w:line="259" w:lineRule="auto"/>
        <w:rPr>
          <w:sz w:val="20"/>
          <w:szCs w:val="20"/>
          <w:color w:val="auto"/>
        </w:rPr>
      </w:pPr>
      <w:r>
        <w:rPr>
          <w:rFonts w:ascii="Arial" w:cs="Arial" w:eastAsia="Arial" w:hAnsi="Arial"/>
          <w:sz w:val="18"/>
          <w:szCs w:val="18"/>
          <w:color w:val="auto"/>
        </w:rPr>
        <w:t>c. On January 23, 2004, Manpower consummated the Merger, as described in Item 4. As a result of the Merger, Manpower acquired 1,906,174 shares of Right Common Stock which had not been tendered in the Offer and thereby acquired sole voting and dispositive power with respect to 100% of the shares of Right Common Stock.</w:t>
      </w:r>
    </w:p>
    <w:p>
      <w:pPr>
        <w:spacing w:after="0" w:line="200" w:lineRule="exact"/>
        <w:rPr>
          <w:sz w:val="20"/>
          <w:szCs w:val="20"/>
          <w:color w:val="auto"/>
        </w:rPr>
      </w:pPr>
    </w:p>
    <w:p>
      <w:pPr>
        <w:spacing w:after="0" w:line="33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SIGNATURE</w:t>
      </w:r>
    </w:p>
    <w:p>
      <w:pPr>
        <w:spacing w:after="0" w:line="191" w:lineRule="exact"/>
        <w:rPr>
          <w:sz w:val="20"/>
          <w:szCs w:val="20"/>
          <w:color w:val="auto"/>
        </w:rPr>
      </w:pPr>
    </w:p>
    <w:p>
      <w:pPr>
        <w:ind w:left="62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62" w:lineRule="exact"/>
        <w:rPr>
          <w:sz w:val="20"/>
          <w:szCs w:val="20"/>
          <w:color w:val="auto"/>
        </w:rPr>
      </w:pPr>
    </w:p>
    <w:p>
      <w:pPr>
        <w:jc w:val="center"/>
        <w:ind w:right="240"/>
        <w:spacing w:after="0"/>
        <w:rPr>
          <w:sz w:val="20"/>
          <w:szCs w:val="20"/>
          <w:color w:val="auto"/>
        </w:rPr>
      </w:pPr>
      <w:r>
        <w:rPr>
          <w:rFonts w:ascii="Arial" w:cs="Arial" w:eastAsia="Arial" w:hAnsi="Arial"/>
          <w:sz w:val="18"/>
          <w:szCs w:val="18"/>
          <w:color w:val="auto"/>
        </w:rPr>
        <w:t>MANPOWER INC.</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420"/>
        <w:spacing w:after="0"/>
        <w:tabs>
          <w:tab w:leader="none" w:pos="4860" w:val="left"/>
        </w:tabs>
        <w:rPr>
          <w:sz w:val="20"/>
          <w:szCs w:val="20"/>
          <w:color w:val="auto"/>
        </w:rPr>
      </w:pPr>
      <w:r>
        <w:rPr>
          <w:rFonts w:ascii="Arial" w:cs="Arial" w:eastAsia="Arial" w:hAnsi="Arial"/>
          <w:sz w:val="18"/>
          <w:szCs w:val="18"/>
          <w:color w:val="auto"/>
        </w:rPr>
        <w:t>Dated: January 23, 2004</w:t>
      </w:r>
      <w:r>
        <w:rPr>
          <w:sz w:val="20"/>
          <w:szCs w:val="20"/>
          <w:color w:val="auto"/>
        </w:rPr>
        <w:tab/>
      </w:r>
      <w:r>
        <w:rPr>
          <w:rFonts w:ascii="Arial" w:cs="Arial" w:eastAsia="Arial" w:hAnsi="Arial"/>
          <w:sz w:val="15"/>
          <w:szCs w:val="15"/>
          <w:color w:val="auto"/>
        </w:rPr>
        <w:t>/s/ Michael J. Van Handel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3096895</wp:posOffset>
            </wp:positionH>
            <wp:positionV relativeFrom="paragraph">
              <wp:posOffset>-13970</wp:posOffset>
            </wp:positionV>
            <wp:extent cx="2207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207895" cy="8890"/>
                    </a:xfrm>
                    <a:prstGeom prst="rect">
                      <a:avLst/>
                    </a:prstGeom>
                    <a:noFill/>
                  </pic:spPr>
                </pic:pic>
              </a:graphicData>
            </a:graphic>
          </wp:anchor>
        </w:drawing>
      </w:r>
    </w:p>
    <w:p>
      <w:pPr>
        <w:spacing w:after="0" w:line="16"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Michael J. Van Handel</w:t>
      </w:r>
    </w:p>
    <w:p>
      <w:pPr>
        <w:spacing w:after="0" w:line="15"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Executive Vice President, Chief Financial Officer and</w:t>
      </w:r>
    </w:p>
    <w:p>
      <w:pPr>
        <w:spacing w:after="0" w:line="9"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Secretary</w:t>
      </w:r>
    </w:p>
    <w:sectPr>
      <w:pgSz w:w="11900" w:h="16838" w:orient="portrait"/>
      <w:cols w:equalWidth="0" w:num="1">
        <w:col w:w="11400"/>
      </w:cols>
      <w:pgMar w:left="240" w:top="169"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bullet"/>
      <w:start w:val="1"/>
    </w:lvl>
  </w:abstractNum>
  <w:abstractNum w:abstractNumId="2">
    <w:nsid w:val="625558EC"/>
    <w:multiLevelType w:val="hybridMultilevel"/>
    <w:lvl w:ilvl="0">
      <w:lvlJc w:val="left"/>
      <w:lvlText w:val="2"/>
      <w:numFmt w:val="bullet"/>
      <w:start w:val="1"/>
    </w:lvl>
  </w:abstractNum>
  <w:abstractNum w:abstractNumId="3">
    <w:nsid w:val="238E1F29"/>
    <w:multiLevelType w:val="hybridMultilevel"/>
    <w:lvl w:ilvl="0">
      <w:lvlJc w:val="left"/>
      <w:lvlText w:val="4"/>
      <w:numFmt w:val="bullet"/>
      <w:start w:val="1"/>
    </w:lvl>
  </w:abstractNum>
  <w:abstractNum w:abstractNumId="4">
    <w:nsid w:val="46E87CCD"/>
    <w:multiLevelType w:val="hybridMultilevel"/>
    <w:lvl w:ilvl="0">
      <w:lvlJc w:val="left"/>
      <w:lvlText w:val="5"/>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2019-12-16T07:40:15Z</dcterms:created>
  <dcterms:modified xsi:type="dcterms:W3CDTF">2019-12-16T07:40:15Z</dcterms:modified>
</cp:coreProperties>
</file>