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67144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714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BUCHBAND RICHARD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MANPOWERGROUP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 MANPOWER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ManpowerGroup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MAN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02/14/2019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SVP, General Counsel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jc w:val="right"/>
              <w:ind w:right="151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9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   WI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53212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6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jc w:val="center"/>
              <w:ind w:left="50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02/14/2019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94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4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5,371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10,357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02/14/2019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1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(2)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1,698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83.91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8,659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02/16/2019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1,982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10,641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02/19/2019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1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(5)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677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84.15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(6)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9,964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7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2"/>
          </w:tcPr>
          <w:p>
            <w:pPr>
              <w:jc w:val="center"/>
              <w:ind w:left="3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12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4"/>
              </w:rPr>
              <w:t>0.0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(7)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1,896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02/15/2019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1,896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(7)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172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17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1,896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(7)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84.43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(9)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02/15/2019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8,999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(10)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02/15/2029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8,999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8,999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151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(8)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1,982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02/16/2019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1,982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172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17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6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151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Shares acquired in settlement of performance share units granted in 2016 (which were not derivative securities received under the Company's 2011 Equity Incentive Plan, exempt under Rule 16b-3).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withheld by the Issuer to satisfy tax withholding obligations on shares acquired on February 14, 2019 in settlement of performance share units.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the opening stock price on the New York Stock Exchange on February 15, 2019.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restricted stock units vested on February 16, 2019 and were settled in shares of ManpowerGroup common stock on a 1 for 1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withheld by Issuer to satisfy tax withholding obligations on shares acquired on settlement of restricted stock units.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the opening stock price on the New York Stock Exchange on February 19, 2019.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64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Award of restricted stock units under the 2011 Equity Incentive Plan of the Company. The restricted stock units will vest 100% on February 15, 2022 and will be settled in shares of ManpowerGroup common stock on a 1 for 1 basis.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Option grant under the 2011 Equity Incentive Plan of the Company.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the closing stock price on the New York Stock Exchange on February 15, 2019, the date of the grant.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260" w:hanging="211"/>
        <w:spacing w:after="0"/>
        <w:tabs>
          <w:tab w:leader="none" w:pos="26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25% of the options will become exercisable each on 2/15/2020, 2/15/2021, 2/15/2022, and 2/15/2023.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Richard Buchband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02/19/2019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4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18 U.S.C. 1001 and 15 U.S.C. 78ff(a).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6 for procedure.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520"/>
          </w:cols>
          <w:pgMar w:left="240" w:top="226" w:right="1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320"/>
      </w:cols>
      <w:pgMar w:left="280" w:top="124" w:right="12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67059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2019-12-23T15:17:18Z</dcterms:created>
  <dcterms:modified xsi:type="dcterms:W3CDTF">2019-12-23T15:17:18Z</dcterms:modified>
</cp:coreProperties>
</file>