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 October 19, 2018</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MANPOWERGROUP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jc w:val="center"/>
              <w:ind w:right="46"/>
              <w:spacing w:after="0"/>
              <w:rPr>
                <w:sz w:val="20"/>
                <w:szCs w:val="20"/>
                <w:color w:val="auto"/>
              </w:rPr>
            </w:pPr>
            <w:r>
              <w:rPr>
                <w:rFonts w:ascii="Arial" w:cs="Arial" w:eastAsia="Arial" w:hAnsi="Arial"/>
                <w:sz w:val="15"/>
                <w:szCs w:val="15"/>
                <w:b w:val="1"/>
                <w:bCs w:val="1"/>
                <w:color w:val="auto"/>
                <w:w w:val="85"/>
              </w:rPr>
              <w:t>Wisconsin</w:t>
            </w:r>
          </w:p>
        </w:tc>
        <w:tc>
          <w:tcPr>
            <w:tcW w:w="2920" w:type="dxa"/>
            <w:vAlign w:val="bottom"/>
          </w:tcPr>
          <w:p>
            <w:pPr>
              <w:jc w:val="right"/>
              <w:ind w:right="1186"/>
              <w:spacing w:after="0"/>
              <w:rPr>
                <w:sz w:val="20"/>
                <w:szCs w:val="20"/>
                <w:color w:val="auto"/>
              </w:rPr>
            </w:pPr>
            <w:r>
              <w:rPr>
                <w:rFonts w:ascii="Arial" w:cs="Arial" w:eastAsia="Arial" w:hAnsi="Arial"/>
                <w:sz w:val="15"/>
                <w:szCs w:val="15"/>
                <w:b w:val="1"/>
                <w:bCs w:val="1"/>
                <w:color w:val="auto"/>
              </w:rPr>
              <w:t>1-10686</w:t>
            </w:r>
          </w:p>
        </w:tc>
        <w:tc>
          <w:tcPr>
            <w:tcW w:w="3700" w:type="dxa"/>
            <w:vAlign w:val="bottom"/>
          </w:tcPr>
          <w:p>
            <w:pPr>
              <w:jc w:val="right"/>
              <w:ind w:right="1406"/>
              <w:spacing w:after="0"/>
              <w:rPr>
                <w:sz w:val="20"/>
                <w:szCs w:val="20"/>
                <w:color w:val="auto"/>
              </w:rPr>
            </w:pPr>
            <w:r>
              <w:rPr>
                <w:rFonts w:ascii="Arial" w:cs="Arial" w:eastAsia="Arial" w:hAnsi="Arial"/>
                <w:sz w:val="15"/>
                <w:szCs w:val="15"/>
                <w:b w:val="1"/>
                <w:bCs w:val="1"/>
                <w:color w:val="auto"/>
              </w:rPr>
              <w:t>39-1672779</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right="46"/>
              <w:spacing w:after="0"/>
              <w:rPr>
                <w:sz w:val="20"/>
                <w:szCs w:val="20"/>
                <w:color w:val="auto"/>
              </w:rPr>
            </w:pPr>
            <w:r>
              <w:rPr>
                <w:rFonts w:ascii="Arial" w:cs="Arial" w:eastAsia="Arial" w:hAnsi="Arial"/>
                <w:sz w:val="15"/>
                <w:szCs w:val="15"/>
                <w:b w:val="1"/>
                <w:bCs w:val="1"/>
                <w:color w:val="auto"/>
                <w:w w:val="89"/>
              </w:rPr>
              <w:t>(State or other jurisdiction of incorporation)</w:t>
            </w:r>
          </w:p>
        </w:tc>
        <w:tc>
          <w:tcPr>
            <w:tcW w:w="2920" w:type="dxa"/>
            <w:vAlign w:val="bottom"/>
          </w:tcPr>
          <w:p>
            <w:pPr>
              <w:jc w:val="center"/>
              <w:ind w:right="6"/>
              <w:spacing w:after="0"/>
              <w:rPr>
                <w:sz w:val="20"/>
                <w:szCs w:val="20"/>
                <w:color w:val="auto"/>
              </w:rPr>
            </w:pPr>
            <w:r>
              <w:rPr>
                <w:rFonts w:ascii="Arial" w:cs="Arial" w:eastAsia="Arial" w:hAnsi="Arial"/>
                <w:sz w:val="15"/>
                <w:szCs w:val="15"/>
                <w:b w:val="1"/>
                <w:bCs w:val="1"/>
                <w:color w:val="auto"/>
                <w:w w:val="90"/>
              </w:rPr>
              <w:t>(Commission File Number)</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w w:val="91"/>
              </w:rPr>
              <w:t>(IRS Employer Identification No.)</w:t>
            </w:r>
          </w:p>
        </w:tc>
      </w:tr>
      <w:tr>
        <w:trPr>
          <w:trHeight w:val="688"/>
        </w:trPr>
        <w:tc>
          <w:tcPr>
            <w:tcW w:w="4840" w:type="dxa"/>
            <w:vAlign w:val="bottom"/>
          </w:tcPr>
          <w:p>
            <w:pPr>
              <w:jc w:val="center"/>
              <w:ind w:left="1166"/>
              <w:spacing w:after="0"/>
              <w:rPr>
                <w:sz w:val="20"/>
                <w:szCs w:val="20"/>
                <w:color w:val="auto"/>
              </w:rPr>
            </w:pPr>
            <w:r>
              <w:rPr>
                <w:rFonts w:ascii="Arial" w:cs="Arial" w:eastAsia="Arial" w:hAnsi="Arial"/>
                <w:sz w:val="15"/>
                <w:szCs w:val="15"/>
                <w:b w:val="1"/>
                <w:bCs w:val="1"/>
                <w:color w:val="auto"/>
                <w:w w:val="89"/>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2"/>
        </w:trPr>
        <w:tc>
          <w:tcPr>
            <w:tcW w:w="4840" w:type="dxa"/>
            <w:vAlign w:val="bottom"/>
          </w:tcPr>
          <w:p>
            <w:pPr>
              <w:jc w:val="center"/>
              <w:ind w:left="1186"/>
              <w:spacing w:after="0"/>
              <w:rPr>
                <w:sz w:val="20"/>
                <w:szCs w:val="20"/>
                <w:color w:val="auto"/>
              </w:rPr>
            </w:pPr>
            <w:r>
              <w:rPr>
                <w:rFonts w:ascii="Arial" w:cs="Arial" w:eastAsia="Arial" w:hAnsi="Arial"/>
                <w:sz w:val="15"/>
                <w:szCs w:val="15"/>
                <w:b w:val="1"/>
                <w:bCs w:val="1"/>
                <w:color w:val="auto"/>
                <w:w w:val="89"/>
              </w:rPr>
              <w:t>Milwaukee, Wisconsin</w:t>
            </w:r>
          </w:p>
        </w:tc>
        <w:tc>
          <w:tcPr>
            <w:tcW w:w="2920" w:type="dxa"/>
            <w:vAlign w:val="bottom"/>
          </w:tcPr>
          <w:p>
            <w:pPr>
              <w:spacing w:after="0"/>
              <w:rPr>
                <w:sz w:val="19"/>
                <w:szCs w:val="19"/>
                <w:color w:val="auto"/>
              </w:rPr>
            </w:pPr>
          </w:p>
        </w:tc>
        <w:tc>
          <w:tcPr>
            <w:tcW w:w="3700" w:type="dxa"/>
            <w:vAlign w:val="bottom"/>
          </w:tcPr>
          <w:p>
            <w:pPr>
              <w:jc w:val="right"/>
              <w:ind w:right="2426"/>
              <w:spacing w:after="0"/>
              <w:rPr>
                <w:sz w:val="20"/>
                <w:szCs w:val="20"/>
                <w:color w:val="auto"/>
              </w:rPr>
            </w:pPr>
            <w:r>
              <w:rPr>
                <w:rFonts w:ascii="Arial" w:cs="Arial" w:eastAsia="Arial" w:hAnsi="Arial"/>
                <w:sz w:val="15"/>
                <w:szCs w:val="15"/>
                <w:b w:val="1"/>
                <w:bCs w:val="1"/>
                <w:color w:val="auto"/>
              </w:rPr>
              <w:t>53212</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left="1166"/>
              <w:spacing w:after="0"/>
              <w:rPr>
                <w:sz w:val="20"/>
                <w:szCs w:val="20"/>
                <w:color w:val="auto"/>
              </w:rPr>
            </w:pPr>
            <w:r>
              <w:rPr>
                <w:rFonts w:ascii="Arial" w:cs="Arial" w:eastAsia="Arial" w:hAnsi="Arial"/>
                <w:sz w:val="15"/>
                <w:szCs w:val="15"/>
                <w:b w:val="1"/>
                <w:bCs w:val="1"/>
                <w:color w:val="auto"/>
                <w:w w:val="87"/>
              </w:rPr>
              <w:t>(Address of principal executive offices)</w:t>
            </w:r>
          </w:p>
        </w:tc>
        <w:tc>
          <w:tcPr>
            <w:tcW w:w="2920" w:type="dxa"/>
            <w:vAlign w:val="bottom"/>
          </w:tcPr>
          <w:p>
            <w:pPr>
              <w:spacing w:after="0"/>
              <w:rPr>
                <w:sz w:val="16"/>
                <w:szCs w:val="16"/>
                <w:color w:val="auto"/>
              </w:rPr>
            </w:pPr>
          </w:p>
        </w:tc>
        <w:tc>
          <w:tcPr>
            <w:tcW w:w="3700" w:type="dxa"/>
            <w:vAlign w:val="bottom"/>
          </w:tcPr>
          <w:p>
            <w:pPr>
              <w:jc w:val="center"/>
              <w:ind w:right="1606"/>
              <w:spacing w:after="0"/>
              <w:rPr>
                <w:sz w:val="20"/>
                <w:szCs w:val="20"/>
                <w:color w:val="auto"/>
              </w:rPr>
            </w:pPr>
            <w:r>
              <w:rPr>
                <w:rFonts w:ascii="Arial" w:cs="Arial" w:eastAsia="Arial" w:hAnsi="Arial"/>
                <w:sz w:val="15"/>
                <w:szCs w:val="15"/>
                <w:b w:val="1"/>
                <w:bCs w:val="1"/>
                <w:color w:val="auto"/>
                <w:w w:val="94"/>
              </w:rPr>
              <w:t>(Zip Code)</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6" w:lineRule="exact"/>
        <w:rPr>
          <w:sz w:val="24"/>
          <w:szCs w:val="24"/>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38" w:lineRule="exact"/>
        <w:rPr>
          <w:sz w:val="24"/>
          <w:szCs w:val="24"/>
          <w:color w:val="auto"/>
        </w:rPr>
      </w:pPr>
    </w:p>
    <w:p>
      <w:pPr>
        <w:ind w:right="260"/>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10" w:lineRule="exact"/>
        <w:rPr>
          <w:sz w:val="24"/>
          <w:szCs w:val="24"/>
          <w:color w:val="auto"/>
        </w:rPr>
      </w:pPr>
    </w:p>
    <w:p>
      <w:pPr>
        <w:ind w:right="50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460"/>
          </w:cols>
          <w:pgMar w:left="220" w:top="937" w:right="2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6" w:lineRule="exact"/>
        <w:rPr>
          <w:sz w:val="20"/>
          <w:szCs w:val="20"/>
          <w:color w:val="auto"/>
        </w:rPr>
      </w:pPr>
    </w:p>
    <w:p>
      <w:pPr>
        <w:ind w:right="260"/>
        <w:spacing w:after="0" w:line="268" w:lineRule="auto"/>
        <w:rPr>
          <w:sz w:val="20"/>
          <w:szCs w:val="20"/>
          <w:color w:val="auto"/>
        </w:rPr>
      </w:pPr>
      <w:r>
        <w:rPr>
          <w:rFonts w:ascii="Arial" w:cs="Arial" w:eastAsia="Arial" w:hAnsi="Arial"/>
          <w:sz w:val="15"/>
          <w:szCs w:val="15"/>
          <w:color w:val="auto"/>
        </w:rPr>
        <w:t>On October 19, 2018, we issued a press release announcing our results of operations for the three- and nine-month periods ended September 30, 2018. A copy of the press release is attached hereto as Exhibit 99.1 and is incorporated herein by reference.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gridSpan w:val="3"/>
          </w:tcPr>
          <w:p>
            <w:pPr>
              <w:spacing w:after="0"/>
              <w:rPr>
                <w:sz w:val="20"/>
                <w:szCs w:val="20"/>
                <w:color w:val="auto"/>
              </w:rPr>
            </w:pPr>
            <w:r>
              <w:rPr>
                <w:rFonts w:ascii="Arial" w:cs="Arial" w:eastAsia="Arial" w:hAnsi="Arial"/>
                <w:sz w:val="15"/>
                <w:szCs w:val="15"/>
                <w:b w:val="1"/>
                <w:bCs w:val="1"/>
                <w:color w:val="auto"/>
              </w:rPr>
              <w:t>Item 9.01.</w:t>
            </w:r>
          </w:p>
        </w:tc>
        <w:tc>
          <w:tcPr>
            <w:tcW w:w="10360" w:type="dxa"/>
            <w:vAlign w:val="bottom"/>
            <w:gridSpan w:val="4"/>
          </w:tcPr>
          <w:p>
            <w:pPr>
              <w:ind w:left="360"/>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tc>
      </w:tr>
      <w:tr>
        <w:trPr>
          <w:trHeight w:val="488"/>
        </w:trPr>
        <w:tc>
          <w:tcPr>
            <w:tcW w:w="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12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Arial" w:cs="Arial" w:eastAsia="Arial" w:hAnsi="Arial"/>
                <w:sz w:val="15"/>
                <w:szCs w:val="15"/>
                <w:color w:val="0000FF"/>
                <w:w w:val="75"/>
              </w:rPr>
            </w:pPr>
            <w:hyperlink w:anchor="page5">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1</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140" w:type="dxa"/>
            <w:vAlign w:val="bottom"/>
            <w:gridSpan w:val="3"/>
          </w:tcPr>
          <w:p>
            <w:pPr>
              <w:spacing w:after="0" w:line="158" w:lineRule="exact"/>
              <w:rPr>
                <w:rFonts w:ascii="Arial" w:cs="Arial" w:eastAsia="Arial" w:hAnsi="Arial"/>
                <w:sz w:val="15"/>
                <w:szCs w:val="15"/>
                <w:color w:val="0000FF"/>
              </w:rPr>
            </w:pPr>
            <w:hyperlink w:anchor="page5">
              <w:r>
                <w:rPr>
                  <w:rFonts w:ascii="Arial" w:cs="Arial" w:eastAsia="Arial" w:hAnsi="Arial"/>
                  <w:sz w:val="15"/>
                  <w:szCs w:val="15"/>
                  <w:color w:val="0000FF"/>
                </w:rPr>
                <w:t>Press Release dated October 19, 2018</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Arial" w:cs="Arial" w:eastAsia="Arial" w:hAnsi="Arial"/>
                <w:sz w:val="15"/>
                <w:szCs w:val="15"/>
                <w:color w:val="0000FF"/>
                <w:w w:val="75"/>
              </w:rPr>
            </w:pPr>
            <w:hyperlink w:anchor="page13">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2</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140" w:type="dxa"/>
            <w:vAlign w:val="bottom"/>
            <w:gridSpan w:val="3"/>
          </w:tcPr>
          <w:p>
            <w:pPr>
              <w:spacing w:after="0"/>
              <w:rPr>
                <w:rFonts w:ascii="Arial" w:cs="Arial" w:eastAsia="Arial" w:hAnsi="Arial"/>
                <w:sz w:val="15"/>
                <w:szCs w:val="15"/>
                <w:color w:val="0000FF"/>
              </w:rPr>
            </w:pPr>
            <w:hyperlink w:anchor="page13">
              <w:r>
                <w:rPr>
                  <w:rFonts w:ascii="Arial" w:cs="Arial" w:eastAsia="Arial" w:hAnsi="Arial"/>
                  <w:sz w:val="15"/>
                  <w:szCs w:val="15"/>
                  <w:color w:val="0000FF"/>
                </w:rPr>
                <w:t>Presentation materials for October 19, 2018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ectPr>
          <w:pgSz w:w="11900" w:h="16838" w:orient="portrait"/>
          <w:cols w:equalWidth="0" w:num="1">
            <w:col w:w="11460"/>
          </w:cols>
          <w:pgMar w:left="220" w:top="680" w:right="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6"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MANPOWERGROUP INC.</w:t>
      </w:r>
    </w:p>
    <w:p>
      <w:pPr>
        <w:spacing w:after="0" w:line="271" w:lineRule="exact"/>
        <w:rPr>
          <w:sz w:val="20"/>
          <w:szCs w:val="20"/>
          <w:color w:val="auto"/>
        </w:rPr>
      </w:pPr>
    </w:p>
    <w:p>
      <w:pPr>
        <w:spacing w:after="0"/>
        <w:tabs>
          <w:tab w:leader="none" w:pos="3680" w:val="left"/>
          <w:tab w:leader="none" w:pos="4340" w:val="left"/>
        </w:tabs>
        <w:rPr>
          <w:sz w:val="20"/>
          <w:szCs w:val="20"/>
          <w:color w:val="auto"/>
        </w:rPr>
      </w:pPr>
      <w:r>
        <w:rPr>
          <w:rFonts w:ascii="Arial" w:cs="Arial" w:eastAsia="Arial" w:hAnsi="Arial"/>
          <w:sz w:val="15"/>
          <w:szCs w:val="15"/>
          <w:color w:val="auto"/>
        </w:rPr>
        <w:t>Dated: October 19, 2018</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24130</wp:posOffset>
            </wp:positionV>
            <wp:extent cx="1958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John T. McGinnis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Executive Vice President and</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360"/>
          </w:cols>
          <w:pgMar w:left="260" w:top="85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900" w:type="dxa"/>
            <w:vAlign w:val="bottom"/>
            <w:gridSpan w:val="2"/>
          </w:tcPr>
          <w:p>
            <w:pPr>
              <w:ind w:left="600"/>
              <w:spacing w:after="0"/>
              <w:rPr>
                <w:sz w:val="20"/>
                <w:szCs w:val="20"/>
                <w:color w:val="auto"/>
              </w:rPr>
            </w:pPr>
            <w:r>
              <w:rPr>
                <w:rFonts w:ascii="Arial" w:cs="Arial" w:eastAsia="Arial" w:hAnsi="Arial"/>
                <w:sz w:val="15"/>
                <w:szCs w:val="15"/>
                <w:b w:val="1"/>
                <w:bCs w:val="1"/>
                <w:color w:val="auto"/>
              </w:rPr>
              <w:t>EXHIBIT INDEX</w:t>
            </w:r>
          </w:p>
        </w:tc>
      </w:tr>
      <w:tr>
        <w:trPr>
          <w:trHeight w:val="488"/>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9140" w:type="dxa"/>
            <w:vAlign w:val="bottom"/>
            <w:gridSpan w:val="3"/>
          </w:tcPr>
          <w:p>
            <w:pPr>
              <w:spacing w:after="0"/>
              <w:rPr>
                <w:sz w:val="20"/>
                <w:szCs w:val="20"/>
                <w:color w:val="auto"/>
              </w:rPr>
            </w:pPr>
            <w:r>
              <w:rPr>
                <w:rFonts w:ascii="Arial" w:cs="Arial" w:eastAsia="Arial" w:hAnsi="Arial"/>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Arial" w:cs="Arial" w:eastAsia="Arial" w:hAnsi="Arial"/>
                <w:sz w:val="15"/>
                <w:szCs w:val="15"/>
                <w:color w:val="0000FF"/>
                <w:w w:val="75"/>
              </w:rPr>
            </w:pPr>
            <w:hyperlink w:anchor="page5">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1</w:t>
              </w:r>
            </w:hyperlink>
          </w:p>
        </w:tc>
        <w:tc>
          <w:tcPr>
            <w:tcW w:w="2040" w:type="dxa"/>
            <w:vAlign w:val="bottom"/>
          </w:tcPr>
          <w:p>
            <w:pPr>
              <w:spacing w:after="0"/>
              <w:rPr>
                <w:sz w:val="13"/>
                <w:szCs w:val="13"/>
                <w:color w:val="auto"/>
              </w:rPr>
            </w:pPr>
          </w:p>
        </w:tc>
        <w:tc>
          <w:tcPr>
            <w:tcW w:w="9140" w:type="dxa"/>
            <w:vAlign w:val="bottom"/>
            <w:gridSpan w:val="3"/>
          </w:tcPr>
          <w:p>
            <w:pPr>
              <w:spacing w:after="0" w:line="158" w:lineRule="exact"/>
              <w:rPr>
                <w:rFonts w:ascii="Arial" w:cs="Arial" w:eastAsia="Arial" w:hAnsi="Arial"/>
                <w:sz w:val="15"/>
                <w:szCs w:val="15"/>
                <w:color w:val="0000FF"/>
              </w:rPr>
            </w:pPr>
            <w:hyperlink w:anchor="page5">
              <w:r>
                <w:rPr>
                  <w:rFonts w:ascii="Arial" w:cs="Arial" w:eastAsia="Arial" w:hAnsi="Arial"/>
                  <w:sz w:val="15"/>
                  <w:szCs w:val="15"/>
                  <w:color w:val="0000FF"/>
                </w:rPr>
                <w:t>Press Release dated October 19, 2018</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Arial" w:cs="Arial" w:eastAsia="Arial" w:hAnsi="Arial"/>
                <w:sz w:val="15"/>
                <w:szCs w:val="15"/>
                <w:color w:val="0000FF"/>
                <w:w w:val="75"/>
              </w:rPr>
            </w:pPr>
            <w:hyperlink w:anchor="page13">
              <w:r>
                <w:rPr>
                  <w:rFonts w:ascii="Arial" w:cs="Arial" w:eastAsia="Arial" w:hAnsi="Arial"/>
                  <w:sz w:val="15"/>
                  <w:szCs w:val="15"/>
                  <w:color w:val="0000FF"/>
                  <w:w w:val="75"/>
                </w:rPr>
                <w:t>99.</w:t>
              </w:r>
              <w:r>
                <w:rPr>
                  <w:rFonts w:ascii="Arial" w:cs="Arial" w:eastAsia="Arial" w:hAnsi="Arial"/>
                  <w:sz w:val="15"/>
                  <w:szCs w:val="15"/>
                  <w:u w:val="single" w:color="auto"/>
                  <w:color w:val="0000FF"/>
                  <w:w w:val="75"/>
                </w:rPr>
                <w:t>2</w:t>
              </w:r>
            </w:hyperlink>
          </w:p>
        </w:tc>
        <w:tc>
          <w:tcPr>
            <w:tcW w:w="2040" w:type="dxa"/>
            <w:vAlign w:val="bottom"/>
          </w:tcPr>
          <w:p>
            <w:pPr>
              <w:spacing w:after="0"/>
              <w:rPr>
                <w:sz w:val="17"/>
                <w:szCs w:val="17"/>
                <w:color w:val="auto"/>
              </w:rPr>
            </w:pPr>
          </w:p>
        </w:tc>
        <w:tc>
          <w:tcPr>
            <w:tcW w:w="9140" w:type="dxa"/>
            <w:vAlign w:val="bottom"/>
            <w:gridSpan w:val="3"/>
          </w:tcPr>
          <w:p>
            <w:pPr>
              <w:spacing w:after="0"/>
              <w:rPr>
                <w:rFonts w:ascii="Arial" w:cs="Arial" w:eastAsia="Arial" w:hAnsi="Arial"/>
                <w:sz w:val="15"/>
                <w:szCs w:val="15"/>
                <w:color w:val="0000FF"/>
              </w:rPr>
            </w:pPr>
            <w:hyperlink w:anchor="page13">
              <w:r>
                <w:rPr>
                  <w:rFonts w:ascii="Arial" w:cs="Arial" w:eastAsia="Arial" w:hAnsi="Arial"/>
                  <w:sz w:val="15"/>
                  <w:szCs w:val="15"/>
                  <w:color w:val="0000FF"/>
                </w:rPr>
                <w:t>Presentation materials for October 19, 2018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ectPr>
          <w:pgSz w:w="11900" w:h="16838" w:orient="portrait"/>
          <w:cols w:equalWidth="0" w:num="1">
            <w:col w:w="11460"/>
          </w:cols>
          <w:pgMar w:left="220" w:top="85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993140" cy="542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3140" cy="54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tabs>
          <w:tab w:leader="none" w:pos="30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Jack McGinnis</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+1.414.906.7977</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u w:val="single" w:color="auto"/>
          <w:color w:val="0000FF"/>
        </w:rPr>
        <w:t>jack.mcginnis@manpowergroup.com</w:t>
      </w:r>
    </w:p>
    <w:p>
      <w:pPr>
        <w:spacing w:after="0" w:line="200" w:lineRule="exact"/>
        <w:rPr>
          <w:sz w:val="20"/>
          <w:szCs w:val="20"/>
          <w:color w:val="auto"/>
        </w:rPr>
      </w:pP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ManpowerGroup Reports 3</w:t>
      </w:r>
      <w:r>
        <w:rPr>
          <w:rFonts w:ascii="Arial" w:cs="Arial" w:eastAsia="Arial" w:hAnsi="Arial"/>
          <w:sz w:val="11"/>
          <w:szCs w:val="11"/>
          <w:b w:val="1"/>
          <w:bCs w:val="1"/>
          <w:color w:val="auto"/>
        </w:rPr>
        <w:t>rd</w:t>
      </w:r>
      <w:r>
        <w:rPr>
          <w:rFonts w:ascii="Arial" w:cs="Arial" w:eastAsia="Arial" w:hAnsi="Arial"/>
          <w:sz w:val="18"/>
          <w:szCs w:val="18"/>
          <w:b w:val="1"/>
          <w:bCs w:val="1"/>
          <w:color w:val="auto"/>
        </w:rPr>
        <w:t xml:space="preserve"> Quarter 2018 Results</w:t>
      </w:r>
    </w:p>
    <w:p>
      <w:pPr>
        <w:spacing w:after="0" w:line="241" w:lineRule="exact"/>
        <w:rPr>
          <w:sz w:val="20"/>
          <w:szCs w:val="20"/>
          <w:color w:val="auto"/>
        </w:rPr>
      </w:pPr>
    </w:p>
    <w:p>
      <w:pPr>
        <w:ind w:left="80" w:right="120"/>
        <w:spacing w:after="0" w:line="382" w:lineRule="auto"/>
        <w:rPr>
          <w:sz w:val="20"/>
          <w:szCs w:val="20"/>
          <w:color w:val="auto"/>
        </w:rPr>
      </w:pPr>
      <w:r>
        <w:rPr>
          <w:rFonts w:ascii="Arial" w:cs="Arial" w:eastAsia="Arial" w:hAnsi="Arial"/>
          <w:sz w:val="16"/>
          <w:szCs w:val="16"/>
          <w:b w:val="1"/>
          <w:bCs w:val="1"/>
          <w:color w:val="auto"/>
        </w:rPr>
        <w:t xml:space="preserve">MILWAUKEE, October 19, 2018 -- </w:t>
      </w:r>
      <w:r>
        <w:rPr>
          <w:rFonts w:ascii="Arial" w:cs="Arial" w:eastAsia="Arial" w:hAnsi="Arial"/>
          <w:sz w:val="16"/>
          <w:szCs w:val="16"/>
          <w:color w:val="auto"/>
        </w:rPr>
        <w:t>ManpowerGroup (NYSE: MAN) today reported that net earnings per diluted share for the three months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2018 were $2.43 compared to $2.04 in the prior year period. Net earnings in the quarter were $158.0 million compared to $137.7 million a year earlier. Revenues for the third quarter were $5.4 billion, a decrease of 1% from the year earlier period.</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Financial results in the quarter were impacted by the stronger U.S. dollar relative to</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currencies compared to the prior year period. On a constant currency basis, revenues increased 1% and net earnings per diluted share increased 21%.</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in the quarter were negatively impacted 4 cents by changes in foreign currencies compared to the prior year.</w:t>
      </w:r>
    </w:p>
    <w:p>
      <w:pPr>
        <w:spacing w:after="0" w:line="371" w:lineRule="exact"/>
        <w:rPr>
          <w:sz w:val="20"/>
          <w:szCs w:val="20"/>
          <w:color w:val="auto"/>
        </w:rPr>
      </w:pPr>
    </w:p>
    <w:p>
      <w:pPr>
        <w:ind w:right="280" w:firstLine="533"/>
        <w:spacing w:after="0" w:line="371" w:lineRule="auto"/>
        <w:rPr>
          <w:sz w:val="20"/>
          <w:szCs w:val="20"/>
          <w:color w:val="auto"/>
        </w:rPr>
      </w:pPr>
      <w:r>
        <w:rPr>
          <w:rFonts w:ascii="Arial" w:cs="Arial" w:eastAsia="Arial" w:hAnsi="Arial"/>
          <w:sz w:val="16"/>
          <w:szCs w:val="16"/>
          <w:color w:val="auto"/>
        </w:rPr>
        <w:t xml:space="preserve">Jonas Prising, ManpowerGroup Chairman &amp; CEO, said, </w:t>
      </w:r>
      <w:r>
        <w:rPr>
          <w:rFonts w:ascii="Arial" w:cs="Arial" w:eastAsia="Arial" w:hAnsi="Arial"/>
          <w:sz w:val="16"/>
          <w:szCs w:val="16"/>
          <w:color w:val="0070C0"/>
        </w:rPr>
        <w:t>“</w:t>
      </w:r>
      <w:r>
        <w:rPr>
          <w:rFonts w:ascii="Arial" w:cs="Arial" w:eastAsia="Arial" w:hAnsi="Arial"/>
          <w:sz w:val="16"/>
          <w:szCs w:val="16"/>
          <w:color w:val="auto"/>
        </w:rPr>
        <w:t>Our third quarter results reflect a more challenging economic environment than we had anticipated, in particular for some countries in Europe. While we are cautious on our outlook, we are confident in our ability to manage in a more uncertain environment. We believe our market leading global footprint and diversified business mix, enabled by technology, will continue to serve us well as access to human capital and workforce agility remains a strategic priority for employers globally.</w:t>
      </w:r>
    </w:p>
    <w:p>
      <w:pPr>
        <w:spacing w:after="0" w:line="239" w:lineRule="exact"/>
        <w:rPr>
          <w:sz w:val="20"/>
          <w:szCs w:val="20"/>
          <w:color w:val="auto"/>
        </w:rPr>
      </w:pPr>
    </w:p>
    <w:p>
      <w:pPr>
        <w:ind w:left="80" w:right="300" w:firstLine="555"/>
        <w:spacing w:after="0" w:line="369" w:lineRule="auto"/>
        <w:rPr>
          <w:sz w:val="20"/>
          <w:szCs w:val="20"/>
          <w:color w:val="auto"/>
        </w:rPr>
      </w:pPr>
      <w:r>
        <w:rPr>
          <w:rFonts w:ascii="Arial" w:cs="Arial" w:eastAsia="Arial" w:hAnsi="Arial"/>
          <w:sz w:val="16"/>
          <w:szCs w:val="16"/>
          <w:color w:val="auto"/>
        </w:rPr>
        <w:t>“We are anticipating the fourth quarter of 2018 diluted net earnings per share to be in the range of $2.15 to $2.23, which includes an estimated unfavorable currency impact of 5 cents. This includes an estimated one-time negative impact of 27 cents related to reduced gross profit in France.” Prising stated.</w:t>
      </w:r>
    </w:p>
    <w:p>
      <w:pPr>
        <w:spacing w:after="0" w:line="149" w:lineRule="exact"/>
        <w:rPr>
          <w:sz w:val="20"/>
          <w:szCs w:val="20"/>
          <w:color w:val="auto"/>
        </w:rPr>
      </w:pPr>
    </w:p>
    <w:p>
      <w:pPr>
        <w:ind w:left="80" w:right="500" w:firstLine="510"/>
        <w:spacing w:after="0" w:line="391" w:lineRule="auto"/>
        <w:rPr>
          <w:sz w:val="20"/>
          <w:szCs w:val="20"/>
          <w:color w:val="auto"/>
        </w:rPr>
      </w:pPr>
      <w:r>
        <w:rPr>
          <w:rFonts w:ascii="Arial" w:cs="Arial" w:eastAsia="Arial" w:hAnsi="Arial"/>
          <w:sz w:val="16"/>
          <w:szCs w:val="16"/>
          <w:color w:val="auto"/>
        </w:rPr>
        <w:t>Net earnings for the nine months ended September 30, 2018 were $398.4 million, or $6.03 per diluted share compared to net earnings of $329.1 million, or $4.84 per diluted share in the prior</w:t>
      </w:r>
    </w:p>
    <w:p>
      <w:pPr>
        <w:sectPr>
          <w:pgSz w:w="11900" w:h="16838" w:orient="portrait"/>
          <w:cols w:equalWidth="0" w:num="1">
            <w:col w:w="11460"/>
          </w:cols>
          <w:pgMar w:left="220" w:top="502" w:right="219" w:bottom="1440" w:gutter="0" w:footer="0" w:header="0"/>
        </w:sectPr>
      </w:pPr>
    </w:p>
    <w:bookmarkStart w:id="5" w:name="page6"/>
    <w:bookmarkEnd w:id="5"/>
    <w:p>
      <w:pPr>
        <w:ind w:left="80" w:right="100"/>
        <w:spacing w:after="0" w:line="361" w:lineRule="auto"/>
        <w:rPr>
          <w:sz w:val="20"/>
          <w:szCs w:val="20"/>
          <w:color w:val="auto"/>
        </w:rPr>
      </w:pPr>
      <w:r>
        <w:rPr>
          <w:rFonts w:ascii="Arial" w:cs="Arial" w:eastAsia="Arial" w:hAnsi="Arial"/>
          <w:sz w:val="16"/>
          <w:szCs w:val="16"/>
          <w:color w:val="auto"/>
        </w:rPr>
        <w:t>year. The year to date period included restructuring costs which reduced earnings per share by 45 cents. The prior year to date period included restructuring costs which reduced earnings per</w:t>
      </w:r>
    </w:p>
    <w:p>
      <w:pPr>
        <w:spacing w:after="0" w:line="1" w:lineRule="exact"/>
        <w:rPr>
          <w:sz w:val="20"/>
          <w:szCs w:val="20"/>
          <w:color w:val="auto"/>
        </w:rPr>
      </w:pPr>
    </w:p>
    <w:p>
      <w:pPr>
        <w:ind w:left="80" w:right="140"/>
        <w:spacing w:after="0" w:line="376" w:lineRule="auto"/>
        <w:rPr>
          <w:sz w:val="20"/>
          <w:szCs w:val="20"/>
          <w:color w:val="auto"/>
        </w:rPr>
      </w:pPr>
      <w:r>
        <w:rPr>
          <w:rFonts w:ascii="Arial" w:cs="Arial" w:eastAsia="Arial" w:hAnsi="Arial"/>
          <w:sz w:val="16"/>
          <w:szCs w:val="16"/>
          <w:color w:val="auto"/>
        </w:rPr>
        <w:t>share by 41 cents and discrete income tax benefits which increased earnings per share by 19 cents. Revenues for the nine-month period were $16.6 billion, an increase of 8% from the prior year in reported U.S. dollars or 4% in constant currency. Earnings per share for the nine-month period were positively impacted 19 cents by changes in foreign currencies compared to the prior year, or 23 cents excluding the restructuring costs.</w:t>
      </w:r>
    </w:p>
    <w:p>
      <w:pPr>
        <w:spacing w:after="0" w:line="145" w:lineRule="exact"/>
        <w:rPr>
          <w:sz w:val="20"/>
          <w:szCs w:val="20"/>
          <w:color w:val="auto"/>
        </w:rPr>
      </w:pPr>
    </w:p>
    <w:p>
      <w:pPr>
        <w:ind w:left="80" w:right="200" w:firstLine="510"/>
        <w:spacing w:after="0" w:line="376" w:lineRule="auto"/>
        <w:rPr>
          <w:sz w:val="20"/>
          <w:szCs w:val="20"/>
          <w:color w:val="auto"/>
        </w:rPr>
      </w:pPr>
      <w:r>
        <w:rPr>
          <w:rFonts w:ascii="Arial" w:cs="Arial" w:eastAsia="Arial" w:hAnsi="Arial"/>
          <w:sz w:val="16"/>
          <w:szCs w:val="16"/>
          <w:color w:val="auto"/>
        </w:rPr>
        <w:t xml:space="preserve">In conjunction with its third quarter earnings release, ManpowerGroup will broadcast its conference call live over the Internet on October 19, 2018 at 7:30 a.m. CDT (8:30 a.m. EDT). Interested parties are invited to listen to the webcast and view the presentation by logging on to </w:t>
      </w:r>
      <w:r>
        <w:rPr>
          <w:rFonts w:ascii="Arial" w:cs="Arial" w:eastAsia="Arial" w:hAnsi="Arial"/>
          <w:sz w:val="16"/>
          <w:szCs w:val="16"/>
          <w:u w:val="single" w:color="auto"/>
          <w:color w:val="0000FF"/>
        </w:rPr>
        <w:t>http://investor.manpowergroup.com/</w:t>
      </w:r>
      <w:r>
        <w:rPr>
          <w:rFonts w:ascii="Arial" w:cs="Arial" w:eastAsia="Arial" w:hAnsi="Arial"/>
          <w:sz w:val="16"/>
          <w:szCs w:val="16"/>
          <w:color w:val="0000FF"/>
        </w:rPr>
        <w:t xml:space="preserve"> </w:t>
      </w:r>
      <w:r>
        <w:rPr>
          <w:rFonts w:ascii="Arial" w:cs="Arial" w:eastAsia="Arial" w:hAnsi="Arial"/>
          <w:sz w:val="16"/>
          <w:szCs w:val="16"/>
          <w:color w:val="000000"/>
        </w:rPr>
        <w:t>in the section titled “Investor Relations.”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Supplemental financial information referenced in the conference call can be found at</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0000FF"/>
        </w:rPr>
        <w:t>http://investor.manpowergroup.com/</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About ManpowerGroup</w:t>
      </w:r>
    </w:p>
    <w:p>
      <w:pPr>
        <w:spacing w:after="0" w:line="191"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t>
      </w:r>
      <w:r>
        <w:rPr>
          <w:rFonts w:ascii="Arial" w:cs="Arial" w:eastAsia="Arial" w:hAnsi="Arial"/>
          <w:sz w:val="15"/>
          <w:szCs w:val="15"/>
          <w:u w:val="single" w:color="auto"/>
          <w:color w:val="0000FF"/>
        </w:rPr>
        <w:t>www.manpowergroup.com</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302" w:lineRule="exact"/>
        <w:rPr>
          <w:sz w:val="20"/>
          <w:szCs w:val="20"/>
          <w:color w:val="auto"/>
        </w:rPr>
      </w:pPr>
    </w:p>
    <w:p>
      <w:pPr>
        <w:jc w:val="both"/>
        <w:ind w:right="60"/>
        <w:spacing w:after="0" w:line="252"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2017,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ManpowerGroup 100 Manpower Place, Milwaukee, WI 53212 USA Phone +1.414.961.1000 www.manpowergroup.com</w:t>
      </w:r>
    </w:p>
    <w:p>
      <w:pPr>
        <w:sectPr>
          <w:pgSz w:w="11900" w:h="16838" w:orient="portrait"/>
          <w:cols w:equalWidth="0" w:num="1">
            <w:col w:w="11400"/>
          </w:cols>
          <w:pgMar w:left="220" w:top="546"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Results of Operations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center"/>
              <w:ind w:right="526"/>
              <w:spacing w:after="0"/>
              <w:rPr>
                <w:sz w:val="20"/>
                <w:szCs w:val="20"/>
                <w:color w:val="auto"/>
              </w:rPr>
            </w:pPr>
            <w:r>
              <w:rPr>
                <w:rFonts w:ascii="Arial" w:cs="Arial" w:eastAsia="Arial" w:hAnsi="Arial"/>
                <w:sz w:val="15"/>
                <w:szCs w:val="15"/>
                <w:b w:val="1"/>
                <w:bCs w:val="1"/>
                <w:color w:val="auto"/>
                <w:w w:val="90"/>
              </w:rPr>
              <w:t>Three Months Ended September 30</w:t>
            </w:r>
          </w:p>
        </w:tc>
        <w:tc>
          <w:tcPr>
            <w:tcW w:w="1060" w:type="dxa"/>
            <w:vAlign w:val="bottom"/>
          </w:tcPr>
          <w:p>
            <w:pPr>
              <w:spacing w:after="0"/>
              <w:rPr>
                <w:sz w:val="16"/>
                <w:szCs w:val="16"/>
                <w:color w:val="auto"/>
              </w:rPr>
            </w:pPr>
          </w:p>
        </w:tc>
      </w:tr>
      <w:tr>
        <w:trPr>
          <w:trHeight w:val="25"/>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846"/>
              <w:spacing w:after="0"/>
              <w:rPr>
                <w:sz w:val="20"/>
                <w:szCs w:val="20"/>
                <w:color w:val="auto"/>
              </w:rPr>
            </w:pPr>
            <w:r>
              <w:rPr>
                <w:rFonts w:ascii="Arial" w:cs="Arial" w:eastAsia="Arial" w:hAnsi="Arial"/>
                <w:sz w:val="15"/>
                <w:szCs w:val="15"/>
                <w:b w:val="1"/>
                <w:bCs w:val="1"/>
                <w:color w:val="auto"/>
                <w:w w:val="95"/>
              </w:rPr>
              <w:t>Amount</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5"/>
              </w:rPr>
              <w:t>Constant</w:t>
            </w:r>
          </w:p>
        </w:tc>
      </w:tr>
      <w:tr>
        <w:trPr>
          <w:trHeight w:val="222"/>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806"/>
              <w:spacing w:after="0"/>
              <w:rPr>
                <w:sz w:val="20"/>
                <w:szCs w:val="20"/>
                <w:color w:val="auto"/>
              </w:rPr>
            </w:pPr>
            <w:r>
              <w:rPr>
                <w:rFonts w:ascii="Arial" w:cs="Arial" w:eastAsia="Arial" w:hAnsi="Arial"/>
                <w:sz w:val="15"/>
                <w:szCs w:val="15"/>
                <w:b w:val="1"/>
                <w:bCs w:val="1"/>
                <w:color w:val="auto"/>
                <w:w w:val="88"/>
              </w:rPr>
              <w:t>Reported</w:t>
            </w:r>
          </w:p>
        </w:tc>
        <w:tc>
          <w:tcPr>
            <w:tcW w:w="1060" w:type="dxa"/>
            <w:vAlign w:val="bottom"/>
          </w:tcPr>
          <w:p>
            <w:pPr>
              <w:jc w:val="right"/>
              <w:ind w:right="326"/>
              <w:spacing w:after="0"/>
              <w:rPr>
                <w:sz w:val="20"/>
                <w:szCs w:val="20"/>
                <w:color w:val="auto"/>
              </w:rPr>
            </w:pPr>
            <w:r>
              <w:rPr>
                <w:rFonts w:ascii="Arial" w:cs="Arial" w:eastAsia="Arial" w:hAnsi="Arial"/>
                <w:sz w:val="15"/>
                <w:szCs w:val="15"/>
                <w:b w:val="1"/>
                <w:bCs w:val="1"/>
                <w:color w:val="auto"/>
                <w:w w:val="97"/>
              </w:rPr>
              <w:t>Currency</w:t>
            </w:r>
          </w:p>
        </w:tc>
      </w:tr>
      <w:tr>
        <w:trPr>
          <w:trHeight w:val="25"/>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tcPr>
          <w:p>
            <w:pPr>
              <w:jc w:val="center"/>
              <w:ind w:left="806"/>
              <w:spacing w:after="0"/>
              <w:rPr>
                <w:sz w:val="20"/>
                <w:szCs w:val="20"/>
                <w:color w:val="auto"/>
              </w:rPr>
            </w:pPr>
            <w:r>
              <w:rPr>
                <w:rFonts w:ascii="Arial" w:cs="Arial" w:eastAsia="Arial" w:hAnsi="Arial"/>
                <w:sz w:val="15"/>
                <w:szCs w:val="15"/>
                <w:color w:val="auto"/>
                <w:w w:val="89"/>
              </w:rPr>
              <w:t>(Unaudited)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 (a)</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5,418.7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5,464.8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4,528.1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4,564.2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-0.8 %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1.3 %</w:t>
            </w: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890.6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900.6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-1.1 %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and administrative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0.3 %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2.5 %</w:t>
            </w: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Operating profit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228.7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0.4 %</w:t>
            </w:r>
          </w:p>
        </w:tc>
        <w:tc>
          <w:tcPr>
            <w:tcW w:w="1060" w:type="dxa"/>
            <w:vAlign w:val="bottom"/>
            <w:tcBorders>
              <w:bottom w:val="single" w:sz="8" w:color="CCEEFF"/>
            </w:tcBorders>
          </w:tcPr>
          <w:p>
            <w:pPr>
              <w:spacing w:after="0"/>
              <w:rPr>
                <w:sz w:val="19"/>
                <w:szCs w:val="19"/>
                <w:color w:val="auto"/>
              </w:rPr>
            </w:pP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Earnings before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217.0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-5.5 %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-40.7 %</w:t>
            </w:r>
          </w:p>
        </w:tc>
        <w:tc>
          <w:tcPr>
            <w:tcW w:w="1060" w:type="dxa"/>
            <w:vAlign w:val="bottom"/>
            <w:tcBorders>
              <w:bottom w:val="single" w:sz="8" w:color="CCEEFF"/>
            </w:tcBorders>
          </w:tcPr>
          <w:p>
            <w:pPr>
              <w:spacing w:after="0"/>
              <w:rPr>
                <w:sz w:val="19"/>
                <w:szCs w:val="19"/>
                <w:color w:val="auto"/>
              </w:rPr>
            </w:pPr>
          </w:p>
        </w:tc>
      </w:tr>
      <w:tr>
        <w:trPr>
          <w:trHeight w:val="216"/>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earnings</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158.0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137.7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14.7 %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earnings per share - basic</w:t>
            </w: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2.45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18.9 %</w:t>
            </w:r>
          </w:p>
        </w:tc>
        <w:tc>
          <w:tcPr>
            <w:tcW w:w="1060" w:type="dxa"/>
            <w:vAlign w:val="bottom"/>
            <w:tcBorders>
              <w:bottom w:val="single" w:sz="8" w:color="CCEEFF"/>
            </w:tcBorders>
          </w:tcPr>
          <w:p>
            <w:pPr>
              <w:spacing w:after="0"/>
              <w:rPr>
                <w:sz w:val="20"/>
                <w:szCs w:val="20"/>
                <w:color w:val="auto"/>
              </w:rPr>
            </w:pPr>
          </w:p>
        </w:tc>
      </w:tr>
      <w:tr>
        <w:trPr>
          <w:trHeight w:val="19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earnings per share - diluted</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19.1 %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Weighted average shares - basic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64.5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66.8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Arial" w:cs="Arial" w:eastAsia="Arial" w:hAnsi="Arial"/>
                <w:sz w:val="15"/>
                <w:szCs w:val="15"/>
                <w:color w:val="auto"/>
              </w:rPr>
              <w:t>-3.5 %</w:t>
            </w:r>
          </w:p>
        </w:tc>
        <w:tc>
          <w:tcPr>
            <w:tcW w:w="1060" w:type="dxa"/>
            <w:vAlign w:val="bottom"/>
            <w:tcBorders>
              <w:bottom w:val="single" w:sz="8" w:color="CCEEFF"/>
            </w:tcBorders>
          </w:tcPr>
          <w:p>
            <w:pPr>
              <w:spacing w:after="0"/>
              <w:rPr>
                <w:sz w:val="20"/>
                <w:szCs w:val="20"/>
                <w:color w:val="auto"/>
              </w:rPr>
            </w:pPr>
          </w:p>
        </w:tc>
      </w:tr>
      <w:tr>
        <w:trPr>
          <w:trHeight w:val="19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 diluted</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65.0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67.6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rPr>
              <w:t>-3.9 %</w:t>
            </w: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 w:right="200"/>
        <w:spacing w:after="0" w:line="257" w:lineRule="auto"/>
        <w:tabs>
          <w:tab w:leader="none" w:pos="221"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$6.2 million and $6.4 million for the three months ended September 30, 2018 and 2017, respectively. These fees are primarily based on revenues generated by the franchise offices, which were $278.7 million and $272.9 million for the three months ended September 30, 2018 and 2017, respectively.</w:t>
      </w:r>
    </w:p>
    <w:p>
      <w:pPr>
        <w:sectPr>
          <w:pgSz w:w="11900" w:h="16838" w:orient="portrait"/>
          <w:cols w:equalWidth="0" w:num="1">
            <w:col w:w="11260"/>
          </w:cols>
          <w:pgMar w:left="420" w:top="636"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Operating Unit Results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4"/>
          </w:tcPr>
          <w:p>
            <w:pPr>
              <w:jc w:val="center"/>
              <w:ind w:right="526"/>
              <w:spacing w:after="0"/>
              <w:rPr>
                <w:sz w:val="20"/>
                <w:szCs w:val="20"/>
                <w:color w:val="auto"/>
              </w:rPr>
            </w:pPr>
            <w:r>
              <w:rPr>
                <w:rFonts w:ascii="Arial" w:cs="Arial" w:eastAsia="Arial" w:hAnsi="Arial"/>
                <w:sz w:val="15"/>
                <w:szCs w:val="15"/>
                <w:b w:val="1"/>
                <w:bCs w:val="1"/>
                <w:color w:val="auto"/>
                <w:w w:val="89"/>
              </w:rPr>
              <w:t>Three Months Ended September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Arial" w:cs="Arial" w:eastAsia="Arial" w:hAnsi="Arial"/>
                <w:sz w:val="15"/>
                <w:szCs w:val="15"/>
                <w:b w:val="1"/>
                <w:bCs w:val="1"/>
                <w:color w:val="auto"/>
                <w:w w:val="95"/>
              </w:rPr>
              <w:t>Amount</w:t>
            </w:r>
          </w:p>
        </w:tc>
        <w:tc>
          <w:tcPr>
            <w:tcW w:w="1060" w:type="dxa"/>
            <w:vAlign w:val="bottom"/>
          </w:tcPr>
          <w:p>
            <w:pPr>
              <w:jc w:val="right"/>
              <w:ind w:right="366"/>
              <w:spacing w:after="0"/>
              <w:rPr>
                <w:sz w:val="20"/>
                <w:szCs w:val="20"/>
                <w:color w:val="auto"/>
              </w:rPr>
            </w:pPr>
            <w:r>
              <w:rPr>
                <w:rFonts w:ascii="Arial" w:cs="Arial" w:eastAsia="Arial" w:hAnsi="Arial"/>
                <w:sz w:val="15"/>
                <w:szCs w:val="15"/>
                <w:b w:val="1"/>
                <w:bCs w:val="1"/>
                <w:color w:val="auto"/>
                <w:w w:val="92"/>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Arial" w:cs="Arial" w:eastAsia="Arial" w:hAnsi="Arial"/>
                <w:sz w:val="15"/>
                <w:szCs w:val="15"/>
                <w:b w:val="1"/>
                <w:bCs w:val="1"/>
                <w:color w:val="auto"/>
                <w:w w:val="88"/>
              </w:rPr>
              <w:t>Reported</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center"/>
              <w:ind w:left="826"/>
              <w:spacing w:after="0"/>
              <w:rPr>
                <w:sz w:val="20"/>
                <w:szCs w:val="20"/>
                <w:color w:val="auto"/>
              </w:rPr>
            </w:pPr>
            <w:r>
              <w:rPr>
                <w:rFonts w:ascii="Arial" w:cs="Arial" w:eastAsia="Arial" w:hAnsi="Arial"/>
                <w:sz w:val="15"/>
                <w:szCs w:val="15"/>
                <w:color w:val="auto"/>
                <w:w w:val="91"/>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633.2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659.9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406.8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401.6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11.7 %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1,040.0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1,061.5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1,460.6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1,481.7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410.2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386.1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6.3 %</w:t>
            </w:r>
          </w:p>
        </w:tc>
        <w:tc>
          <w:tcPr>
            <w:tcW w:w="1060" w:type="dxa"/>
            <w:vAlign w:val="bottom"/>
          </w:tcPr>
          <w:p>
            <w:pPr>
              <w:jc w:val="right"/>
              <w:spacing w:after="0"/>
              <w:rPr>
                <w:sz w:val="20"/>
                <w:szCs w:val="20"/>
                <w:color w:val="auto"/>
              </w:rPr>
            </w:pPr>
            <w:r>
              <w:rPr>
                <w:rFonts w:ascii="Arial" w:cs="Arial" w:eastAsia="Arial" w:hAnsi="Arial"/>
                <w:sz w:val="15"/>
                <w:szCs w:val="15"/>
                <w:color w:val="auto"/>
              </w:rPr>
              <w:t>7.2 %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460.8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450.6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2,331.6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2,318.4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0.6 %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1.7 %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1,287.1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1,367.9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713.0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665.4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7.2 %</w:t>
            </w:r>
          </w:p>
        </w:tc>
        <w:tc>
          <w:tcPr>
            <w:tcW w:w="1060" w:type="dxa"/>
            <w:vAlign w:val="bottom"/>
          </w:tcPr>
          <w:p>
            <w:pPr>
              <w:jc w:val="right"/>
              <w:spacing w:after="0"/>
              <w:rPr>
                <w:sz w:val="20"/>
                <w:szCs w:val="20"/>
                <w:color w:val="auto"/>
              </w:rPr>
            </w:pPr>
            <w:r>
              <w:rPr>
                <w:rFonts w:ascii="Arial" w:cs="Arial" w:eastAsia="Arial" w:hAnsi="Arial"/>
                <w:sz w:val="15"/>
                <w:szCs w:val="15"/>
                <w:color w:val="auto"/>
              </w:rPr>
              <w:t>10.3 %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51.6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-8.9 %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5,418.7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5,464.8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-0.8 %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33.2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43.5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-23.7 %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-23.7 %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12.7 %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21.7 %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59.5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-13.8 %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-11.4 %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78.8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6.0 %</w:t>
            </w:r>
          </w:p>
        </w:tc>
        <w:tc>
          <w:tcPr>
            <w:tcW w:w="1060" w:type="dxa"/>
            <w:vAlign w:val="bottom"/>
          </w:tcPr>
          <w:p>
            <w:pPr>
              <w:jc w:val="right"/>
              <w:spacing w:after="0"/>
              <w:rPr>
                <w:sz w:val="20"/>
                <w:szCs w:val="20"/>
                <w:color w:val="auto"/>
              </w:rPr>
            </w:pPr>
            <w:r>
              <w:rPr>
                <w:rFonts w:ascii="Arial" w:cs="Arial" w:eastAsia="Arial" w:hAnsi="Arial"/>
                <w:sz w:val="15"/>
                <w:szCs w:val="15"/>
                <w:color w:val="auto"/>
              </w:rPr>
              <w:t>6.7 %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3.1 %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4.0 %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40.5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49.8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-18.6 %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32.4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18.1 %</w:t>
            </w:r>
          </w:p>
        </w:tc>
        <w:tc>
          <w:tcPr>
            <w:tcW w:w="1060" w:type="dxa"/>
            <w:vAlign w:val="bottom"/>
          </w:tcPr>
          <w:p>
            <w:pPr>
              <w:jc w:val="right"/>
              <w:spacing w:after="0"/>
              <w:rPr>
                <w:sz w:val="20"/>
                <w:szCs w:val="20"/>
                <w:color w:val="auto"/>
              </w:rPr>
            </w:pPr>
            <w:r>
              <w:rPr>
                <w:rFonts w:ascii="Arial" w:cs="Arial" w:eastAsia="Arial" w:hAnsi="Arial"/>
                <w:sz w:val="15"/>
                <w:szCs w:val="15"/>
                <w:color w:val="auto"/>
              </w:rPr>
              <w:t>20.9 %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-19.1 %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252.3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262.8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216.7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228.7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217.0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20" w:right="200" w:firstLine="5"/>
        <w:spacing w:after="0" w:line="257" w:lineRule="auto"/>
        <w:tabs>
          <w:tab w:leader="none" w:pos="221"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$3.7 million and $3.9 million for the three months ended September 30, 2018 and 2017, respectively. These fees are primarily based on revenues generated by the franchise offices, which were $169.9 million and $164.3 million for the three months ended September 30, 2018 and 2017, respectively.</w:t>
      </w:r>
    </w:p>
    <w:p>
      <w:pPr>
        <w:spacing w:after="0" w:line="133" w:lineRule="exact"/>
        <w:rPr>
          <w:rFonts w:ascii="Arial" w:cs="Arial" w:eastAsia="Arial" w:hAnsi="Arial"/>
          <w:sz w:val="15"/>
          <w:szCs w:val="15"/>
          <w:color w:val="auto"/>
        </w:rPr>
      </w:pPr>
    </w:p>
    <w:p>
      <w:pPr>
        <w:ind w:left="240" w:hanging="215"/>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308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12.6</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308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exchange loss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0.1</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Miscellaneous expenses,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0.2</w:t>
            </w:r>
          </w:p>
        </w:tc>
        <w:tc>
          <w:tcPr>
            <w:tcW w:w="308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11.7</w:t>
            </w:r>
          </w:p>
        </w:tc>
        <w:tc>
          <w:tcPr>
            <w:tcW w:w="308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Results of Operations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jc w:val="center"/>
              <w:ind w:right="566"/>
              <w:spacing w:after="0"/>
              <w:rPr>
                <w:sz w:val="20"/>
                <w:szCs w:val="20"/>
                <w:color w:val="auto"/>
              </w:rPr>
            </w:pPr>
            <w:r>
              <w:rPr>
                <w:rFonts w:ascii="Arial" w:cs="Arial" w:eastAsia="Arial" w:hAnsi="Arial"/>
                <w:sz w:val="15"/>
                <w:szCs w:val="15"/>
                <w:b w:val="1"/>
                <w:bCs w:val="1"/>
                <w:color w:val="auto"/>
                <w:w w:val="89"/>
              </w:rPr>
              <w:t>Nine Months Ended September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jc w:val="right"/>
              <w:ind w:right="826"/>
              <w:spacing w:after="0"/>
              <w:rPr>
                <w:sz w:val="20"/>
                <w:szCs w:val="20"/>
                <w:color w:val="auto"/>
              </w:rPr>
            </w:pPr>
            <w:r>
              <w:rPr>
                <w:rFonts w:ascii="Arial" w:cs="Arial" w:eastAsia="Arial" w:hAnsi="Arial"/>
                <w:sz w:val="15"/>
                <w:szCs w:val="15"/>
                <w:b w:val="1"/>
                <w:bCs w:val="1"/>
                <w:color w:val="auto"/>
                <w:w w:val="98"/>
              </w:rPr>
              <w:t>Amount</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5"/>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786"/>
              <w:spacing w:after="0"/>
              <w:rPr>
                <w:sz w:val="20"/>
                <w:szCs w:val="20"/>
                <w:color w:val="auto"/>
              </w:rPr>
            </w:pPr>
            <w:r>
              <w:rPr>
                <w:rFonts w:ascii="Arial" w:cs="Arial" w:eastAsia="Arial" w:hAnsi="Arial"/>
                <w:sz w:val="15"/>
                <w:szCs w:val="15"/>
                <w:b w:val="1"/>
                <w:bCs w:val="1"/>
                <w:color w:val="auto"/>
                <w:w w:val="91"/>
              </w:rPr>
              <w:t>Reported</w:t>
            </w:r>
          </w:p>
        </w:tc>
        <w:tc>
          <w:tcPr>
            <w:tcW w:w="1060" w:type="dxa"/>
            <w:vAlign w:val="bottom"/>
          </w:tcPr>
          <w:p>
            <w:pPr>
              <w:jc w:val="right"/>
              <w:ind w:right="326"/>
              <w:spacing w:after="0"/>
              <w:rPr>
                <w:sz w:val="20"/>
                <w:szCs w:val="20"/>
                <w:color w:val="auto"/>
              </w:rPr>
            </w:pPr>
            <w:r>
              <w:rPr>
                <w:rFonts w:ascii="Arial" w:cs="Arial" w:eastAsia="Arial" w:hAnsi="Arial"/>
                <w:sz w:val="15"/>
                <w:szCs w:val="15"/>
                <w:b w:val="1"/>
                <w:bCs w:val="1"/>
                <w:color w:val="auto"/>
                <w:w w:val="97"/>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center"/>
              <w:ind w:left="766"/>
              <w:spacing w:after="0"/>
              <w:rPr>
                <w:sz w:val="20"/>
                <w:szCs w:val="20"/>
                <w:color w:val="auto"/>
              </w:rPr>
            </w:pPr>
            <w:r>
              <w:rPr>
                <w:rFonts w:ascii="Arial" w:cs="Arial" w:eastAsia="Arial" w:hAnsi="Arial"/>
                <w:sz w:val="15"/>
                <w:szCs w:val="15"/>
                <w:color w:val="auto"/>
                <w:w w:val="91"/>
              </w:rPr>
              <w:t>(Unaudited)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 (a)</w:t>
            </w:r>
          </w:p>
        </w:tc>
        <w:tc>
          <w:tcPr>
            <w:tcW w:w="30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16,598.0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15,396.8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13,899.3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12,846.7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8.2 %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2,698.7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2,550.1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5.8 %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and administrative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1,998.3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6.1 %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2.4%</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578.8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551.8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-0.5 %</w:t>
            </w: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540.4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513.3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5.3 %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-22.9 %</w:t>
            </w: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 earnings</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398.4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329.1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earnings per share - basic</w:t>
            </w: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6.08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4.89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24.3 %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earnings per share - diluted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6.03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4.84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24.6 %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Weighted average shares - basic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65.6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67.3</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06"/>
              <w:spacing w:after="0"/>
              <w:rPr>
                <w:sz w:val="20"/>
                <w:szCs w:val="20"/>
                <w:color w:val="auto"/>
              </w:rPr>
            </w:pPr>
            <w:r>
              <w:rPr>
                <w:rFonts w:ascii="Arial" w:cs="Arial" w:eastAsia="Arial" w:hAnsi="Arial"/>
                <w:sz w:val="15"/>
                <w:szCs w:val="15"/>
                <w:color w:val="auto"/>
              </w:rPr>
              <w:t>-2.6 %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 diluted</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66.1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68.1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rPr>
              <w:t>-2.8 %</w:t>
            </w: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 w:right="100" w:firstLine="5"/>
        <w:spacing w:after="0" w:line="257" w:lineRule="auto"/>
        <w:tabs>
          <w:tab w:leader="none" w:pos="221"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$17.6 million and $17.5 million for the nine months ended September 30, 2018 and 2017, respectively. These fees are primarily based on revenues generated by the franchise offices, which were $789.4 million and $759.3 million for the nine months ended September 30, 2018 and 2017, respectively.</w:t>
      </w:r>
    </w:p>
    <w:p>
      <w:pPr>
        <w:sectPr>
          <w:pgSz w:w="11900" w:h="16838" w:orient="portrait"/>
          <w:cols w:equalWidth="0" w:num="1">
            <w:col w:w="11280"/>
          </w:cols>
          <w:pgMar w:left="320" w:top="814"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Operating Unit Results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center"/>
              <w:ind w:right="546"/>
              <w:spacing w:after="0"/>
              <w:rPr>
                <w:sz w:val="20"/>
                <w:szCs w:val="20"/>
                <w:color w:val="auto"/>
              </w:rPr>
            </w:pPr>
            <w:r>
              <w:rPr>
                <w:rFonts w:ascii="Arial" w:cs="Arial" w:eastAsia="Arial" w:hAnsi="Arial"/>
                <w:sz w:val="15"/>
                <w:szCs w:val="15"/>
                <w:b w:val="1"/>
                <w:bCs w:val="1"/>
                <w:color w:val="auto"/>
                <w:w w:val="89"/>
              </w:rPr>
              <w:t>Nine Months Ended September 30</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Arial" w:cs="Arial" w:eastAsia="Arial" w:hAnsi="Arial"/>
                <w:sz w:val="15"/>
                <w:szCs w:val="15"/>
                <w:b w:val="1"/>
                <w:bCs w:val="1"/>
                <w:color w:val="auto"/>
                <w:w w:val="95"/>
              </w:rPr>
              <w:t>Amount</w:t>
            </w:r>
          </w:p>
        </w:tc>
        <w:tc>
          <w:tcPr>
            <w:tcW w:w="1060" w:type="dxa"/>
            <w:vAlign w:val="bottom"/>
          </w:tcPr>
          <w:p>
            <w:pPr>
              <w:jc w:val="right"/>
              <w:ind w:right="366"/>
              <w:spacing w:after="0"/>
              <w:rPr>
                <w:sz w:val="20"/>
                <w:szCs w:val="20"/>
                <w:color w:val="auto"/>
              </w:rPr>
            </w:pPr>
            <w:r>
              <w:rPr>
                <w:rFonts w:ascii="Arial" w:cs="Arial" w:eastAsia="Arial" w:hAnsi="Arial"/>
                <w:sz w:val="15"/>
                <w:szCs w:val="15"/>
                <w:b w:val="1"/>
                <w:bCs w:val="1"/>
                <w:color w:val="auto"/>
                <w:w w:val="92"/>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Arial" w:cs="Arial" w:eastAsia="Arial" w:hAnsi="Arial"/>
                <w:sz w:val="15"/>
                <w:szCs w:val="15"/>
                <w:b w:val="1"/>
                <w:bCs w:val="1"/>
                <w:color w:val="auto"/>
                <w:w w:val="88"/>
              </w:rPr>
              <w:t>Reported</w:t>
            </w:r>
          </w:p>
        </w:tc>
        <w:tc>
          <w:tcPr>
            <w:tcW w:w="106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center"/>
              <w:ind w:left="806"/>
              <w:spacing w:after="0"/>
              <w:rPr>
                <w:sz w:val="20"/>
                <w:szCs w:val="20"/>
                <w:color w:val="auto"/>
              </w:rPr>
            </w:pPr>
            <w:r>
              <w:rPr>
                <w:rFonts w:ascii="Arial" w:cs="Arial" w:eastAsia="Arial" w:hAnsi="Arial"/>
                <w:sz w:val="15"/>
                <w:szCs w:val="15"/>
                <w:color w:val="auto"/>
                <w:w w:val="91"/>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1,890.0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1,992.7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1,225.1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1,151.9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6.4 %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11.8 %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3,115.1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3,144.6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4,397.1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3,975.5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1,266.8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1,047.0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21.0 %</w:t>
            </w:r>
          </w:p>
        </w:tc>
        <w:tc>
          <w:tcPr>
            <w:tcW w:w="1060" w:type="dxa"/>
            <w:vAlign w:val="bottom"/>
          </w:tcPr>
          <w:p>
            <w:pPr>
              <w:jc w:val="right"/>
              <w:spacing w:after="0"/>
              <w:rPr>
                <w:sz w:val="20"/>
                <w:szCs w:val="20"/>
                <w:color w:val="auto"/>
              </w:rPr>
            </w:pPr>
            <w:r>
              <w:rPr>
                <w:rFonts w:ascii="Arial" w:cs="Arial" w:eastAsia="Arial" w:hAnsi="Arial"/>
                <w:sz w:val="15"/>
                <w:szCs w:val="15"/>
                <w:color w:val="auto"/>
              </w:rPr>
              <w:t>12.9 %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1,413.7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1,235.5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7,077.6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6,258.0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13.1 %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4,097.9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3,888.3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2,158.0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1,941.2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11.2 %</w:t>
            </w:r>
          </w:p>
        </w:tc>
        <w:tc>
          <w:tcPr>
            <w:tcW w:w="1060" w:type="dxa"/>
            <w:vAlign w:val="bottom"/>
          </w:tcPr>
          <w:p>
            <w:pPr>
              <w:jc w:val="right"/>
              <w:spacing w:after="0"/>
              <w:rPr>
                <w:sz w:val="20"/>
                <w:szCs w:val="20"/>
                <w:color w:val="auto"/>
              </w:rPr>
            </w:pPr>
            <w:r>
              <w:rPr>
                <w:rFonts w:ascii="Arial" w:cs="Arial" w:eastAsia="Arial" w:hAnsi="Arial"/>
                <w:sz w:val="15"/>
                <w:szCs w:val="15"/>
                <w:color w:val="auto"/>
              </w:rPr>
              <w:t>9.7 %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149.4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164.7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-9.3 %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16,598.0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15,396.8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7.8 %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3.6 %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98.1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114.3</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27.6 %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33.6 %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150.9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155.7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-3.1 %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187"/>
        </w:trPr>
        <w:tc>
          <w:tcPr>
            <w:tcW w:w="5440" w:type="dxa"/>
            <w:vAlign w:val="bottom"/>
          </w:tcPr>
          <w:p>
            <w:pPr>
              <w:ind w:left="100"/>
              <w:spacing w:after="0"/>
              <w:rPr>
                <w:sz w:val="20"/>
                <w:szCs w:val="20"/>
                <w:color w:val="auto"/>
              </w:rPr>
            </w:pPr>
            <w:r>
              <w:rPr>
                <w:rFonts w:ascii="Arial" w:cs="Arial" w:eastAsia="Arial" w:hAnsi="Arial"/>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198.9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-0.9 %</w:t>
            </w:r>
          </w:p>
        </w:tc>
      </w:tr>
      <w:tr>
        <w:trPr>
          <w:trHeight w:val="199"/>
        </w:trPr>
        <w:tc>
          <w:tcPr>
            <w:tcW w:w="5440" w:type="dxa"/>
            <w:vAlign w:val="bottom"/>
          </w:tcPr>
          <w:p>
            <w:pPr>
              <w:ind w:left="240"/>
              <w:spacing w:after="0"/>
              <w:rPr>
                <w:sz w:val="20"/>
                <w:szCs w:val="20"/>
                <w:color w:val="auto"/>
              </w:rPr>
            </w:pPr>
            <w:r>
              <w:rPr>
                <w:rFonts w:ascii="Arial" w:cs="Arial" w:eastAsia="Arial" w:hAnsi="Arial"/>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82.8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70.0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18.2 %</w:t>
            </w:r>
          </w:p>
        </w:tc>
        <w:tc>
          <w:tcPr>
            <w:tcW w:w="1060" w:type="dxa"/>
            <w:vAlign w:val="bottom"/>
          </w:tcPr>
          <w:p>
            <w:pPr>
              <w:jc w:val="right"/>
              <w:spacing w:after="0"/>
              <w:rPr>
                <w:sz w:val="20"/>
                <w:szCs w:val="20"/>
                <w:color w:val="auto"/>
              </w:rPr>
            </w:pPr>
            <w:r>
              <w:rPr>
                <w:rFonts w:ascii="Arial" w:cs="Arial" w:eastAsia="Arial" w:hAnsi="Arial"/>
                <w:sz w:val="15"/>
                <w:szCs w:val="15"/>
                <w:color w:val="auto"/>
              </w:rPr>
              <w:t>10.3 %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48.7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17.7 %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341.0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310.3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Arial" w:cs="Arial" w:eastAsia="Arial" w:hAnsi="Arial"/>
                <w:sz w:val="15"/>
                <w:szCs w:val="15"/>
                <w:color w:val="auto"/>
              </w:rPr>
              <w:t>9.9 %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3.6 %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81.8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94.7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-13.7 %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-16.0 %</w:t>
            </w:r>
          </w:p>
        </w:tc>
      </w:tr>
      <w:tr>
        <w:trPr>
          <w:trHeight w:val="199"/>
        </w:trPr>
        <w:tc>
          <w:tcPr>
            <w:tcW w:w="5440" w:type="dxa"/>
            <w:vAlign w:val="bottom"/>
          </w:tcPr>
          <w:p>
            <w:pPr>
              <w:ind w:left="100"/>
              <w:spacing w:after="0"/>
              <w:rPr>
                <w:sz w:val="20"/>
                <w:szCs w:val="20"/>
                <w:color w:val="auto"/>
              </w:rPr>
            </w:pPr>
            <w:r>
              <w:rPr>
                <w:rFonts w:ascii="Arial" w:cs="Arial" w:eastAsia="Arial" w:hAnsi="Arial"/>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87.5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70.8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Arial" w:cs="Arial" w:eastAsia="Arial" w:hAnsi="Arial"/>
                <w:sz w:val="15"/>
                <w:szCs w:val="15"/>
                <w:color w:val="auto"/>
              </w:rPr>
              <w:t>23.4 %</w:t>
            </w:r>
          </w:p>
        </w:tc>
        <w:tc>
          <w:tcPr>
            <w:tcW w:w="1060" w:type="dxa"/>
            <w:vAlign w:val="bottom"/>
          </w:tcPr>
          <w:p>
            <w:pPr>
              <w:jc w:val="right"/>
              <w:spacing w:after="0"/>
              <w:rPr>
                <w:sz w:val="20"/>
                <w:szCs w:val="20"/>
                <w:color w:val="auto"/>
              </w:rPr>
            </w:pPr>
            <w:r>
              <w:rPr>
                <w:rFonts w:ascii="Arial" w:cs="Arial" w:eastAsia="Arial" w:hAnsi="Arial"/>
                <w:sz w:val="15"/>
                <w:szCs w:val="15"/>
                <w:color w:val="auto"/>
              </w:rPr>
              <w:t>22.0 %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Arial" w:cs="Arial" w:eastAsia="Arial" w:hAnsi="Arial"/>
                <w:sz w:val="15"/>
                <w:szCs w:val="15"/>
                <w:color w:val="auto"/>
              </w:rPr>
              <w:t>684.6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656.9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578.8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551.8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5"/>
                <w:szCs w:val="15"/>
                <w:color w:val="auto"/>
              </w:rPr>
              <w:t>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540.4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513.3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9" w:lineRule="exact"/>
        <w:rPr>
          <w:sz w:val="20"/>
          <w:szCs w:val="20"/>
          <w:color w:val="auto"/>
        </w:rPr>
      </w:pPr>
    </w:p>
    <w:p>
      <w:pPr>
        <w:ind w:left="20" w:right="80" w:firstLine="5"/>
        <w:spacing w:after="0" w:line="257" w:lineRule="auto"/>
        <w:tabs>
          <w:tab w:leader="none" w:pos="22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$10.8 million and $11.0 million for the nine months ended September 30, 2018 and 2017, respectively. These fees are primarily based on revenues generated by the franchise offices, which were $485.6 million and $487.6 million for the nine months ended September 30, 2018 and 2017, respectively.</w:t>
      </w:r>
    </w:p>
    <w:p>
      <w:pPr>
        <w:spacing w:after="0" w:line="133" w:lineRule="exact"/>
        <w:rPr>
          <w:rFonts w:ascii="Arial" w:cs="Arial" w:eastAsia="Arial" w:hAnsi="Arial"/>
          <w:sz w:val="15"/>
          <w:szCs w:val="15"/>
          <w:color w:val="auto"/>
        </w:rPr>
      </w:pPr>
    </w:p>
    <w:p>
      <w:pPr>
        <w:ind w:left="240" w:hanging="215"/>
        <w:spacing w:after="0"/>
        <w:tabs>
          <w:tab w:leader="none" w:pos="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2017</w:t>
            </w:r>
          </w:p>
        </w:tc>
        <w:tc>
          <w:tcPr>
            <w:tcW w:w="306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37.1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36.4</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Arial" w:cs="Arial" w:eastAsia="Arial" w:hAnsi="Arial"/>
                <w:sz w:val="15"/>
                <w:szCs w:val="15"/>
                <w:color w:val="auto"/>
              </w:rPr>
              <w:t>Interest income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w:t>
            </w:r>
          </w:p>
        </w:tc>
        <w:tc>
          <w:tcPr>
            <w:tcW w:w="3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Foreign exchange loss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0.4</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Miscellaneous expenses,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5.1</w:t>
            </w:r>
          </w:p>
        </w:tc>
        <w:tc>
          <w:tcPr>
            <w:tcW w:w="306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38.5</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5"/>
                <w:szCs w:val="15"/>
                <w:b w:val="1"/>
                <w:bCs w:val="1"/>
                <w:color w:val="auto"/>
              </w:rPr>
              <w:t>Sep. 30</w:t>
            </w:r>
          </w:p>
        </w:tc>
        <w:tc>
          <w:tcPr>
            <w:tcW w:w="340" w:type="dxa"/>
            <w:vAlign w:val="bottom"/>
          </w:tcPr>
          <w:p>
            <w:pPr>
              <w:spacing w:after="0"/>
              <w:rPr>
                <w:sz w:val="16"/>
                <w:szCs w:val="16"/>
                <w:color w:val="auto"/>
              </w:rPr>
            </w:pPr>
          </w:p>
        </w:tc>
        <w:tc>
          <w:tcPr>
            <w:tcW w:w="900" w:type="dxa"/>
            <w:vAlign w:val="bottom"/>
          </w:tcPr>
          <w:p>
            <w:pPr>
              <w:jc w:val="right"/>
              <w:ind w:right="326"/>
              <w:spacing w:after="0"/>
              <w:rPr>
                <w:sz w:val="20"/>
                <w:szCs w:val="20"/>
                <w:color w:val="auto"/>
              </w:rPr>
            </w:pPr>
            <w:r>
              <w:rPr>
                <w:rFonts w:ascii="Arial" w:cs="Arial" w:eastAsia="Arial" w:hAnsi="Arial"/>
                <w:sz w:val="15"/>
                <w:szCs w:val="15"/>
                <w:b w:val="1"/>
                <w:bCs w:val="1"/>
                <w:color w:val="auto"/>
                <w:w w:val="91"/>
              </w:rPr>
              <w:t>Dec. 31</w:t>
            </w:r>
          </w:p>
        </w:tc>
      </w:tr>
      <w:tr>
        <w:trPr>
          <w:trHeight w:val="222"/>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0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406"/>
              <w:spacing w:after="0"/>
              <w:rPr>
                <w:sz w:val="20"/>
                <w:szCs w:val="20"/>
                <w:color w:val="auto"/>
              </w:rPr>
            </w:pPr>
            <w:r>
              <w:rPr>
                <w:rFonts w:ascii="Arial" w:cs="Arial" w:eastAsia="Arial" w:hAnsi="Arial"/>
                <w:sz w:val="15"/>
                <w:szCs w:val="15"/>
                <w:b w:val="1"/>
                <w:bCs w:val="1"/>
                <w:color w:val="auto"/>
              </w:rPr>
              <w:t>2017</w:t>
            </w:r>
          </w:p>
        </w:tc>
      </w:tr>
      <w:tr>
        <w:trPr>
          <w:trHeight w:val="25"/>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(Unaudited)</w:t>
            </w: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Cash and cash equivalents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682.6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689.0</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5,331.3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5,370.5</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150.4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111.7</w:t>
            </w:r>
          </w:p>
        </w:tc>
      </w:tr>
      <w:tr>
        <w:trPr>
          <w:trHeight w:val="199"/>
        </w:trPr>
        <w:tc>
          <w:tcPr>
            <w:tcW w:w="8680" w:type="dxa"/>
            <w:vAlign w:val="bottom"/>
          </w:tcPr>
          <w:p>
            <w:pPr>
              <w:ind w:left="24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6,164.3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6,171.2</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1,315.6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1,343.0</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256.0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284.0</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839.4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927.7</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2,411.0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2,554.7</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Property and equipment: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1370" cy="140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140970"/>
                    </a:xfrm>
                    <a:prstGeom prst="rect">
                      <a:avLst/>
                    </a:prstGeom>
                    <a:noFill/>
                  </pic:spPr>
                </pic:pic>
              </a:graphicData>
            </a:graphic>
          </wp:anchor>
        </w:drawing>
      </w:r>
    </w:p>
    <w:p>
      <w:pPr>
        <w:sectPr>
          <w:pgSz w:w="11900" w:h="16838" w:orient="portrait"/>
          <w:cols w:equalWidth="0" w:num="1">
            <w:col w:w="11280"/>
          </w:cols>
          <w:pgMar w:left="320" w:top="636" w:right="299" w:bottom="1440" w:gutter="0" w:footer="0" w:header="0"/>
        </w:sectPr>
      </w:pPr>
    </w:p>
    <w:p>
      <w:pPr>
        <w:spacing w:after="0" w:line="3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Land, buildings, leasehold improvements and equipment</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51370" cy="154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property and equipment</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7151370" cy="154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627.5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633.4</w:t>
            </w:r>
          </w:p>
        </w:tc>
      </w:tr>
      <w:tr>
        <w:trPr>
          <w:trHeight w:val="222"/>
        </w:trPr>
        <w:tc>
          <w:tcPr>
            <w:tcW w:w="400" w:type="dxa"/>
            <w:vAlign w:val="bottom"/>
          </w:tcPr>
          <w:p>
            <w:pPr>
              <w:spacing w:after="0"/>
              <w:rPr>
                <w:sz w:val="19"/>
                <w:szCs w:val="19"/>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477.5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475.7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157.7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8,725.3</w:t>
            </w:r>
          </w:p>
        </w:tc>
        <w:tc>
          <w:tcPr>
            <w:tcW w:w="1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6"/>
              <w:spacing w:after="0"/>
              <w:rPr>
                <w:sz w:val="20"/>
                <w:szCs w:val="20"/>
                <w:color w:val="auto"/>
              </w:rPr>
            </w:pPr>
            <w:r>
              <w:rPr>
                <w:rFonts w:ascii="Arial" w:cs="Arial" w:eastAsia="Arial" w:hAnsi="Arial"/>
                <w:sz w:val="15"/>
                <w:szCs w:val="15"/>
                <w:color w:val="auto"/>
              </w:rPr>
              <w:t>8,883.6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6414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1475"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960" w:space="720"/>
            <w:col w:w="2600"/>
          </w:cols>
          <w:pgMar w:left="320" w:top="636" w:right="29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LIABILITIES AND SHAREHOLDERS' EQUITY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liabilities: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2,248.7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2,279.4</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Employee compensation payable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212.6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230.6</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Accrued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447.7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490.9</w:t>
            </w:r>
          </w:p>
        </w:tc>
      </w:tr>
      <w:tr>
        <w:trPr>
          <w:trHeight w:val="199"/>
        </w:trPr>
        <w:tc>
          <w:tcPr>
            <w:tcW w:w="8680" w:type="dxa"/>
            <w:vAlign w:val="bottom"/>
          </w:tcPr>
          <w:p>
            <w:pPr>
              <w:ind w:left="100"/>
              <w:spacing w:after="0"/>
              <w:rPr>
                <w:sz w:val="20"/>
                <w:szCs w:val="20"/>
                <w:color w:val="auto"/>
              </w:rPr>
            </w:pPr>
            <w:r>
              <w:rPr>
                <w:rFonts w:ascii="Arial" w:cs="Arial" w:eastAsia="Arial" w:hAnsi="Arial"/>
                <w:sz w:val="15"/>
                <w:szCs w:val="15"/>
                <w:color w:val="auto"/>
              </w:rPr>
              <w:t>Accrued payroll taxes and insurance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717.0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794.7</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Value added taxes payable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525.4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545.4</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Short-term borrowings and current maturities of long-term debt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469.4</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4,192.6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4,810.4</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Other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Long-term debt</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1,037.5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478.1</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long-term liabilities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685.0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737.5</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other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1,722.5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1,215.6</w:t>
            </w:r>
          </w:p>
        </w:tc>
      </w:tr>
      <w:tr>
        <w:trPr>
          <w:trHeight w:val="199"/>
        </w:trPr>
        <w:tc>
          <w:tcPr>
            <w:tcW w:w="8680" w:type="dxa"/>
            <w:vAlign w:val="bottom"/>
          </w:tcPr>
          <w:p>
            <w:pPr>
              <w:ind w:left="20"/>
              <w:spacing w:after="0"/>
              <w:rPr>
                <w:sz w:val="20"/>
                <w:szCs w:val="20"/>
                <w:color w:val="auto"/>
              </w:rPr>
            </w:pPr>
            <w:r>
              <w:rPr>
                <w:rFonts w:ascii="Arial" w:cs="Arial" w:eastAsia="Arial" w:hAnsi="Arial"/>
                <w:sz w:val="15"/>
                <w:szCs w:val="15"/>
                <w:b w:val="1"/>
                <w:bCs w:val="1"/>
                <w:color w:val="auto"/>
              </w:rPr>
              <w:t>Shareholders' equity:</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ManpowerGroup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20"/>
              <w:spacing w:after="0"/>
              <w:rPr>
                <w:sz w:val="20"/>
                <w:szCs w:val="20"/>
                <w:color w:val="auto"/>
              </w:rPr>
            </w:pPr>
            <w:r>
              <w:rPr>
                <w:rFonts w:ascii="Arial" w:cs="Arial" w:eastAsia="Arial" w:hAnsi="Arial"/>
                <w:sz w:val="15"/>
                <w:szCs w:val="15"/>
                <w:color w:val="auto"/>
              </w:rPr>
              <w:t>Common stock</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1.2</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Capital in excess of par value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3,326.9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3,302.6</w:t>
            </w:r>
          </w:p>
        </w:tc>
      </w:tr>
      <w:tr>
        <w:trPr>
          <w:trHeight w:val="199"/>
        </w:trPr>
        <w:tc>
          <w:tcPr>
            <w:tcW w:w="868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3,060.7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2,713.0</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(393.2)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(288.2)</w:t>
            </w:r>
          </w:p>
        </w:tc>
      </w:tr>
      <w:tr>
        <w:trPr>
          <w:trHeight w:val="224"/>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Treasury stock, at cost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(2,953.7)</w:t>
            </w:r>
          </w:p>
        </w:tc>
      </w:tr>
      <w:tr>
        <w:trPr>
          <w:trHeight w:val="224"/>
        </w:trPr>
        <w:tc>
          <w:tcPr>
            <w:tcW w:w="8680" w:type="dxa"/>
            <w:vAlign w:val="bottom"/>
            <w:tcBorders>
              <w:bottom w:val="single" w:sz="8" w:color="CCEEFF"/>
            </w:tcBorders>
            <w:shd w:val="clear" w:color="auto" w:fill="CCEEFF"/>
          </w:tcPr>
          <w:p>
            <w:pPr>
              <w:jc w:val="right"/>
              <w:ind w:right="5706"/>
              <w:spacing w:after="0"/>
              <w:rPr>
                <w:sz w:val="20"/>
                <w:szCs w:val="20"/>
                <w:color w:val="auto"/>
              </w:rPr>
            </w:pPr>
            <w:r>
              <w:rPr>
                <w:rFonts w:ascii="Arial" w:cs="Arial" w:eastAsia="Arial" w:hAnsi="Arial"/>
                <w:sz w:val="15"/>
                <w:szCs w:val="15"/>
                <w:color w:val="auto"/>
              </w:rPr>
              <w:t>Total ManpowerGroup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2,725.5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2,774.9</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Noncontrolling interests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82.7</w:t>
            </w:r>
          </w:p>
        </w:tc>
      </w:tr>
      <w:tr>
        <w:trPr>
          <w:trHeight w:val="224"/>
        </w:trPr>
        <w:tc>
          <w:tcPr>
            <w:tcW w:w="8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2,810.2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2,857.6</w:t>
            </w:r>
          </w:p>
        </w:tc>
      </w:tr>
      <w:tr>
        <w:trPr>
          <w:trHeight w:val="216"/>
        </w:trPr>
        <w:tc>
          <w:tcPr>
            <w:tcW w:w="8680" w:type="dxa"/>
            <w:vAlign w:val="bottom"/>
          </w:tcPr>
          <w:p>
            <w:pPr>
              <w:jc w:val="right"/>
              <w:ind w:right="5706"/>
              <w:spacing w:after="0"/>
              <w:rPr>
                <w:sz w:val="20"/>
                <w:szCs w:val="20"/>
                <w:color w:val="auto"/>
              </w:rPr>
            </w:pPr>
            <w:r>
              <w:rPr>
                <w:rFonts w:ascii="Arial" w:cs="Arial" w:eastAsia="Arial" w:hAnsi="Arial"/>
                <w:sz w:val="15"/>
                <w:szCs w:val="15"/>
                <w:color w:val="auto"/>
              </w:rPr>
              <w:t>Total liabilities and shareholders' equity</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8,725.3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8,883.6</w:t>
            </w:r>
          </w:p>
        </w:tc>
      </w:tr>
      <w:tr>
        <w:trPr>
          <w:trHeight w:val="20"/>
        </w:trPr>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20" w:top="636" w:right="29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1"/>
          <w:szCs w:val="21"/>
          <w:color w:val="auto"/>
        </w:rPr>
        <w:t>ManpowerGroup</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center"/>
              <w:ind w:right="186"/>
              <w:spacing w:after="0"/>
              <w:rPr>
                <w:sz w:val="20"/>
                <w:szCs w:val="20"/>
                <w:color w:val="auto"/>
              </w:rPr>
            </w:pPr>
            <w:r>
              <w:rPr>
                <w:rFonts w:ascii="Arial" w:cs="Arial" w:eastAsia="Arial" w:hAnsi="Arial"/>
                <w:sz w:val="15"/>
                <w:szCs w:val="15"/>
                <w:b w:val="1"/>
                <w:bCs w:val="1"/>
                <w:color w:val="auto"/>
                <w:w w:val="89"/>
              </w:rPr>
              <w:t>Nine Months Ended</w:t>
            </w:r>
          </w:p>
        </w:tc>
      </w:tr>
      <w:tr>
        <w:trPr>
          <w:trHeight w:val="222"/>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center"/>
              <w:ind w:left="486"/>
              <w:spacing w:after="0"/>
              <w:rPr>
                <w:sz w:val="20"/>
                <w:szCs w:val="20"/>
                <w:color w:val="auto"/>
              </w:rPr>
            </w:pPr>
            <w:r>
              <w:rPr>
                <w:rFonts w:ascii="Arial" w:cs="Arial" w:eastAsia="Arial" w:hAnsi="Arial"/>
                <w:sz w:val="15"/>
                <w:szCs w:val="15"/>
                <w:b w:val="1"/>
                <w:bCs w:val="1"/>
                <w:color w:val="auto"/>
                <w:w w:val="87"/>
              </w:rPr>
              <w:t>September 30</w:t>
            </w:r>
          </w:p>
        </w:tc>
        <w:tc>
          <w:tcPr>
            <w:tcW w:w="820" w:type="dxa"/>
            <w:vAlign w:val="bottom"/>
          </w:tcPr>
          <w:p>
            <w:pPr>
              <w:spacing w:after="0"/>
              <w:rPr>
                <w:sz w:val="19"/>
                <w:szCs w:val="19"/>
                <w:color w:val="auto"/>
              </w:rPr>
            </w:pP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406"/>
              <w:spacing w:after="0"/>
              <w:rPr>
                <w:sz w:val="20"/>
                <w:szCs w:val="20"/>
                <w:color w:val="auto"/>
              </w:rPr>
            </w:pPr>
            <w:r>
              <w:rPr>
                <w:rFonts w:ascii="Arial" w:cs="Arial" w:eastAsia="Arial" w:hAnsi="Arial"/>
                <w:sz w:val="15"/>
                <w:szCs w:val="15"/>
                <w:b w:val="1"/>
                <w:bCs w:val="1"/>
                <w:color w:val="auto"/>
                <w:w w:val="95"/>
              </w:rPr>
              <w:t>2017</w:t>
            </w: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66"/>
              <w:spacing w:after="0"/>
              <w:rPr>
                <w:sz w:val="20"/>
                <w:szCs w:val="20"/>
                <w:color w:val="auto"/>
              </w:rPr>
            </w:pPr>
            <w:r>
              <w:rPr>
                <w:rFonts w:ascii="Arial" w:cs="Arial" w:eastAsia="Arial" w:hAnsi="Arial"/>
                <w:sz w:val="15"/>
                <w:szCs w:val="15"/>
                <w:color w:val="auto"/>
                <w:w w:val="91"/>
              </w:rPr>
              <w:t>(Unaudited)</w:t>
            </w:r>
          </w:p>
        </w:tc>
        <w:tc>
          <w:tcPr>
            <w:tcW w:w="82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Net earnings</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398.4</w:t>
            </w:r>
          </w:p>
        </w:tc>
        <w:tc>
          <w:tcPr>
            <w:tcW w:w="100" w:type="dxa"/>
            <w:vAlign w:val="bottom"/>
          </w:tcPr>
          <w:p>
            <w:pPr>
              <w:spacing w:after="0"/>
              <w:rPr>
                <w:sz w:val="17"/>
                <w:szCs w:val="17"/>
                <w:color w:val="auto"/>
              </w:rPr>
            </w:pPr>
          </w:p>
        </w:tc>
        <w:tc>
          <w:tcPr>
            <w:tcW w:w="420" w:type="dxa"/>
            <w:vAlign w:val="bottom"/>
          </w:tcPr>
          <w:p>
            <w:pPr>
              <w:jc w:val="right"/>
              <w:ind w:right="246"/>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329.1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64.8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62.3</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Deferred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40.4</w:t>
            </w: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Provision for doubtful accounts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13.7</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Share-based compensation</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21.4</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(140.8)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(399.5)</w:t>
            </w:r>
          </w:p>
        </w:tc>
      </w:tr>
      <w:tr>
        <w:trPr>
          <w:trHeight w:val="199"/>
        </w:trPr>
        <w:tc>
          <w:tcPr>
            <w:tcW w:w="8780" w:type="dxa"/>
            <w:vAlign w:val="bottom"/>
          </w:tcPr>
          <w:p>
            <w:pPr>
              <w:ind w:left="220"/>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(77.7)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227.6</w:t>
            </w:r>
          </w:p>
        </w:tc>
      </w:tr>
      <w:tr>
        <w:trPr>
          <w:trHeight w:val="224"/>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302.0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287.5</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Capital expenditures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(40.2)</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Acquisitions of businesses, net of cash acquired</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Proceeds from the sale of investments, property and equipment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11.9</w:t>
            </w:r>
          </w:p>
        </w:tc>
      </w:tr>
      <w:tr>
        <w:trPr>
          <w:trHeight w:val="236"/>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Cash used in investing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w:t>
            </w:r>
          </w:p>
        </w:tc>
      </w:tr>
      <w:tr>
        <w:trPr>
          <w:trHeight w:val="187"/>
        </w:trPr>
        <w:tc>
          <w:tcPr>
            <w:tcW w:w="878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Net change in short-term borrowings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Proceeds from long-term debt</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583.3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0.1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Repayments of long-term debt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(408.3)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Payments for debt issuance costs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Proceeds from share-based awards and other equity transactions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40.8</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Payments to noncontrolling interests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199"/>
        </w:trPr>
        <w:tc>
          <w:tcPr>
            <w:tcW w:w="8780" w:type="dxa"/>
            <w:vAlign w:val="bottom"/>
          </w:tcPr>
          <w:p>
            <w:pPr>
              <w:ind w:left="80"/>
              <w:spacing w:after="0"/>
              <w:rPr>
                <w:sz w:val="20"/>
                <w:szCs w:val="20"/>
                <w:color w:val="auto"/>
              </w:rPr>
            </w:pPr>
            <w:r>
              <w:rPr>
                <w:rFonts w:ascii="Arial" w:cs="Arial" w:eastAsia="Arial" w:hAnsi="Arial"/>
                <w:sz w:val="15"/>
                <w:szCs w:val="15"/>
                <w:color w:val="auto"/>
              </w:rPr>
              <w:t>Other share-based award transactions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Repurchases of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(299.2)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(178.0)</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Dividends paid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w:t>
            </w:r>
          </w:p>
        </w:tc>
      </w:tr>
      <w:tr>
        <w:trPr>
          <w:trHeight w:val="224"/>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(230.7)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(233.1)</w:t>
            </w:r>
          </w:p>
        </w:tc>
      </w:tr>
      <w:tr>
        <w:trPr>
          <w:trHeight w:val="224"/>
        </w:trPr>
        <w:tc>
          <w:tcPr>
            <w:tcW w:w="8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69.6</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68.4</w:t>
            </w:r>
          </w:p>
        </w:tc>
      </w:tr>
      <w:tr>
        <w:trPr>
          <w:trHeight w:val="224"/>
        </w:trPr>
        <w:tc>
          <w:tcPr>
            <w:tcW w:w="87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689.0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598.5</w:t>
            </w:r>
          </w:p>
        </w:tc>
      </w:tr>
      <w:tr>
        <w:trPr>
          <w:trHeight w:val="216"/>
        </w:trPr>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682.6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666.9</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60" w:top="636"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2019-12-28T18:59:38Z</dcterms:created>
  <dcterms:modified xsi:type="dcterms:W3CDTF">2019-12-28T18:59:38Z</dcterms:modified>
</cp:coreProperties>
</file>