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460" w:type="dxa"/>
            <w:vAlign w:val="bottom"/>
            <w:gridSpan w:val="4"/>
          </w:tcPr>
          <w:p>
            <w:pPr>
              <w:spacing w:after="0"/>
              <w:rPr>
                <w:sz w:val="20"/>
                <w:szCs w:val="20"/>
                <w:color w:val="auto"/>
              </w:rPr>
            </w:pPr>
            <w:r>
              <w:rPr>
                <w:rFonts w:ascii="Arial" w:cs="Arial" w:eastAsia="Arial" w:hAnsi="Arial"/>
                <w:sz w:val="18"/>
                <w:szCs w:val="18"/>
                <w:color w:val="auto"/>
              </w:rPr>
              <w:t>SEC Form 3</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ind w:left="580"/>
              <w:spacing w:after="0"/>
              <w:rPr>
                <w:sz w:val="20"/>
                <w:szCs w:val="20"/>
                <w:color w:val="auto"/>
              </w:rPr>
            </w:pPr>
            <w:r>
              <w:rPr>
                <w:rFonts w:ascii="Arial" w:cs="Arial" w:eastAsia="Arial" w:hAnsi="Arial"/>
                <w:sz w:val="24"/>
                <w:szCs w:val="24"/>
                <w:b w:val="1"/>
                <w:bCs w:val="1"/>
                <w:color w:val="auto"/>
              </w:rPr>
              <w:t>FORM 3</w:t>
            </w:r>
          </w:p>
        </w:tc>
        <w:tc>
          <w:tcPr>
            <w:tcW w:w="6900" w:type="dxa"/>
            <w:vAlign w:val="bottom"/>
            <w:gridSpan w:val="7"/>
          </w:tcPr>
          <w:p>
            <w:pPr>
              <w:jc w:val="center"/>
              <w:ind w:right="180"/>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20" w:type="dxa"/>
            <w:vAlign w:val="bottom"/>
            <w:gridSpan w:val="4"/>
            <w:vMerge w:val="restart"/>
          </w:tcPr>
          <w:p>
            <w:pPr>
              <w:jc w:val="center"/>
              <w:ind w:right="2560"/>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5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3"/>
            <w:vMerge w:val="restart"/>
          </w:tcPr>
          <w:p>
            <w:pPr>
              <w:ind w:left="38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00" w:type="dxa"/>
            <w:vAlign w:val="bottom"/>
            <w:gridSpan w:val="6"/>
            <w:vMerge w:val="restart"/>
          </w:tcPr>
          <w:p>
            <w:pPr>
              <w:jc w:val="center"/>
              <w:ind w:right="580"/>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32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50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520" w:type="dxa"/>
            <w:vAlign w:val="bottom"/>
            <w:gridSpan w:val="4"/>
            <w:vMerge w:val="restart"/>
          </w:tcPr>
          <w:p>
            <w:pPr>
              <w:jc w:val="center"/>
              <w:ind w:right="2560"/>
              <w:spacing w:after="0"/>
              <w:rPr>
                <w:sz w:val="20"/>
                <w:szCs w:val="20"/>
                <w:color w:val="auto"/>
              </w:rPr>
            </w:pPr>
            <w:r>
              <w:rPr>
                <w:rFonts w:ascii="Arial" w:cs="Arial" w:eastAsia="Arial" w:hAnsi="Arial"/>
                <w:sz w:val="22"/>
                <w:szCs w:val="22"/>
                <w:b w:val="1"/>
                <w:bCs w:val="1"/>
                <w:color w:val="auto"/>
                <w:w w:val="96"/>
              </w:rPr>
              <w:t>SECURITIES</w:t>
            </w:r>
          </w:p>
        </w:tc>
        <w:tc>
          <w:tcPr>
            <w:tcW w:w="40" w:type="dxa"/>
            <w:vAlign w:val="bottom"/>
          </w:tcPr>
          <w:p>
            <w:pPr>
              <w:spacing w:after="0"/>
              <w:rPr>
                <w:sz w:val="16"/>
                <w:szCs w:val="16"/>
                <w:color w:val="auto"/>
              </w:rPr>
            </w:pPr>
          </w:p>
        </w:tc>
        <w:tc>
          <w:tcPr>
            <w:tcW w:w="21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52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960" w:type="dxa"/>
            <w:vAlign w:val="bottom"/>
            <w:gridSpan w:val="5"/>
            <w:vMerge w:val="restart"/>
          </w:tcPr>
          <w:p>
            <w:pPr>
              <w:jc w:val="center"/>
              <w:ind w:right="1120"/>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960" w:type="dxa"/>
            <w:vAlign w:val="bottom"/>
            <w:gridSpan w:val="5"/>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960" w:type="dxa"/>
            <w:vAlign w:val="bottom"/>
            <w:gridSpan w:val="5"/>
            <w:vMerge w:val="continue"/>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960" w:type="dxa"/>
            <w:vAlign w:val="bottom"/>
            <w:gridSpan w:val="5"/>
          </w:tcPr>
          <w:p>
            <w:pPr>
              <w:jc w:val="center"/>
              <w:ind w:right="1120"/>
              <w:spacing w:after="0"/>
              <w:rPr>
                <w:sz w:val="20"/>
                <w:szCs w:val="20"/>
                <w:color w:val="auto"/>
              </w:rPr>
            </w:pPr>
            <w:r>
              <w:rPr>
                <w:rFonts w:ascii="Arial" w:cs="Arial" w:eastAsia="Arial" w:hAnsi="Arial"/>
                <w:sz w:val="14"/>
                <w:szCs w:val="14"/>
                <w:color w:val="auto"/>
                <w:w w:val="96"/>
              </w:rPr>
              <w:t>or Section 30(h) of the Investment Company Act of 1940</w:t>
            </w: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18"/>
                <w:szCs w:val="18"/>
                <w:color w:val="auto"/>
              </w:rPr>
            </w:pPr>
          </w:p>
        </w:tc>
        <w:tc>
          <w:tcPr>
            <w:tcW w:w="5960" w:type="dxa"/>
            <w:vAlign w:val="bottom"/>
            <w:gridSpan w:val="5"/>
          </w:tcPr>
          <w:p>
            <w:pPr>
              <w:ind w:left="160"/>
              <w:spacing w:after="0"/>
              <w:rPr>
                <w:sz w:val="20"/>
                <w:szCs w:val="20"/>
                <w:color w:val="auto"/>
              </w:rPr>
            </w:pPr>
            <w:r>
              <w:rPr>
                <w:rFonts w:ascii="Arial" w:cs="Arial" w:eastAsia="Arial" w:hAnsi="Arial"/>
                <w:sz w:val="14"/>
                <w:szCs w:val="14"/>
                <w:color w:val="auto"/>
              </w:rPr>
              <w:t xml:space="preserve">2. Date of Event Requiring  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vMerge w:val="restart"/>
          </w:tcPr>
          <w:p>
            <w:pPr>
              <w:spacing w:after="0"/>
              <w:rPr>
                <w:rFonts w:ascii="Arial" w:cs="Arial" w:eastAsia="Arial" w:hAnsi="Arial"/>
                <w:sz w:val="22"/>
                <w:szCs w:val="22"/>
                <w:color w:val="0000EE"/>
                <w:w w:val="97"/>
              </w:rPr>
            </w:pPr>
            <w:hyperlink r:id="rId8">
              <w:r>
                <w:rPr>
                  <w:rFonts w:ascii="Arial" w:cs="Arial" w:eastAsia="Arial" w:hAnsi="Arial"/>
                  <w:sz w:val="22"/>
                  <w:szCs w:val="22"/>
                  <w:color w:val="0000EE"/>
                  <w:w w:val="97"/>
                </w:rPr>
                <w:t>Hall Patricia Hemingway</w:t>
              </w:r>
            </w:hyperlink>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4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Statement</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8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40" w:type="dxa"/>
            <w:vAlign w:val="bottom"/>
            <w:vMerge w:val="restart"/>
          </w:tcPr>
          <w:p>
            <w:pPr>
              <w:ind w:left="160"/>
              <w:spacing w:after="0" w:line="136" w:lineRule="exact"/>
              <w:rPr>
                <w:sz w:val="20"/>
                <w:szCs w:val="20"/>
                <w:color w:val="auto"/>
              </w:rPr>
            </w:pPr>
            <w:r>
              <w:rPr>
                <w:rFonts w:ascii="Arial" w:cs="Arial" w:eastAsia="Arial" w:hAnsi="Arial"/>
                <w:sz w:val="14"/>
                <w:szCs w:val="14"/>
                <w:color w:val="auto"/>
              </w:rPr>
              <w:t>(Month/Day/Year)</w:t>
            </w: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80" w:type="dxa"/>
            <w:vAlign w:val="bottom"/>
            <w:tcBorders>
              <w:bottom w:val="single" w:sz="8" w:color="0000EE"/>
            </w:tcBorders>
          </w:tcPr>
          <w:p>
            <w:pPr>
              <w:spacing w:after="0"/>
              <w:rPr>
                <w:sz w:val="4"/>
                <w:szCs w:val="4"/>
                <w:color w:val="auto"/>
              </w:rPr>
            </w:pPr>
          </w:p>
        </w:tc>
        <w:tc>
          <w:tcPr>
            <w:tcW w:w="1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40" w:type="dxa"/>
            <w:vAlign w:val="bottom"/>
            <w:tcBorders>
              <w:bottom w:val="single" w:sz="8" w:color="0000EE"/>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34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440" w:type="dxa"/>
            <w:vAlign w:val="bottom"/>
          </w:tcPr>
          <w:p>
            <w:pPr>
              <w:ind w:left="160"/>
              <w:spacing w:after="0" w:line="170" w:lineRule="exact"/>
              <w:rPr>
                <w:sz w:val="20"/>
                <w:szCs w:val="20"/>
                <w:color w:val="auto"/>
              </w:rPr>
            </w:pPr>
            <w:r>
              <w:rPr>
                <w:rFonts w:ascii="Arial" w:cs="Arial" w:eastAsia="Arial" w:hAnsi="Arial"/>
                <w:sz w:val="18"/>
                <w:szCs w:val="18"/>
                <w:color w:val="0000FF"/>
              </w:rPr>
              <w:t>05/03/2011</w:t>
            </w:r>
          </w:p>
        </w:tc>
        <w:tc>
          <w:tcPr>
            <w:tcW w:w="3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180" w:type="dxa"/>
            <w:vAlign w:val="bottom"/>
            <w:tcBorders>
              <w:bottom w:val="single" w:sz="8" w:color="2C2C2C"/>
            </w:tcBorders>
          </w:tcPr>
          <w:p>
            <w:pPr>
              <w:spacing w:after="0"/>
              <w:rPr>
                <w:sz w:val="16"/>
                <w:szCs w:val="16"/>
                <w:color w:val="auto"/>
              </w:rPr>
            </w:pPr>
          </w:p>
        </w:tc>
        <w:tc>
          <w:tcPr>
            <w:tcW w:w="19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3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-1409700</wp:posOffset>
            </wp:positionV>
            <wp:extent cx="7378700" cy="4630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78700" cy="4630420"/>
                    </a:xfrm>
                    <a:prstGeom prst="rect">
                      <a:avLst/>
                    </a:prstGeom>
                    <a:noFill/>
                  </pic:spPr>
                </pic:pic>
              </a:graphicData>
            </a:graphic>
          </wp:anchor>
        </w:drawing>
      </w:r>
    </w:p>
    <w:p>
      <w:pPr>
        <w:sectPr>
          <w:pgSz w:w="11900" w:h="16838" w:orient="portrait"/>
          <w:cols w:equalWidth="0" w:num="1">
            <w:col w:w="11620"/>
          </w:cols>
          <w:pgMar w:left="140" w:top="140" w:right="139" w:bottom="1440" w:gutter="0" w:footer="0" w:header="0"/>
        </w:sectPr>
      </w:pP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00" w:type="dxa"/>
            <w:vAlign w:val="bottom"/>
          </w:tcPr>
          <w:p>
            <w:pPr>
              <w:ind w:left="340"/>
              <w:spacing w:after="0"/>
              <w:rPr>
                <w:sz w:val="20"/>
                <w:szCs w:val="20"/>
                <w:color w:val="auto"/>
              </w:rPr>
            </w:pPr>
            <w:r>
              <w:rPr>
                <w:rFonts w:ascii="Arial" w:cs="Arial" w:eastAsia="Arial" w:hAnsi="Arial"/>
                <w:sz w:val="14"/>
                <w:szCs w:val="14"/>
                <w:color w:val="auto"/>
              </w:rPr>
              <w:t>(First)</w:t>
            </w:r>
          </w:p>
        </w:tc>
        <w:tc>
          <w:tcPr>
            <w:tcW w:w="1220" w:type="dxa"/>
            <w:vAlign w:val="bottom"/>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w w:val="98"/>
              </w:rPr>
              <w:t>100 MANPOWER PLACE</w:t>
            </w:r>
          </w:p>
        </w:tc>
        <w:tc>
          <w:tcPr>
            <w:tcW w:w="12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rPr>
              <w:t>MILWAUKEE WI</w:t>
            </w:r>
          </w:p>
        </w:tc>
        <w:tc>
          <w:tcPr>
            <w:tcW w:w="1220" w:type="dxa"/>
            <w:vAlign w:val="bottom"/>
          </w:tcPr>
          <w:p>
            <w:pPr>
              <w:ind w:left="160"/>
              <w:spacing w:after="0"/>
              <w:rPr>
                <w:sz w:val="20"/>
                <w:szCs w:val="20"/>
                <w:color w:val="auto"/>
              </w:rPr>
            </w:pPr>
            <w:r>
              <w:rPr>
                <w:rFonts w:ascii="Arial" w:cs="Arial" w:eastAsia="Arial" w:hAnsi="Arial"/>
                <w:sz w:val="18"/>
                <w:szCs w:val="18"/>
                <w:color w:val="0000FF"/>
              </w:rPr>
              <w:t>53212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00" w:type="dxa"/>
            <w:vAlign w:val="bottom"/>
          </w:tcPr>
          <w:p>
            <w:pPr>
              <w:ind w:left="340"/>
              <w:spacing w:after="0"/>
              <w:rPr>
                <w:sz w:val="20"/>
                <w:szCs w:val="20"/>
                <w:color w:val="auto"/>
              </w:rPr>
            </w:pPr>
            <w:r>
              <w:rPr>
                <w:rFonts w:ascii="Arial" w:cs="Arial" w:eastAsia="Arial" w:hAnsi="Arial"/>
                <w:sz w:val="14"/>
                <w:szCs w:val="14"/>
                <w:color w:val="auto"/>
              </w:rPr>
              <w:t>(State)</w:t>
            </w:r>
          </w:p>
        </w:tc>
        <w:tc>
          <w:tcPr>
            <w:tcW w:w="1220" w:type="dxa"/>
            <w:vAlign w:val="bottom"/>
          </w:tcPr>
          <w:p>
            <w:pPr>
              <w:ind w:left="14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 w:right="220" w:firstLine="1"/>
        <w:spacing w:after="0" w:line="231" w:lineRule="auto"/>
        <w:tabs>
          <w:tab w:leader="none" w:pos="15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199"/>
        <w:spacing w:after="0"/>
        <w:tabs>
          <w:tab w:leader="none" w:pos="539" w:val="left"/>
          <w:tab w:leader="none" w:pos="2199"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59"/>
        <w:spacing w:after="0"/>
        <w:tabs>
          <w:tab w:leader="none" w:pos="2199"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9" w:right="540" w:hanging="9"/>
        <w:spacing w:after="0" w:line="231"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9" w:right="420" w:hanging="9"/>
        <w:spacing w:after="0" w:line="231"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0"/>
          <w:szCs w:val="20"/>
          <w:color w:val="auto"/>
        </w:rPr>
      </w:pPr>
    </w:p>
    <w:p>
      <w:pPr>
        <w:ind w:left="489" w:hanging="316"/>
        <w:spacing w:after="0"/>
        <w:tabs>
          <w:tab w:leader="none" w:pos="489"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9" w:right="66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3">
            <w:col w:w="4561" w:space="720"/>
            <w:col w:w="3059" w:space="411"/>
            <w:col w:w="2869"/>
          </w:cols>
          <w:pgMar w:left="140" w:top="140" w:right="1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700" w:type="dxa"/>
            <w:vAlign w:val="bottom"/>
          </w:tcPr>
          <w:p>
            <w:pPr>
              <w:ind w:left="1680"/>
              <w:spacing w:after="0"/>
              <w:rPr>
                <w:sz w:val="20"/>
                <w:szCs w:val="20"/>
                <w:color w:val="auto"/>
              </w:rPr>
            </w:pPr>
            <w:r>
              <w:rPr>
                <w:rFonts w:ascii="Arial" w:cs="Arial" w:eastAsia="Arial" w:hAnsi="Arial"/>
                <w:sz w:val="14"/>
                <w:szCs w:val="14"/>
                <w:b w:val="1"/>
                <w:bCs w:val="1"/>
                <w:color w:val="auto"/>
              </w:rPr>
              <w:t>2. Amount of Securities</w:t>
            </w:r>
          </w:p>
        </w:tc>
        <w:tc>
          <w:tcPr>
            <w:tcW w:w="134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80" w:type="dxa"/>
            <w:vAlign w:val="bottom"/>
          </w:tcPr>
          <w:p>
            <w:pPr>
              <w:ind w:left="14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700" w:type="dxa"/>
            <w:vAlign w:val="bottom"/>
          </w:tcPr>
          <w:p>
            <w:pPr>
              <w:ind w:left="168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8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34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8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80" w:type="dxa"/>
            <w:vAlign w:val="bottom"/>
            <w:tcBorders>
              <w:bottom w:val="single" w:sz="8" w:color="2C2C2C"/>
            </w:tcBorders>
          </w:tcPr>
          <w:p>
            <w:pPr>
              <w:spacing w:after="0"/>
              <w:rPr>
                <w:sz w:val="5"/>
                <w:szCs w:val="5"/>
                <w:color w:val="auto"/>
              </w:rPr>
            </w:pPr>
          </w:p>
        </w:tc>
        <w:tc>
          <w:tcPr>
            <w:tcW w:w="37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80" w:type="dxa"/>
            <w:vAlign w:val="bottom"/>
            <w:tcBorders>
              <w:top w:val="single" w:sz="8" w:color="808080"/>
            </w:tcBorders>
            <w:shd w:val="clear" w:color="auto" w:fill="2C2C2C"/>
          </w:tcPr>
          <w:p>
            <w:pPr>
              <w:spacing w:after="0" w:line="20" w:lineRule="exact"/>
              <w:rPr>
                <w:sz w:val="1"/>
                <w:szCs w:val="1"/>
                <w:color w:val="auto"/>
              </w:rPr>
            </w:pPr>
          </w:p>
        </w:tc>
        <w:tc>
          <w:tcPr>
            <w:tcW w:w="370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60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160" w:type="dxa"/>
            <w:vAlign w:val="bottom"/>
          </w:tcPr>
          <w:p>
            <w:pPr>
              <w:ind w:left="60"/>
              <w:spacing w:after="0"/>
              <w:rPr>
                <w:sz w:val="20"/>
                <w:szCs w:val="20"/>
                <w:color w:val="auto"/>
              </w:rPr>
            </w:pPr>
            <w:r>
              <w:rPr>
                <w:rFonts w:ascii="Arial" w:cs="Arial" w:eastAsia="Arial" w:hAnsi="Arial"/>
                <w:sz w:val="14"/>
                <w:szCs w:val="14"/>
                <w:b w:val="1"/>
                <w:bCs w:val="1"/>
                <w:color w:val="auto"/>
                <w:w w:val="95"/>
              </w:rPr>
              <w:t>3. Title and Amount of Securities</w:t>
            </w:r>
          </w:p>
        </w:tc>
        <w:tc>
          <w:tcPr>
            <w:tcW w:w="6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4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4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92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 or</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92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Indirect (I)</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(Instr. 5)</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40" w:type="dxa"/>
            <w:vAlign w:val="bottom"/>
          </w:tcPr>
          <w:p>
            <w:pPr>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16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1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64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0"/>
          <w:szCs w:val="20"/>
          <w:color w:val="auto"/>
        </w:rPr>
      </w:pPr>
    </w:p>
    <w:p>
      <w:pPr>
        <w:ind w:left="6980"/>
        <w:spacing w:after="0"/>
        <w:rPr>
          <w:sz w:val="20"/>
          <w:szCs w:val="20"/>
          <w:color w:val="auto"/>
        </w:rPr>
      </w:pPr>
      <w:r>
        <w:rPr>
          <w:rFonts w:ascii="Arial" w:cs="Arial" w:eastAsia="Arial" w:hAnsi="Arial"/>
          <w:sz w:val="18"/>
          <w:szCs w:val="18"/>
          <w:color w:val="0000FF"/>
        </w:rPr>
        <w:t>/s/ Kenneth C. Hunt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340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05/05/2011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87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8755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780" w:firstLine="1"/>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40"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8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Kenneth C. Hunt, signing singly, her true and lawful attorney-in-fact to:</w:t>
      </w:r>
    </w:p>
    <w:p>
      <w:pPr>
        <w:spacing w:after="0" w:line="157" w:lineRule="exact"/>
        <w:rPr>
          <w:sz w:val="20"/>
          <w:szCs w:val="20"/>
          <w:color w:val="auto"/>
        </w:rPr>
      </w:pPr>
    </w:p>
    <w:p>
      <w:pPr>
        <w:ind w:left="1640" w:right="220" w:hanging="749"/>
        <w:spacing w:after="0" w:line="277" w:lineRule="auto"/>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4th day of April,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212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2123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Patricia Hemingway Hall</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517890" TargetMode="External"/><Relationship Id="rId9"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2019-12-18T02:03:11Z</dcterms:created>
  <dcterms:modified xsi:type="dcterms:W3CDTF">2019-12-18T02:03:11Z</dcterms:modified>
</cp:coreProperties>
</file>