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11, 2017</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918"/>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3"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0"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0" w:lineRule="exact"/>
        <w:rPr>
          <w:rFonts w:ascii="Arial" w:cs="Arial" w:eastAsia="Arial" w:hAnsi="Arial"/>
          <w:sz w:val="18"/>
          <w:szCs w:val="18"/>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720" w:right="23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18"/>
          <w:szCs w:val="18"/>
          <w:b w:val="1"/>
          <w:bCs w:val="1"/>
          <w:color w:val="auto"/>
        </w:rPr>
        <w:t>Compensatory Arrangements of Certain Officers</w:t>
      </w:r>
    </w:p>
    <w:p>
      <w:pPr>
        <w:spacing w:after="0" w:line="235" w:lineRule="exact"/>
        <w:rPr>
          <w:sz w:val="20"/>
          <w:szCs w:val="20"/>
          <w:color w:val="auto"/>
        </w:rPr>
      </w:pPr>
    </w:p>
    <w:p>
      <w:pPr>
        <w:jc w:val="both"/>
        <w:ind w:right="200" w:firstLine="648"/>
        <w:spacing w:after="0" w:line="306" w:lineRule="auto"/>
        <w:rPr>
          <w:sz w:val="20"/>
          <w:szCs w:val="20"/>
          <w:color w:val="auto"/>
        </w:rPr>
      </w:pPr>
      <w:r>
        <w:rPr>
          <w:rFonts w:ascii="Arial" w:cs="Arial" w:eastAsia="Arial" w:hAnsi="Arial"/>
          <w:sz w:val="16"/>
          <w:szCs w:val="16"/>
          <w:color w:val="auto"/>
        </w:rPr>
        <w:t>On December 11, 2017, ManpowerGroup Inc. (the “Company”) entered into a severance agreement with Mara Swan, Executive Vice President, Global Strategy and Talent. This severance agreement replaces a similar agreement scheduled to expire on February 10, 2018. The new severance agreement expires on the first to occur of (1) the date two years after the occurrence of a change of control of the Company or</w:t>
      </w:r>
    </w:p>
    <w:p>
      <w:pPr>
        <w:spacing w:after="0" w:line="1" w:lineRule="exact"/>
        <w:rPr>
          <w:sz w:val="20"/>
          <w:szCs w:val="20"/>
          <w:color w:val="auto"/>
        </w:rPr>
      </w:pPr>
    </w:p>
    <w:p>
      <w:pPr>
        <w:ind w:right="40" w:firstLine="8"/>
        <w:spacing w:after="0" w:line="244" w:lineRule="auto"/>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December 11, 2020, if no such change of control occurs before December 11, 2020. Aside from the new term, the severance agreement is in substantially the same form as the severance agreement it replaces.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3"/>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35"/>
        </w:trPr>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6"/>
        </w:trPr>
        <w:tc>
          <w:tcPr>
            <w:tcW w:w="380" w:type="dxa"/>
            <w:vAlign w:val="bottom"/>
            <w:gridSpan w:val="2"/>
          </w:tcPr>
          <w:p>
            <w:pPr>
              <w:ind w:left="40"/>
              <w:spacing w:after="0" w:line="216" w:lineRule="exact"/>
              <w:rPr>
                <w:rFonts w:ascii="Arial" w:cs="Arial" w:eastAsia="Arial" w:hAnsi="Arial"/>
                <w:sz w:val="20"/>
                <w:szCs w:val="20"/>
                <w:color w:val="0000FF"/>
                <w:w w:val="82"/>
              </w:rPr>
            </w:pPr>
            <w:hyperlink w:anchor="page5">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1</w:t>
              </w:r>
            </w:hyperlink>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20" w:type="dxa"/>
            <w:vAlign w:val="bottom"/>
            <w:gridSpan w:val="2"/>
          </w:tcPr>
          <w:p>
            <w:pPr>
              <w:spacing w:after="0" w:line="216" w:lineRule="exact"/>
              <w:rPr>
                <w:rFonts w:ascii="Arial" w:cs="Arial" w:eastAsia="Arial" w:hAnsi="Arial"/>
                <w:sz w:val="20"/>
                <w:szCs w:val="20"/>
                <w:color w:val="0000FF"/>
              </w:rPr>
            </w:pPr>
            <w:hyperlink w:anchor="page5">
              <w:r>
                <w:rPr>
                  <w:rFonts w:ascii="Arial" w:cs="Arial" w:eastAsia="Arial" w:hAnsi="Arial"/>
                  <w:sz w:val="20"/>
                  <w:szCs w:val="20"/>
                  <w:color w:val="0000FF"/>
                </w:rPr>
                <w:t>Severance Agreement dated December 11, 2017 between the Company and Mara Swan.</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ectPr>
          <w:pgSz w:w="11900" w:h="16838" w:orient="portrait"/>
          <w:cols w:equalWidth="0" w:num="1">
            <w:col w:w="11420"/>
          </w:cols>
          <w:pgMar w:left="240" w:top="616"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7800" w:type="dxa"/>
            <w:vAlign w:val="bottom"/>
            <w:gridSpan w:val="2"/>
          </w:tcPr>
          <w:p>
            <w:pPr>
              <w:ind w:left="60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500"/>
        </w:trPr>
        <w:tc>
          <w:tcPr>
            <w:tcW w:w="2520" w:type="dxa"/>
            <w:vAlign w:val="bottom"/>
          </w:tcPr>
          <w:p>
            <w:pPr>
              <w:spacing w:after="0"/>
              <w:rPr>
                <w:sz w:val="20"/>
                <w:szCs w:val="20"/>
                <w:color w:val="auto"/>
              </w:rPr>
            </w:pPr>
            <w:r>
              <w:rPr>
                <w:rFonts w:ascii="Arial" w:cs="Arial" w:eastAsia="Arial" w:hAnsi="Arial"/>
                <w:sz w:val="18"/>
                <w:szCs w:val="18"/>
                <w:color w:val="auto"/>
              </w:rPr>
              <w:t>Dated: December 12, 2017</w:t>
            </w:r>
          </w:p>
        </w:tc>
        <w:tc>
          <w:tcPr>
            <w:tcW w:w="1500" w:type="dxa"/>
            <w:vAlign w:val="bottom"/>
          </w:tcPr>
          <w:p>
            <w:pPr>
              <w:ind w:left="600"/>
              <w:spacing w:after="0"/>
              <w:rPr>
                <w:sz w:val="20"/>
                <w:szCs w:val="20"/>
                <w:color w:val="auto"/>
              </w:rPr>
            </w:pPr>
            <w:r>
              <w:rPr>
                <w:rFonts w:ascii="Arial" w:cs="Arial" w:eastAsia="Arial" w:hAnsi="Arial"/>
                <w:sz w:val="18"/>
                <w:szCs w:val="18"/>
                <w:color w:val="auto"/>
              </w:rPr>
              <w:t>By:</w:t>
            </w:r>
          </w:p>
        </w:tc>
        <w:tc>
          <w:tcPr>
            <w:tcW w:w="630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500" w:type="dxa"/>
            <w:vAlign w:val="bottom"/>
            <w:vMerge w:val="restart"/>
          </w:tcPr>
          <w:p>
            <w:pPr>
              <w:ind w:left="600"/>
              <w:spacing w:after="0"/>
              <w:rPr>
                <w:sz w:val="20"/>
                <w:szCs w:val="20"/>
                <w:color w:val="auto"/>
              </w:rPr>
            </w:pPr>
            <w:r>
              <w:rPr>
                <w:rFonts w:ascii="Arial" w:cs="Arial" w:eastAsia="Arial" w:hAnsi="Arial"/>
                <w:sz w:val="18"/>
                <w:szCs w:val="18"/>
                <w:color w:val="auto"/>
              </w:rPr>
              <w:t>Name:</w:t>
            </w: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500" w:type="dxa"/>
            <w:vAlign w:val="bottom"/>
          </w:tcPr>
          <w:p>
            <w:pPr>
              <w:ind w:left="600"/>
              <w:spacing w:after="0"/>
              <w:rPr>
                <w:sz w:val="20"/>
                <w:szCs w:val="20"/>
                <w:color w:val="auto"/>
              </w:rPr>
            </w:pPr>
            <w:r>
              <w:rPr>
                <w:rFonts w:ascii="Arial" w:cs="Arial" w:eastAsia="Arial" w:hAnsi="Arial"/>
                <w:sz w:val="18"/>
                <w:szCs w:val="18"/>
                <w:color w:val="auto"/>
              </w:rPr>
              <w:t>Title:</w:t>
            </w:r>
          </w:p>
        </w:tc>
        <w:tc>
          <w:tcPr>
            <w:tcW w:w="630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0940"/>
          </w:cols>
          <w:pgMar w:left="240" w:top="580" w:right="71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9" w:lineRule="exact"/>
        <w:rPr>
          <w:sz w:val="20"/>
          <w:szCs w:val="20"/>
          <w:color w:val="auto"/>
        </w:rPr>
      </w:pPr>
    </w:p>
    <w:p>
      <w:pPr>
        <w:spacing w:after="0"/>
        <w:tabs>
          <w:tab w:leader="none" w:pos="2140" w:val="left"/>
        </w:tabs>
        <w:rPr>
          <w:rFonts w:ascii="Arial" w:cs="Arial" w:eastAsia="Arial" w:hAnsi="Arial"/>
          <w:sz w:val="16"/>
          <w:szCs w:val="16"/>
          <w:u w:val="single" w:color="auto"/>
          <w:color w:val="0000FF"/>
        </w:rPr>
      </w:pPr>
      <w:hyperlink w:anchor="page5">
        <w:r>
          <w:rPr>
            <w:rFonts w:ascii="Arial" w:cs="Arial" w:eastAsia="Arial" w:hAnsi="Arial"/>
            <w:sz w:val="20"/>
            <w:szCs w:val="20"/>
            <w:u w:val="single" w:color="auto"/>
            <w:color w:val="0000FF"/>
          </w:rPr>
          <w:t>10.1</w:t>
        </w:r>
      </w:hyperlink>
      <w:r>
        <w:rPr>
          <w:rFonts w:ascii="Arial" w:cs="Arial" w:eastAsia="Arial" w:hAnsi="Arial"/>
          <w:sz w:val="20"/>
          <w:szCs w:val="20"/>
          <w:u w:val="single" w:color="auto"/>
          <w:color w:val="0000FF"/>
        </w:rPr>
        <w:tab/>
      </w:r>
      <w:hyperlink w:anchor="page5">
        <w:r>
          <w:rPr>
            <w:rFonts w:ascii="Arial" w:cs="Arial" w:eastAsia="Arial" w:hAnsi="Arial"/>
            <w:sz w:val="16"/>
            <w:szCs w:val="16"/>
            <w:u w:val="single" w:color="auto"/>
            <w:color w:val="0000FF"/>
          </w:rPr>
          <w:t>Severance Agreement dated December 11, 2017 between the Company and Mara Swan.</w:t>
        </w:r>
      </w:hyperlink>
    </w:p>
    <w:p>
      <w:pPr>
        <w:sectPr>
          <w:pgSz w:w="11900" w:h="16838" w:orient="portrait"/>
          <w:cols w:equalWidth="0" w:num="1">
            <w:col w:w="10179"/>
          </w:cols>
          <w:pgMar w:left="280" w:top="10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 Manpower Place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Milwaukee, Wisconsin 53212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11, 2017</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Mara Swan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Global Strategy and Talent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ManpowerGroup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100 Manpower Place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53212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Mrs. Mara Swan:</w:t>
      </w:r>
    </w:p>
    <w:p>
      <w:pPr>
        <w:spacing w:after="0" w:line="260" w:lineRule="exact"/>
        <w:rPr>
          <w:sz w:val="20"/>
          <w:szCs w:val="20"/>
          <w:color w:val="auto"/>
        </w:rPr>
      </w:pPr>
    </w:p>
    <w:p>
      <w:pPr>
        <w:ind w:right="340" w:firstLine="648"/>
        <w:spacing w:after="0" w:line="265" w:lineRule="auto"/>
        <w:rPr>
          <w:sz w:val="20"/>
          <w:szCs w:val="20"/>
          <w:color w:val="auto"/>
        </w:rPr>
      </w:pPr>
      <w:r>
        <w:rPr>
          <w:rFonts w:ascii="Arial" w:cs="Arial" w:eastAsia="Arial" w:hAnsi="Arial"/>
          <w:sz w:val="21"/>
          <w:szCs w:val="21"/>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21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w:t>
      </w:r>
    </w:p>
    <w:p>
      <w:pPr>
        <w:spacing w:after="0" w:line="260" w:lineRule="exact"/>
        <w:rPr>
          <w:rFonts w:ascii="Arial" w:cs="Arial" w:eastAsia="Arial" w:hAnsi="Arial"/>
          <w:sz w:val="22"/>
          <w:szCs w:val="22"/>
          <w:color w:val="auto"/>
        </w:rPr>
      </w:pPr>
    </w:p>
    <w:p>
      <w:pPr>
        <w:ind w:left="1300" w:right="560" w:hanging="644"/>
        <w:spacing w:after="0" w:line="263" w:lineRule="auto"/>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215" w:lineRule="exact"/>
        <w:rPr>
          <w:rFonts w:ascii="Arial" w:cs="Arial" w:eastAsia="Arial" w:hAnsi="Arial"/>
          <w:sz w:val="22"/>
          <w:szCs w:val="22"/>
          <w:color w:val="auto"/>
        </w:rPr>
      </w:pPr>
    </w:p>
    <w:p>
      <w:pPr>
        <w:ind w:left="1300" w:right="60" w:hanging="644"/>
        <w:spacing w:after="0" w:line="285" w:lineRule="auto"/>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1300" w:hanging="644"/>
        <w:spacing w:after="0"/>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2"/>
          <w:numId w:val="3"/>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w:t>
      </w:r>
    </w:p>
    <w:p>
      <w:pPr>
        <w:spacing w:after="0" w:line="56" w:lineRule="exact"/>
        <w:rPr>
          <w:rFonts w:ascii="Arial" w:cs="Arial" w:eastAsia="Arial" w:hAnsi="Arial"/>
          <w:sz w:val="19"/>
          <w:szCs w:val="19"/>
          <w:color w:val="auto"/>
        </w:rPr>
      </w:pPr>
    </w:p>
    <w:p>
      <w:pPr>
        <w:ind w:left="1960"/>
        <w:spacing w:after="0" w:line="285" w:lineRule="auto"/>
        <w:rPr>
          <w:rFonts w:ascii="Arial" w:cs="Arial" w:eastAsia="Arial" w:hAnsi="Arial"/>
          <w:sz w:val="19"/>
          <w:szCs w:val="19"/>
          <w:color w:val="auto"/>
        </w:rPr>
      </w:pPr>
      <w:r>
        <w:rPr>
          <w:rFonts w:ascii="Arial" w:cs="Arial" w:eastAsia="Arial" w:hAnsi="Arial"/>
          <w:sz w:val="19"/>
          <w:szCs w:val="19"/>
          <w:color w:val="auto"/>
        </w:rPr>
        <w:t>(2)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ectPr>
          <w:pgSz w:w="11900" w:h="16838" w:orient="portrait"/>
          <w:cols w:equalWidth="0" w:num="1">
            <w:col w:w="11420"/>
          </w:cols>
          <w:pgMar w:left="240" w:top="126" w:right="239" w:bottom="0" w:gutter="0" w:footer="0" w:header="0"/>
        </w:sectPr>
      </w:pPr>
    </w:p>
    <w:bookmarkStart w:id="5" w:name="page6"/>
    <w:bookmarkEnd w:id="5"/>
    <w:p>
      <w:pPr>
        <w:ind w:left="1960" w:right="20" w:hanging="655"/>
        <w:spacing w:after="0" w:line="290" w:lineRule="auto"/>
        <w:tabs>
          <w:tab w:leader="none" w:pos="19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97" w:lineRule="exact"/>
        <w:rPr>
          <w:rFonts w:ascii="Arial" w:cs="Arial" w:eastAsia="Arial" w:hAnsi="Arial"/>
          <w:sz w:val="19"/>
          <w:szCs w:val="19"/>
          <w:color w:val="auto"/>
        </w:rPr>
      </w:pPr>
    </w:p>
    <w:p>
      <w:pPr>
        <w:ind w:left="1960" w:right="160" w:hanging="655"/>
        <w:spacing w:after="0" w:line="263" w:lineRule="auto"/>
        <w:tabs>
          <w:tab w:leader="none" w:pos="19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15" w:lineRule="exact"/>
        <w:rPr>
          <w:rFonts w:ascii="Arial" w:cs="Arial" w:eastAsia="Arial" w:hAnsi="Arial"/>
          <w:sz w:val="22"/>
          <w:szCs w:val="22"/>
          <w:color w:val="auto"/>
        </w:rPr>
      </w:pPr>
    </w:p>
    <w:p>
      <w:pPr>
        <w:ind w:left="1960" w:hanging="655"/>
        <w:spacing w:after="0" w:line="259" w:lineRule="exact"/>
        <w:tabs>
          <w:tab w:leader="none" w:pos="196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9"/>
          <w:szCs w:val="19"/>
          <w:color w:val="auto"/>
        </w:rPr>
        <w:t>‑</w:t>
      </w:r>
      <w:r>
        <w:rPr>
          <w:rFonts w:ascii="Arial" w:cs="Arial" w:eastAsia="Arial" w:hAnsi="Arial"/>
          <w:sz w:val="19"/>
          <w:szCs w:val="19"/>
          <w:color w:val="auto"/>
        </w:rPr>
        <w:t>12(c); or</w:t>
      </w:r>
    </w:p>
    <w:p>
      <w:pPr>
        <w:spacing w:after="0" w:line="241" w:lineRule="exact"/>
        <w:rPr>
          <w:rFonts w:ascii="Arial" w:cs="Arial" w:eastAsia="Arial" w:hAnsi="Arial"/>
          <w:sz w:val="19"/>
          <w:szCs w:val="19"/>
          <w:color w:val="auto"/>
        </w:rPr>
      </w:pPr>
    </w:p>
    <w:p>
      <w:pPr>
        <w:ind w:left="1960" w:right="40" w:hanging="655"/>
        <w:spacing w:after="0" w:line="302" w:lineRule="auto"/>
        <w:tabs>
          <w:tab w:leader="none" w:pos="1960" w:val="left"/>
        </w:tabs>
        <w:numPr>
          <w:ilvl w:val="0"/>
          <w:numId w:val="4"/>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88" w:lineRule="exact"/>
        <w:rPr>
          <w:sz w:val="20"/>
          <w:szCs w:val="20"/>
          <w:color w:val="auto"/>
        </w:rPr>
      </w:pPr>
    </w:p>
    <w:p>
      <w:pPr>
        <w:ind w:left="1300" w:right="120" w:hanging="644"/>
        <w:spacing w:after="0" w:line="263"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15" w:lineRule="exact"/>
        <w:rPr>
          <w:rFonts w:ascii="Arial" w:cs="Arial" w:eastAsia="Arial" w:hAnsi="Arial"/>
          <w:sz w:val="22"/>
          <w:szCs w:val="22"/>
          <w:color w:val="auto"/>
        </w:rPr>
      </w:pPr>
    </w:p>
    <w:p>
      <w:pPr>
        <w:ind w:left="1960" w:right="200" w:hanging="655"/>
        <w:spacing w:after="0" w:line="263" w:lineRule="auto"/>
        <w:tabs>
          <w:tab w:leader="none" w:pos="1960" w:val="left"/>
        </w:tabs>
        <w:numPr>
          <w:ilvl w:val="1"/>
          <w:numId w:val="5"/>
        </w:numPr>
        <w:rPr>
          <w:rFonts w:ascii="Arial" w:cs="Arial" w:eastAsia="Arial" w:hAnsi="Arial"/>
          <w:sz w:val="22"/>
          <w:szCs w:val="22"/>
          <w:color w:val="auto"/>
        </w:rPr>
      </w:pPr>
      <w:r>
        <w:rPr>
          <w:rFonts w:ascii="Arial" w:cs="Arial" w:eastAsia="Arial" w:hAnsi="Arial"/>
          <w:sz w:val="22"/>
          <w:szCs w:val="22"/>
          <w:color w:val="auto"/>
        </w:rPr>
        <w:t>any material breach of any material obligation of any member of the Consolidated ManpowerGroup for the payment or provision of compensation or other benefits to you;</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1"/>
          <w:numId w:val="5"/>
        </w:numPr>
        <w:rPr>
          <w:rFonts w:ascii="Arial" w:cs="Arial" w:eastAsia="Arial" w:hAnsi="Arial"/>
          <w:sz w:val="22"/>
          <w:szCs w:val="22"/>
          <w:color w:val="auto"/>
        </w:rPr>
      </w:pPr>
      <w:r>
        <w:rPr>
          <w:rFonts w:ascii="Arial" w:cs="Arial" w:eastAsia="Arial" w:hAnsi="Arial"/>
          <w:sz w:val="22"/>
          <w:szCs w:val="22"/>
          <w:color w:val="auto"/>
        </w:rPr>
        <w:t>a material diminution in your base salary;</w:t>
      </w:r>
    </w:p>
    <w:p>
      <w:pPr>
        <w:spacing w:after="0" w:line="260" w:lineRule="exact"/>
        <w:rPr>
          <w:rFonts w:ascii="Arial" w:cs="Arial" w:eastAsia="Arial" w:hAnsi="Arial"/>
          <w:sz w:val="22"/>
          <w:szCs w:val="22"/>
          <w:color w:val="auto"/>
        </w:rPr>
      </w:pPr>
    </w:p>
    <w:p>
      <w:pPr>
        <w:ind w:left="1960" w:right="180" w:hanging="655"/>
        <w:spacing w:after="0" w:line="312" w:lineRule="auto"/>
        <w:tabs>
          <w:tab w:leader="none" w:pos="1960" w:val="left"/>
        </w:tabs>
        <w:numPr>
          <w:ilvl w:val="1"/>
          <w:numId w:val="5"/>
        </w:numPr>
        <w:rPr>
          <w:rFonts w:ascii="Arial" w:cs="Arial" w:eastAsia="Arial" w:hAnsi="Arial"/>
          <w:sz w:val="19"/>
          <w:szCs w:val="19"/>
          <w:color w:val="auto"/>
        </w:rPr>
      </w:pPr>
      <w:r>
        <w:rPr>
          <w:rFonts w:ascii="Arial" w:cs="Arial" w:eastAsia="Arial" w:hAnsi="Arial"/>
          <w:sz w:val="19"/>
          <w:szCs w:val="19"/>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74" w:lineRule="exact"/>
        <w:rPr>
          <w:rFonts w:ascii="Arial" w:cs="Arial" w:eastAsia="Arial" w:hAnsi="Arial"/>
          <w:sz w:val="19"/>
          <w:szCs w:val="19"/>
          <w:color w:val="auto"/>
        </w:rPr>
      </w:pPr>
    </w:p>
    <w:p>
      <w:pPr>
        <w:ind w:left="1960" w:hanging="655"/>
        <w:spacing w:after="0" w:line="253" w:lineRule="auto"/>
        <w:tabs>
          <w:tab w:leader="none" w:pos="1960" w:val="left"/>
        </w:tabs>
        <w:numPr>
          <w:ilvl w:val="1"/>
          <w:numId w:val="5"/>
        </w:numPr>
        <w:rPr>
          <w:rFonts w:ascii="Arial" w:cs="Arial" w:eastAsia="Arial" w:hAnsi="Arial"/>
          <w:sz w:val="22"/>
          <w:szCs w:val="22"/>
          <w:color w:val="auto"/>
        </w:rPr>
      </w:pPr>
      <w:r>
        <w:rPr>
          <w:rFonts w:ascii="Arial" w:cs="Arial" w:eastAsia="Arial" w:hAnsi="Arial"/>
          <w:sz w:val="22"/>
          <w:szCs w:val="22"/>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226" w:lineRule="exact"/>
        <w:rPr>
          <w:rFonts w:ascii="Arial" w:cs="Arial" w:eastAsia="Arial" w:hAnsi="Arial"/>
          <w:sz w:val="22"/>
          <w:szCs w:val="22"/>
          <w:color w:val="auto"/>
        </w:rPr>
      </w:pPr>
    </w:p>
    <w:p>
      <w:pPr>
        <w:ind w:left="1960" w:right="100" w:hanging="655"/>
        <w:spacing w:after="0" w:line="312" w:lineRule="auto"/>
        <w:tabs>
          <w:tab w:leader="none" w:pos="1960" w:val="left"/>
        </w:tabs>
        <w:numPr>
          <w:ilvl w:val="1"/>
          <w:numId w:val="5"/>
        </w:numPr>
        <w:rPr>
          <w:rFonts w:ascii="Arial" w:cs="Arial" w:eastAsia="Arial" w:hAnsi="Arial"/>
          <w:sz w:val="19"/>
          <w:szCs w:val="19"/>
          <w:color w:val="auto"/>
        </w:rPr>
      </w:pPr>
      <w:r>
        <w:rPr>
          <w:rFonts w:ascii="Arial" w:cs="Arial" w:eastAsia="Arial" w:hAnsi="Arial"/>
          <w:sz w:val="19"/>
          <w:szCs w:val="19"/>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174" w:lineRule="exact"/>
        <w:rPr>
          <w:rFonts w:ascii="Arial" w:cs="Arial" w:eastAsia="Arial" w:hAnsi="Arial"/>
          <w:sz w:val="19"/>
          <w:szCs w:val="19"/>
          <w:color w:val="auto"/>
        </w:rPr>
      </w:pPr>
    </w:p>
    <w:p>
      <w:pPr>
        <w:ind w:left="1960" w:right="240" w:hanging="655"/>
        <w:spacing w:after="0" w:line="253" w:lineRule="auto"/>
        <w:tabs>
          <w:tab w:leader="none" w:pos="1960" w:val="left"/>
        </w:tabs>
        <w:numPr>
          <w:ilvl w:val="1"/>
          <w:numId w:val="5"/>
        </w:numPr>
        <w:rPr>
          <w:rFonts w:ascii="Arial" w:cs="Arial" w:eastAsia="Arial" w:hAnsi="Arial"/>
          <w:sz w:val="22"/>
          <w:szCs w:val="22"/>
          <w:color w:val="auto"/>
        </w:rPr>
      </w:pPr>
      <w:r>
        <w:rPr>
          <w:rFonts w:ascii="Arial" w:cs="Arial" w:eastAsia="Arial" w:hAnsi="Arial"/>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226" w:lineRule="exact"/>
        <w:rPr>
          <w:sz w:val="20"/>
          <w:szCs w:val="20"/>
          <w:color w:val="auto"/>
        </w:rPr>
      </w:pPr>
    </w:p>
    <w:p>
      <w:pPr>
        <w:jc w:val="center"/>
        <w:ind w:right="180"/>
        <w:spacing w:after="0" w:line="288" w:lineRule="auto"/>
        <w:rPr>
          <w:sz w:val="20"/>
          <w:szCs w:val="20"/>
          <w:color w:val="auto"/>
        </w:rPr>
      </w:pPr>
      <w:r>
        <w:rPr>
          <w:rFonts w:ascii="Arial" w:cs="Arial" w:eastAsia="Arial" w:hAnsi="Arial"/>
          <w:sz w:val="19"/>
          <w:szCs w:val="19"/>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1" w:lineRule="exact"/>
        <w:rPr>
          <w:sz w:val="20"/>
          <w:szCs w:val="20"/>
          <w:color w:val="auto"/>
        </w:rPr>
      </w:pPr>
    </w:p>
    <w:p>
      <w:pPr>
        <w:ind w:firstLine="8"/>
        <w:spacing w:after="0" w:line="292" w:lineRule="auto"/>
        <w:tabs>
          <w:tab w:leader="none" w:pos="378" w:val="left"/>
        </w:tabs>
        <w:numPr>
          <w:ilvl w:val="0"/>
          <w:numId w:val="6"/>
        </w:numPr>
        <w:rPr>
          <w:rFonts w:ascii="Arial" w:cs="Arial" w:eastAsia="Arial" w:hAnsi="Arial"/>
          <w:sz w:val="19"/>
          <w:szCs w:val="19"/>
          <w:color w:val="auto"/>
        </w:rPr>
      </w:pPr>
      <w:r>
        <w:rPr>
          <w:rFonts w:ascii="Arial" w:cs="Arial" w:eastAsia="Arial" w:hAnsi="Arial"/>
          <w:sz w:val="19"/>
          <w:szCs w:val="19"/>
          <w:color w:val="auto"/>
        </w:rPr>
        <w:t>your employment with the Consolidated ManpowerGroup is terminated by you within ninety (90) days after such diminution or breach occurs. Further, notwithstanding Subsections 1(d)(i) – (vi),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w:t>
      </w:r>
    </w:p>
    <w:p>
      <w:pPr>
        <w:sectPr>
          <w:pgSz w:w="11900" w:h="16838" w:orient="portrait"/>
          <w:cols w:equalWidth="0" w:num="1">
            <w:col w:w="11420"/>
          </w:cols>
          <w:pgMar w:left="240" w:top="388" w:right="239" w:bottom="0" w:gutter="0" w:footer="0" w:header="0"/>
        </w:sectPr>
      </w:pPr>
    </w:p>
    <w:bookmarkStart w:id="6" w:name="page7"/>
    <w:bookmarkEnd w:id="6"/>
    <w:p>
      <w:pPr>
        <w:ind w:right="200"/>
        <w:spacing w:after="0" w:line="343" w:lineRule="auto"/>
        <w:rPr>
          <w:sz w:val="20"/>
          <w:szCs w:val="20"/>
          <w:color w:val="auto"/>
        </w:rPr>
      </w:pPr>
      <w:r>
        <w:rPr>
          <w:rFonts w:ascii="Arial" w:cs="Arial" w:eastAsia="Arial" w:hAnsi="Arial"/>
          <w:sz w:val="19"/>
          <w:szCs w:val="19"/>
          <w:color w:val="auto"/>
        </w:rPr>
        <w:t>(either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45" w:lineRule="exact"/>
        <w:rPr>
          <w:sz w:val="20"/>
          <w:szCs w:val="20"/>
          <w:color w:val="auto"/>
        </w:rPr>
      </w:pPr>
    </w:p>
    <w:p>
      <w:pPr>
        <w:ind w:left="1300" w:right="40" w:hanging="644"/>
        <w:spacing w:after="0" w:line="261" w:lineRule="auto"/>
        <w:tabs>
          <w:tab w:leader="none" w:pos="1300" w:val="left"/>
        </w:tabs>
        <w:numPr>
          <w:ilvl w:val="1"/>
          <w:numId w:val="7"/>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20" w:lineRule="exact"/>
        <w:rPr>
          <w:rFonts w:ascii="Arial" w:cs="Arial" w:eastAsia="Arial" w:hAnsi="Arial"/>
          <w:sz w:val="21"/>
          <w:szCs w:val="21"/>
          <w:color w:val="auto"/>
        </w:rPr>
      </w:pPr>
    </w:p>
    <w:p>
      <w:pPr>
        <w:ind w:left="1300" w:right="620" w:hanging="644"/>
        <w:spacing w:after="0" w:line="271" w:lineRule="auto"/>
        <w:tabs>
          <w:tab w:leader="none" w:pos="1300" w:val="left"/>
        </w:tabs>
        <w:numPr>
          <w:ilvl w:val="1"/>
          <w:numId w:val="7"/>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08" w:lineRule="exact"/>
        <w:rPr>
          <w:rFonts w:ascii="Arial" w:cs="Arial" w:eastAsia="Arial" w:hAnsi="Arial"/>
          <w:sz w:val="21"/>
          <w:szCs w:val="21"/>
          <w:color w:val="auto"/>
        </w:rPr>
      </w:pPr>
    </w:p>
    <w:p>
      <w:pPr>
        <w:ind w:left="1300" w:hanging="644"/>
        <w:spacing w:after="0"/>
        <w:tabs>
          <w:tab w:leader="none" w:pos="1300"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Protected Period</w:t>
      </w:r>
      <w:r>
        <w:rPr>
          <w:rFonts w:ascii="Arial" w:cs="Arial" w:eastAsia="Arial" w:hAnsi="Arial"/>
          <w:sz w:val="19"/>
          <w:szCs w:val="19"/>
          <w:color w:val="auto"/>
        </w:rPr>
        <w:t>. The “Protected Period” shall be a period of time determined in accordance with the following:</w:t>
      </w:r>
    </w:p>
    <w:p>
      <w:pPr>
        <w:spacing w:after="0" w:line="294" w:lineRule="exact"/>
        <w:rPr>
          <w:rFonts w:ascii="Arial" w:cs="Arial" w:eastAsia="Arial" w:hAnsi="Arial"/>
          <w:sz w:val="19"/>
          <w:szCs w:val="19"/>
          <w:color w:val="auto"/>
        </w:rPr>
      </w:pPr>
    </w:p>
    <w:p>
      <w:pPr>
        <w:ind w:left="1960" w:right="40" w:hanging="655"/>
        <w:spacing w:after="0" w:line="302" w:lineRule="auto"/>
        <w:tabs>
          <w:tab w:leader="none" w:pos="1960" w:val="left"/>
        </w:tabs>
        <w:numPr>
          <w:ilvl w:val="2"/>
          <w:numId w:val="7"/>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83" w:lineRule="exact"/>
        <w:rPr>
          <w:rFonts w:ascii="Arial" w:cs="Arial" w:eastAsia="Arial" w:hAnsi="Arial"/>
          <w:sz w:val="19"/>
          <w:szCs w:val="19"/>
          <w:color w:val="auto"/>
        </w:rPr>
      </w:pPr>
    </w:p>
    <w:p>
      <w:pPr>
        <w:ind w:left="1960" w:right="140" w:hanging="655"/>
        <w:spacing w:after="0" w:line="263" w:lineRule="auto"/>
        <w:tabs>
          <w:tab w:leader="none" w:pos="1960" w:val="left"/>
        </w:tabs>
        <w:numPr>
          <w:ilvl w:val="2"/>
          <w:numId w:val="7"/>
        </w:numPr>
        <w:rPr>
          <w:rFonts w:ascii="Arial" w:cs="Arial" w:eastAsia="Arial" w:hAnsi="Arial"/>
          <w:sz w:val="21"/>
          <w:szCs w:val="21"/>
          <w:color w:val="auto"/>
        </w:rPr>
      </w:pPr>
      <w:r>
        <w:rPr>
          <w:rFonts w:ascii="Arial" w:cs="Arial" w:eastAsia="Arial" w:hAnsi="Arial"/>
          <w:sz w:val="21"/>
          <w:szCs w:val="21"/>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16" w:lineRule="exact"/>
        <w:rPr>
          <w:rFonts w:ascii="Arial" w:cs="Arial" w:eastAsia="Arial" w:hAnsi="Arial"/>
          <w:sz w:val="21"/>
          <w:szCs w:val="21"/>
          <w:color w:val="auto"/>
        </w:rPr>
      </w:pPr>
    </w:p>
    <w:p>
      <w:pPr>
        <w:jc w:val="both"/>
        <w:ind w:left="1960" w:right="80" w:hanging="655"/>
        <w:spacing w:after="0" w:line="253" w:lineRule="auto"/>
        <w:tabs>
          <w:tab w:leader="none" w:pos="1960" w:val="left"/>
        </w:tabs>
        <w:numPr>
          <w:ilvl w:val="2"/>
          <w:numId w:val="7"/>
        </w:numPr>
        <w:rPr>
          <w:rFonts w:ascii="Arial" w:cs="Arial" w:eastAsia="Arial" w:hAnsi="Arial"/>
          <w:sz w:val="22"/>
          <w:szCs w:val="22"/>
          <w:color w:val="auto"/>
        </w:rPr>
      </w:pPr>
      <w:r>
        <w:rPr>
          <w:rFonts w:ascii="Arial" w:cs="Arial" w:eastAsia="Arial" w:hAnsi="Arial"/>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26" w:lineRule="exact"/>
        <w:rPr>
          <w:rFonts w:ascii="Arial" w:cs="Arial" w:eastAsia="Arial" w:hAnsi="Arial"/>
          <w:sz w:val="22"/>
          <w:szCs w:val="22"/>
          <w:color w:val="auto"/>
        </w:rPr>
      </w:pPr>
    </w:p>
    <w:p>
      <w:pPr>
        <w:jc w:val="both"/>
        <w:ind w:left="1300" w:right="440" w:hanging="644"/>
        <w:spacing w:after="0" w:line="291" w:lineRule="auto"/>
        <w:tabs>
          <w:tab w:leader="none" w:pos="1300"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will be a period beginning on the date of this letter indicated above and ending on the first to occur of the following: (a) the date which is the two-year anniversary of the occurrence of a Change of Control;</w:t>
      </w:r>
    </w:p>
    <w:p>
      <w:pPr>
        <w:spacing w:after="0" w:line="1" w:lineRule="exact"/>
        <w:rPr>
          <w:rFonts w:ascii="Arial" w:cs="Arial" w:eastAsia="Arial" w:hAnsi="Arial"/>
          <w:sz w:val="19"/>
          <w:szCs w:val="19"/>
          <w:color w:val="auto"/>
        </w:rPr>
      </w:pPr>
    </w:p>
    <w:p>
      <w:pPr>
        <w:ind w:left="1300" w:right="420"/>
        <w:spacing w:after="0" w:line="245" w:lineRule="auto"/>
        <w:rPr>
          <w:rFonts w:ascii="Arial" w:cs="Arial" w:eastAsia="Arial" w:hAnsi="Arial"/>
          <w:sz w:val="19"/>
          <w:szCs w:val="19"/>
          <w:color w:val="auto"/>
        </w:rPr>
      </w:pPr>
      <w:r>
        <w:rPr>
          <w:rFonts w:ascii="Arial" w:cs="Arial" w:eastAsia="Arial" w:hAnsi="Arial"/>
          <w:sz w:val="22"/>
          <w:szCs w:val="22"/>
          <w:color w:val="auto"/>
        </w:rPr>
        <w:t>(b) the date which is the three-year anniversary of the date of this letter indicated above if no Change of Control occurs between the date of this letter indicated above and such three-year anniversary; or (c) the Date of Termination.</w:t>
      </w:r>
    </w:p>
    <w:p>
      <w:pPr>
        <w:spacing w:after="0" w:line="233" w:lineRule="exact"/>
        <w:rPr>
          <w:rFonts w:ascii="Arial" w:cs="Arial" w:eastAsia="Arial" w:hAnsi="Arial"/>
          <w:sz w:val="19"/>
          <w:szCs w:val="19"/>
          <w:color w:val="auto"/>
        </w:rPr>
      </w:pPr>
    </w:p>
    <w:p>
      <w:pPr>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300" w:hanging="644"/>
        <w:spacing w:after="0" w:line="294" w:lineRule="auto"/>
        <w:tabs>
          <w:tab w:leader="none" w:pos="130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by the Corporation for Cause or by You Other Than for Good Reason</w:t>
      </w:r>
      <w:r>
        <w:rPr>
          <w:rFonts w:ascii="Arial" w:cs="Arial" w:eastAsia="Arial" w:hAnsi="Arial"/>
          <w:sz w:val="19"/>
          <w:szCs w:val="19"/>
          <w:color w:val="auto"/>
        </w:rPr>
        <w:t>. If your employment with the Consolidated ManpowerGroup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90" w:lineRule="exact"/>
        <w:rPr>
          <w:rFonts w:ascii="Arial" w:cs="Arial" w:eastAsia="Arial" w:hAnsi="Arial"/>
          <w:sz w:val="19"/>
          <w:szCs w:val="19"/>
          <w:color w:val="auto"/>
        </w:rPr>
      </w:pPr>
    </w:p>
    <w:p>
      <w:pPr>
        <w:ind w:left="1300" w:right="580" w:hanging="644"/>
        <w:spacing w:after="0" w:line="291" w:lineRule="auto"/>
        <w:tabs>
          <w:tab w:leader="none" w:pos="130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Consolidated ManpowerGroup terminates during the Term by reason of your disability or death, the Corporation will pay or provide you with</w:t>
      </w:r>
    </w:p>
    <w:p>
      <w:pPr>
        <w:spacing w:after="0" w:line="1" w:lineRule="exact"/>
        <w:rPr>
          <w:rFonts w:ascii="Arial" w:cs="Arial" w:eastAsia="Arial" w:hAnsi="Arial"/>
          <w:sz w:val="19"/>
          <w:szCs w:val="19"/>
          <w:color w:val="auto"/>
        </w:rPr>
      </w:pPr>
    </w:p>
    <w:p>
      <w:pPr>
        <w:ind w:left="1300" w:right="60" w:firstLine="5"/>
        <w:spacing w:after="0" w:line="286" w:lineRule="auto"/>
        <w:tabs>
          <w:tab w:leader="none" w:pos="1558" w:val="left"/>
        </w:tabs>
        <w:numPr>
          <w:ilvl w:val="2"/>
          <w:numId w:val="8"/>
        </w:numPr>
        <w:rPr>
          <w:rFonts w:ascii="Arial" w:cs="Arial" w:eastAsia="Arial" w:hAnsi="Arial"/>
          <w:sz w:val="19"/>
          <w:szCs w:val="19"/>
          <w:color w:val="auto"/>
        </w:rPr>
      </w:pPr>
      <w:r>
        <w:rPr>
          <w:rFonts w:ascii="Arial" w:cs="Arial" w:eastAsia="Arial" w:hAnsi="Arial"/>
          <w:sz w:val="19"/>
          <w:szCs w:val="19"/>
          <w:color w:val="auto"/>
        </w:rPr>
        <w:t>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201" w:lineRule="exact"/>
        <w:rPr>
          <w:rFonts w:ascii="Arial" w:cs="Arial" w:eastAsia="Arial" w:hAnsi="Arial"/>
          <w:sz w:val="19"/>
          <w:szCs w:val="19"/>
          <w:color w:val="auto"/>
        </w:rPr>
      </w:pPr>
    </w:p>
    <w:p>
      <w:pPr>
        <w:ind w:left="1300" w:right="160" w:hanging="644"/>
        <w:spacing w:after="0" w:line="312" w:lineRule="auto"/>
        <w:tabs>
          <w:tab w:leader="none" w:pos="130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 - Other than in a Change of Control</w:t>
      </w:r>
      <w:r>
        <w:rPr>
          <w:rFonts w:ascii="Arial" w:cs="Arial" w:eastAsia="Arial" w:hAnsi="Arial"/>
          <w:sz w:val="19"/>
          <w:szCs w:val="19"/>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74" w:lineRule="exact"/>
        <w:rPr>
          <w:rFonts w:ascii="Arial" w:cs="Arial" w:eastAsia="Arial" w:hAnsi="Arial"/>
          <w:sz w:val="19"/>
          <w:szCs w:val="19"/>
          <w:color w:val="auto"/>
        </w:rPr>
      </w:pPr>
    </w:p>
    <w:p>
      <w:pPr>
        <w:ind w:left="2600" w:hanging="647"/>
        <w:spacing w:after="0"/>
        <w:tabs>
          <w:tab w:leader="none" w:pos="2600" w:val="left"/>
        </w:tabs>
        <w:numPr>
          <w:ilvl w:val="3"/>
          <w:numId w:val="8"/>
        </w:numPr>
        <w:rPr>
          <w:rFonts w:ascii="Arial" w:cs="Arial" w:eastAsia="Arial" w:hAnsi="Arial"/>
          <w:sz w:val="19"/>
          <w:szCs w:val="19"/>
          <w:color w:val="auto"/>
        </w:rPr>
      </w:pPr>
      <w:r>
        <w:rPr>
          <w:rFonts w:ascii="Arial" w:cs="Arial" w:eastAsia="Arial" w:hAnsi="Arial"/>
          <w:sz w:val="19"/>
          <w:szCs w:val="19"/>
          <w:color w:val="auto"/>
        </w:rPr>
        <w:t>the Corporation will pay you, your unpaid bonus, if any, attributable to any complete fiscal year of</w:t>
      </w:r>
    </w:p>
    <w:p>
      <w:pPr>
        <w:sectPr>
          <w:pgSz w:w="11900" w:h="16838" w:orient="portrait"/>
          <w:cols w:equalWidth="0" w:num="1">
            <w:col w:w="11400"/>
          </w:cols>
          <w:pgMar w:left="240" w:top="132" w:right="259" w:bottom="0" w:gutter="0" w:footer="0" w:header="0"/>
        </w:sectPr>
      </w:pPr>
    </w:p>
    <w:bookmarkStart w:id="7" w:name="page8"/>
    <w:bookmarkEnd w:id="7"/>
    <w:p>
      <w:pPr>
        <w:ind w:left="1944"/>
        <w:spacing w:after="0"/>
        <w:rPr>
          <w:sz w:val="20"/>
          <w:szCs w:val="20"/>
          <w:color w:val="auto"/>
        </w:rPr>
      </w:pPr>
      <w:r>
        <w:rPr>
          <w:rFonts w:ascii="Arial" w:cs="Arial" w:eastAsia="Arial" w:hAnsi="Arial"/>
          <w:sz w:val="22"/>
          <w:szCs w:val="22"/>
          <w:color w:val="auto"/>
        </w:rPr>
        <w:t>the Consolidated ManpowerGroup ended before the Date of Termination;</w:t>
      </w:r>
    </w:p>
    <w:p>
      <w:pPr>
        <w:spacing w:after="0" w:line="220" w:lineRule="exact"/>
        <w:rPr>
          <w:sz w:val="20"/>
          <w:szCs w:val="20"/>
          <w:color w:val="auto"/>
        </w:rPr>
      </w:pPr>
    </w:p>
    <w:p>
      <w:pPr>
        <w:ind w:left="1944" w:right="20" w:hanging="647"/>
        <w:spacing w:after="0" w:line="294" w:lineRule="auto"/>
        <w:tabs>
          <w:tab w:leader="none" w:pos="1944"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49" w:lineRule="exact"/>
        <w:rPr>
          <w:rFonts w:ascii="Arial" w:cs="Arial" w:eastAsia="Arial" w:hAnsi="Arial"/>
          <w:sz w:val="19"/>
          <w:szCs w:val="19"/>
          <w:color w:val="auto"/>
        </w:rPr>
      </w:pPr>
    </w:p>
    <w:p>
      <w:pPr>
        <w:ind w:left="1944" w:right="120" w:hanging="647"/>
        <w:spacing w:after="0" w:line="253" w:lineRule="auto"/>
        <w:tabs>
          <w:tab w:leader="none" w:pos="1944"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226" w:lineRule="exact"/>
        <w:rPr>
          <w:rFonts w:ascii="Arial" w:cs="Arial" w:eastAsia="Arial" w:hAnsi="Arial"/>
          <w:sz w:val="22"/>
          <w:szCs w:val="22"/>
          <w:color w:val="auto"/>
        </w:rPr>
      </w:pPr>
    </w:p>
    <w:p>
      <w:pPr>
        <w:ind w:left="1944" w:right="100" w:hanging="647"/>
        <w:spacing w:after="0" w:line="259" w:lineRule="exact"/>
        <w:tabs>
          <w:tab w:leader="none" w:pos="1944" w:val="left"/>
        </w:tabs>
        <w:numPr>
          <w:ilvl w:val="1"/>
          <w:numId w:val="9"/>
        </w:numPr>
        <w:rPr>
          <w:rFonts w:ascii="Arial" w:cs="Arial" w:eastAsia="Arial" w:hAnsi="Arial"/>
          <w:sz w:val="19"/>
          <w:szCs w:val="19"/>
          <w:color w:val="auto"/>
        </w:rPr>
      </w:pPr>
      <w:r>
        <w:rPr>
          <w:rFonts w:ascii="Arial" w:cs="Arial" w:eastAsia="Arial" w:hAnsi="Arial"/>
          <w:sz w:val="19"/>
          <w:szCs w:val="19"/>
          <w:color w:val="auto"/>
        </w:rPr>
        <w:t>for up to a twelve</w:t>
      </w:r>
      <w:r>
        <w:rPr>
          <w:rFonts w:ascii="MS PGothic" w:cs="MS PGothic" w:eastAsia="MS PGothic" w:hAnsi="MS PGothic"/>
          <w:sz w:val="19"/>
          <w:szCs w:val="19"/>
          <w:color w:val="auto"/>
        </w:rPr>
        <w:t>‑</w:t>
      </w:r>
      <w:r>
        <w:rPr>
          <w:rFonts w:ascii="Arial" w:cs="Arial" w:eastAsia="Arial" w:hAnsi="Arial"/>
          <w:sz w:val="19"/>
          <w:szCs w:val="19"/>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9"/>
          <w:szCs w:val="19"/>
          <w:color w:val="auto"/>
        </w:rPr>
        <w:t>‑</w:t>
      </w:r>
      <w:r>
        <w:rPr>
          <w:rFonts w:ascii="Arial" w:cs="Arial" w:eastAsia="Arial" w:hAnsi="Arial"/>
          <w:sz w:val="19"/>
          <w:szCs w:val="19"/>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39" w:lineRule="exact"/>
        <w:rPr>
          <w:rFonts w:ascii="Arial" w:cs="Arial" w:eastAsia="Arial" w:hAnsi="Arial"/>
          <w:sz w:val="19"/>
          <w:szCs w:val="19"/>
          <w:color w:val="auto"/>
        </w:rPr>
      </w:pPr>
    </w:p>
    <w:p>
      <w:pPr>
        <w:ind w:left="1944"/>
        <w:spacing w:after="0" w:line="285" w:lineRule="auto"/>
        <w:rPr>
          <w:rFonts w:ascii="Arial" w:cs="Arial" w:eastAsia="Arial" w:hAnsi="Arial"/>
          <w:sz w:val="19"/>
          <w:szCs w:val="19"/>
          <w:color w:val="auto"/>
        </w:rPr>
      </w:pPr>
      <w:r>
        <w:rPr>
          <w:rFonts w:ascii="Arial" w:cs="Arial" w:eastAsia="Arial" w:hAnsi="Arial"/>
          <w:sz w:val="19"/>
          <w:szCs w:val="19"/>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ind w:left="1944" w:right="60" w:hanging="647"/>
        <w:spacing w:after="0" w:line="290" w:lineRule="auto"/>
        <w:tabs>
          <w:tab w:leader="none" w:pos="1944"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97" w:lineRule="exact"/>
        <w:rPr>
          <w:rFonts w:ascii="Arial" w:cs="Arial" w:eastAsia="Arial" w:hAnsi="Arial"/>
          <w:sz w:val="19"/>
          <w:szCs w:val="19"/>
          <w:color w:val="auto"/>
        </w:rPr>
      </w:pPr>
    </w:p>
    <w:p>
      <w:pPr>
        <w:ind w:left="644" w:right="100" w:hanging="644"/>
        <w:spacing w:after="0" w:line="250" w:lineRule="auto"/>
        <w:tabs>
          <w:tab w:leader="none" w:pos="644"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 – Change of Control</w:t>
      </w:r>
      <w:r>
        <w:rPr>
          <w:rFonts w:ascii="Arial" w:cs="Arial" w:eastAsia="Arial" w:hAnsi="Arial"/>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28" w:lineRule="exact"/>
        <w:rPr>
          <w:rFonts w:ascii="Arial" w:cs="Arial" w:eastAsia="Arial" w:hAnsi="Arial"/>
          <w:sz w:val="22"/>
          <w:szCs w:val="22"/>
          <w:color w:val="auto"/>
        </w:rPr>
      </w:pPr>
    </w:p>
    <w:p>
      <w:pPr>
        <w:ind w:left="1944" w:right="280" w:hanging="647"/>
        <w:spacing w:after="0" w:line="263" w:lineRule="auto"/>
        <w:tabs>
          <w:tab w:leader="none" w:pos="1944"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Consolidated ManpowerGroup ended before the Date of Termination;</w:t>
      </w:r>
    </w:p>
    <w:p>
      <w:pPr>
        <w:spacing w:after="0" w:line="174" w:lineRule="exact"/>
        <w:rPr>
          <w:rFonts w:ascii="Arial" w:cs="Arial" w:eastAsia="Arial" w:hAnsi="Arial"/>
          <w:sz w:val="22"/>
          <w:szCs w:val="22"/>
          <w:color w:val="auto"/>
        </w:rPr>
      </w:pPr>
    </w:p>
    <w:p>
      <w:pPr>
        <w:ind w:left="1944" w:right="20" w:hanging="647"/>
        <w:spacing w:after="0" w:line="343" w:lineRule="auto"/>
        <w:tabs>
          <w:tab w:leader="none" w:pos="1944"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your target annual bonus for the fiscal year in which the Change of Control</w:t>
      </w:r>
    </w:p>
    <w:p>
      <w:pPr>
        <w:sectPr>
          <w:pgSz w:w="11900" w:h="16838" w:orient="portrait"/>
          <w:cols w:equalWidth="0" w:num="1">
            <w:col w:w="10744"/>
          </w:cols>
          <w:pgMar w:left="896" w:top="132" w:right="259" w:bottom="0" w:gutter="0" w:footer="0" w:header="0"/>
        </w:sectPr>
      </w:pPr>
    </w:p>
    <w:bookmarkStart w:id="8" w:name="page9"/>
    <w:bookmarkEnd w:id="8"/>
    <w:p>
      <w:pPr>
        <w:ind w:left="1944"/>
        <w:spacing w:after="0" w:line="343" w:lineRule="auto"/>
        <w:rPr>
          <w:sz w:val="20"/>
          <w:szCs w:val="20"/>
          <w:color w:val="auto"/>
        </w:rPr>
      </w:pPr>
      <w:r>
        <w:rPr>
          <w:rFonts w:ascii="Arial" w:cs="Arial" w:eastAsia="Arial" w:hAnsi="Arial"/>
          <w:sz w:val="19"/>
          <w:szCs w:val="19"/>
          <w:color w:val="auto"/>
        </w:rPr>
        <w:t>occurs; provided, however, that the bonus payable hereunder will be prorated for the actual number of days you were employed during the fiscal year during which the Date of Termination occurs;</w:t>
      </w:r>
    </w:p>
    <w:p>
      <w:pPr>
        <w:spacing w:after="0" w:line="105" w:lineRule="exact"/>
        <w:rPr>
          <w:sz w:val="20"/>
          <w:szCs w:val="20"/>
          <w:color w:val="auto"/>
        </w:rPr>
      </w:pPr>
    </w:p>
    <w:p>
      <w:pPr>
        <w:ind w:left="1944" w:right="220" w:hanging="647"/>
        <w:spacing w:after="0" w:line="271" w:lineRule="auto"/>
        <w:tabs>
          <w:tab w:leader="none" w:pos="1944" w:val="left"/>
        </w:tabs>
        <w:numPr>
          <w:ilvl w:val="1"/>
          <w:numId w:val="11"/>
        </w:numPr>
        <w:rPr>
          <w:rFonts w:ascii="Arial" w:cs="Arial" w:eastAsia="Arial" w:hAnsi="Arial"/>
          <w:sz w:val="21"/>
          <w:szCs w:val="21"/>
          <w:color w:val="auto"/>
        </w:rPr>
      </w:pPr>
      <w:r>
        <w:rPr>
          <w:rFonts w:ascii="Arial" w:cs="Arial" w:eastAsia="Arial" w:hAnsi="Arial"/>
          <w:sz w:val="21"/>
          <w:szCs w:val="21"/>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67" w:lineRule="exact"/>
        <w:rPr>
          <w:rFonts w:ascii="Arial" w:cs="Arial" w:eastAsia="Arial" w:hAnsi="Arial"/>
          <w:sz w:val="21"/>
          <w:szCs w:val="21"/>
          <w:color w:val="auto"/>
        </w:rPr>
      </w:pPr>
    </w:p>
    <w:p>
      <w:pPr>
        <w:ind w:left="1944" w:right="80" w:hanging="647"/>
        <w:spacing w:after="0" w:line="258" w:lineRule="auto"/>
        <w:tabs>
          <w:tab w:leader="none" w:pos="1944" w:val="left"/>
        </w:tabs>
        <w:numPr>
          <w:ilvl w:val="1"/>
          <w:numId w:val="11"/>
        </w:numPr>
        <w:rPr>
          <w:rFonts w:ascii="Arial" w:cs="Arial" w:eastAsia="Arial" w:hAnsi="Arial"/>
          <w:sz w:val="21"/>
          <w:szCs w:val="21"/>
          <w:color w:val="auto"/>
        </w:rPr>
      </w:pPr>
      <w:r>
        <w:rPr>
          <w:rFonts w:ascii="Arial" w:cs="Arial" w:eastAsia="Arial" w:hAnsi="Arial"/>
          <w:sz w:val="21"/>
          <w:szCs w:val="21"/>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83" w:lineRule="exact"/>
        <w:rPr>
          <w:rFonts w:ascii="Arial" w:cs="Arial" w:eastAsia="Arial" w:hAnsi="Arial"/>
          <w:sz w:val="21"/>
          <w:szCs w:val="21"/>
          <w:color w:val="auto"/>
        </w:rPr>
      </w:pPr>
    </w:p>
    <w:p>
      <w:pPr>
        <w:ind w:left="1944" w:right="60"/>
        <w:spacing w:after="0" w:line="285" w:lineRule="auto"/>
        <w:rPr>
          <w:rFonts w:ascii="Arial" w:cs="Arial" w:eastAsia="Arial" w:hAnsi="Arial"/>
          <w:sz w:val="21"/>
          <w:szCs w:val="21"/>
          <w:color w:val="auto"/>
        </w:rPr>
      </w:pPr>
      <w:r>
        <w:rPr>
          <w:rFonts w:ascii="Arial" w:cs="Arial" w:eastAsia="Arial" w:hAnsi="Arial"/>
          <w:sz w:val="19"/>
          <w:szCs w:val="19"/>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200" w:lineRule="exact"/>
        <w:rPr>
          <w:rFonts w:ascii="Arial" w:cs="Arial" w:eastAsia="Arial" w:hAnsi="Arial"/>
          <w:sz w:val="21"/>
          <w:szCs w:val="21"/>
          <w:color w:val="auto"/>
        </w:rPr>
      </w:pPr>
    </w:p>
    <w:p>
      <w:pPr>
        <w:spacing w:after="0" w:line="218" w:lineRule="exact"/>
        <w:rPr>
          <w:rFonts w:ascii="Arial" w:cs="Arial" w:eastAsia="Arial" w:hAnsi="Arial"/>
          <w:sz w:val="21"/>
          <w:szCs w:val="21"/>
          <w:color w:val="auto"/>
        </w:rPr>
      </w:pPr>
    </w:p>
    <w:p>
      <w:pPr>
        <w:ind w:left="1944" w:right="80" w:hanging="647"/>
        <w:spacing w:after="0" w:line="290" w:lineRule="auto"/>
        <w:tabs>
          <w:tab w:leader="none" w:pos="1944"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56" w:lineRule="exact"/>
        <w:rPr>
          <w:rFonts w:ascii="Arial" w:cs="Arial" w:eastAsia="Arial" w:hAnsi="Arial"/>
          <w:sz w:val="19"/>
          <w:szCs w:val="19"/>
          <w:color w:val="auto"/>
        </w:rPr>
      </w:pPr>
    </w:p>
    <w:p>
      <w:pPr>
        <w:ind w:left="644" w:right="60" w:hanging="644"/>
        <w:spacing w:after="0" w:line="286" w:lineRule="auto"/>
        <w:tabs>
          <w:tab w:leader="none" w:pos="644"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Limitation on Benefits</w:t>
      </w:r>
      <w:r>
        <w:rPr>
          <w:rFonts w:ascii="Arial" w:cs="Arial" w:eastAsia="Arial" w:hAnsi="Arial"/>
          <w:sz w:val="19"/>
          <w:szCs w:val="19"/>
          <w:color w:val="auto"/>
        </w:rPr>
        <w:t>. The amounts paid to you pursuant to Subsections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w:t>
      </w:r>
    </w:p>
    <w:p>
      <w:pPr>
        <w:sectPr>
          <w:pgSz w:w="11900" w:h="16838" w:orient="portrait"/>
          <w:cols w:equalWidth="0" w:num="1">
            <w:col w:w="10764"/>
          </w:cols>
          <w:pgMar w:left="896" w:top="132" w:right="239" w:bottom="0" w:gutter="0" w:footer="0" w:header="0"/>
        </w:sectPr>
      </w:pPr>
    </w:p>
    <w:bookmarkStart w:id="9" w:name="page10"/>
    <w:bookmarkEnd w:id="9"/>
    <w:p>
      <w:pPr>
        <w:spacing w:after="0" w:line="87" w:lineRule="exact"/>
        <w:rPr>
          <w:sz w:val="20"/>
          <w:szCs w:val="20"/>
          <w:color w:val="auto"/>
        </w:rPr>
      </w:pPr>
    </w:p>
    <w:p>
      <w:pPr>
        <w:ind w:left="1292" w:right="760"/>
        <w:spacing w:after="0" w:line="263" w:lineRule="auto"/>
        <w:rPr>
          <w:sz w:val="20"/>
          <w:szCs w:val="20"/>
          <w:color w:val="auto"/>
        </w:rPr>
      </w:pPr>
      <w:r>
        <w:rPr>
          <w:rFonts w:ascii="Arial" w:cs="Arial" w:eastAsia="Arial" w:hAnsi="Arial"/>
          <w:sz w:val="22"/>
          <w:szCs w:val="22"/>
          <w:color w:val="auto"/>
        </w:rPr>
        <w:t>Subsection 2(d)(iii) would result in a greater after-tax amount to you, the amount payable to you pursuant to Subsection 2(d)(iii) shall not be reduced.</w:t>
      </w:r>
    </w:p>
    <w:p>
      <w:pPr>
        <w:spacing w:after="0" w:line="175" w:lineRule="exact"/>
        <w:rPr>
          <w:sz w:val="20"/>
          <w:szCs w:val="20"/>
          <w:color w:val="auto"/>
        </w:rPr>
      </w:pPr>
    </w:p>
    <w:p>
      <w:pPr>
        <w:ind w:left="1292" w:hanging="644"/>
        <w:spacing w:after="0" w:line="259" w:lineRule="auto"/>
        <w:tabs>
          <w:tab w:leader="none" w:pos="1292"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Timing of Payments</w:t>
      </w:r>
      <w:r>
        <w:rPr>
          <w:rFonts w:ascii="Arial" w:cs="Arial" w:eastAsia="Arial" w:hAnsi="Arial"/>
          <w:sz w:val="20"/>
          <w:szCs w:val="20"/>
          <w:color w:val="auto"/>
        </w:rPr>
        <w:t>. The bonus payment provided for in Subsections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after the Date of Termination. The severance benefit provided for in Subsections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w:t>
      </w:r>
    </w:p>
    <w:p>
      <w:pPr>
        <w:spacing w:after="0" w:line="2" w:lineRule="exact"/>
        <w:rPr>
          <w:rFonts w:ascii="Arial" w:cs="Arial" w:eastAsia="Arial" w:hAnsi="Arial"/>
          <w:sz w:val="20"/>
          <w:szCs w:val="20"/>
          <w:color w:val="auto"/>
        </w:rPr>
      </w:pPr>
    </w:p>
    <w:p>
      <w:pPr>
        <w:ind w:left="1292" w:right="40"/>
        <w:spacing w:after="0" w:line="286" w:lineRule="auto"/>
        <w:rPr>
          <w:rFonts w:ascii="Arial" w:cs="Arial" w:eastAsia="Arial" w:hAnsi="Arial"/>
          <w:sz w:val="20"/>
          <w:szCs w:val="20"/>
          <w:color w:val="auto"/>
        </w:rPr>
      </w:pPr>
      <w:r>
        <w:rPr>
          <w:rFonts w:ascii="Arial" w:cs="Arial" w:eastAsia="Arial" w:hAnsi="Arial"/>
          <w:sz w:val="19"/>
          <w:szCs w:val="19"/>
          <w:color w:val="auto"/>
        </w:rPr>
        <w:t xml:space="preserve">(i)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Midwest edition (or, if not so reported, as reported in such other similar source(s) as the Corporation shall select).</w:t>
      </w:r>
    </w:p>
    <w:p>
      <w:pPr>
        <w:spacing w:after="0" w:line="201" w:lineRule="exact"/>
        <w:rPr>
          <w:rFonts w:ascii="Arial" w:cs="Arial" w:eastAsia="Arial" w:hAnsi="Arial"/>
          <w:sz w:val="20"/>
          <w:szCs w:val="20"/>
          <w:color w:val="auto"/>
        </w:rPr>
      </w:pPr>
    </w:p>
    <w:p>
      <w:pPr>
        <w:ind w:left="1292" w:right="40" w:hanging="644"/>
        <w:spacing w:after="0" w:line="251" w:lineRule="auto"/>
        <w:tabs>
          <w:tab w:leader="none" w:pos="1292" w:val="left"/>
        </w:tabs>
        <w:numPr>
          <w:ilvl w:val="1"/>
          <w:numId w:val="13"/>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Notwithstanding the foregoing, you will have no right to receive any payment or benefit described in Subsections 2(c)(ii)-(v)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 after the Date of Termination.</w:t>
      </w:r>
    </w:p>
    <w:p>
      <w:pPr>
        <w:spacing w:after="0" w:line="233" w:lineRule="exact"/>
        <w:rPr>
          <w:rFonts w:ascii="Arial" w:cs="Arial" w:eastAsia="Arial" w:hAnsi="Arial"/>
          <w:sz w:val="21"/>
          <w:szCs w:val="21"/>
          <w:color w:val="auto"/>
        </w:rPr>
      </w:pPr>
    </w:p>
    <w:p>
      <w:pPr>
        <w:ind w:left="1292" w:right="40" w:hanging="644"/>
        <w:spacing w:after="0" w:line="248" w:lineRule="auto"/>
        <w:tabs>
          <w:tab w:leader="none" w:pos="1292"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32" w:lineRule="exact"/>
        <w:rPr>
          <w:rFonts w:ascii="Arial" w:cs="Arial" w:eastAsia="Arial" w:hAnsi="Arial"/>
          <w:sz w:val="22"/>
          <w:szCs w:val="22"/>
          <w:color w:val="auto"/>
        </w:rPr>
      </w:pPr>
    </w:p>
    <w:p>
      <w:pPr>
        <w:ind w:left="652" w:hanging="652"/>
        <w:spacing w:after="0"/>
        <w:tabs>
          <w:tab w:leader="none" w:pos="652"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20" w:hanging="644"/>
        <w:spacing w:after="0" w:line="286" w:lineRule="auto"/>
        <w:tabs>
          <w:tab w:leader="none" w:pos="1292" w:val="left"/>
        </w:tabs>
        <w:numPr>
          <w:ilvl w:val="1"/>
          <w:numId w:val="14"/>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292" w:right="220" w:hanging="644"/>
        <w:spacing w:after="0" w:line="261" w:lineRule="auto"/>
        <w:tabs>
          <w:tab w:leader="none" w:pos="1292" w:val="left"/>
        </w:tabs>
        <w:numPr>
          <w:ilvl w:val="1"/>
          <w:numId w:val="14"/>
        </w:numPr>
        <w:rPr>
          <w:rFonts w:ascii="Arial" w:cs="Arial" w:eastAsia="Arial" w:hAnsi="Arial"/>
          <w:sz w:val="21"/>
          <w:szCs w:val="21"/>
          <w:color w:val="auto"/>
        </w:rPr>
      </w:pPr>
      <w:r>
        <w:rPr>
          <w:rFonts w:ascii="Arial" w:cs="Arial" w:eastAsia="Arial" w:hAnsi="Arial"/>
          <w:sz w:val="21"/>
          <w:szCs w:val="21"/>
          <w:color w:val="auto"/>
        </w:rPr>
        <w:t>You will not, directly or indirectly, at any time during the term of your employment with the Consolidated Manpower Group, or any time thereafter use or disclose any Trade Secret of the Consolidated ManpowerGroup. The term “Trade Secret” shall have the meaning afforded under applicable law. Nothing in this Agreement shall limit or supersede any common law, statutory or other protections of trade secrets or privileged information where such protections provide the Consolidated ManpowerGroup with greater rights or protections for a longer duration than provided in this Agreement.</w:t>
      </w:r>
    </w:p>
    <w:p>
      <w:pPr>
        <w:sectPr>
          <w:pgSz w:w="11900" w:h="16926" w:orient="portrait"/>
          <w:cols w:equalWidth="0" w:num="1">
            <w:col w:w="11412"/>
          </w:cols>
          <w:pgMar w:left="248" w:top="132" w:right="239" w:bottom="0" w:gutter="0" w:footer="0" w:header="0"/>
        </w:sectPr>
      </w:pPr>
    </w:p>
    <w:bookmarkStart w:id="10" w:name="page11"/>
    <w:bookmarkEnd w:id="10"/>
    <w:p>
      <w:pPr>
        <w:spacing w:after="0" w:line="62" w:lineRule="exact"/>
        <w:rPr>
          <w:sz w:val="20"/>
          <w:szCs w:val="20"/>
          <w:color w:val="auto"/>
        </w:rPr>
      </w:pPr>
    </w:p>
    <w:p>
      <w:pPr>
        <w:ind w:left="1292" w:right="60" w:hanging="644"/>
        <w:spacing w:after="0" w:line="288" w:lineRule="auto"/>
        <w:tabs>
          <w:tab w:leader="none" w:pos="1292" w:val="left"/>
        </w:tabs>
        <w:numPr>
          <w:ilvl w:val="1"/>
          <w:numId w:val="15"/>
        </w:numPr>
        <w:rPr>
          <w:rFonts w:ascii="Arial" w:cs="Arial" w:eastAsia="Arial" w:hAnsi="Arial"/>
          <w:sz w:val="19"/>
          <w:szCs w:val="19"/>
          <w:color w:val="auto"/>
        </w:rPr>
      </w:pPr>
      <w:r>
        <w:rPr>
          <w:rFonts w:ascii="Arial" w:cs="Arial" w:eastAsia="Arial" w:hAnsi="Arial"/>
          <w:sz w:val="19"/>
          <w:szCs w:val="19"/>
          <w:color w:val="auto"/>
        </w:rPr>
        <w:t>With respect to the disclosure of a Trade Secret and in accordance with 18 U.S.C.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60" w:lineRule="exact"/>
        <w:rPr>
          <w:rFonts w:ascii="Arial" w:cs="Arial" w:eastAsia="Arial" w:hAnsi="Arial"/>
          <w:sz w:val="19"/>
          <w:szCs w:val="19"/>
          <w:color w:val="auto"/>
        </w:rPr>
      </w:pPr>
    </w:p>
    <w:p>
      <w:pPr>
        <w:ind w:left="1292" w:right="40" w:hanging="644"/>
        <w:spacing w:after="0" w:line="248" w:lineRule="auto"/>
        <w:tabs>
          <w:tab w:leader="none" w:pos="1292" w:val="left"/>
        </w:tabs>
        <w:numPr>
          <w:ilvl w:val="1"/>
          <w:numId w:val="15"/>
        </w:numPr>
        <w:rPr>
          <w:rFonts w:ascii="Arial" w:cs="Arial" w:eastAsia="Arial" w:hAnsi="Arial"/>
          <w:sz w:val="22"/>
          <w:szCs w:val="22"/>
          <w:color w:val="auto"/>
        </w:rPr>
      </w:pPr>
      <w:r>
        <w:rPr>
          <w:rFonts w:ascii="Arial" w:cs="Arial" w:eastAsia="Arial" w:hAnsi="Arial"/>
          <w:sz w:val="22"/>
          <w:szCs w:val="22"/>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92" w:lineRule="exact"/>
        <w:rPr>
          <w:rFonts w:ascii="Arial" w:cs="Arial" w:eastAsia="Arial" w:hAnsi="Arial"/>
          <w:sz w:val="22"/>
          <w:szCs w:val="22"/>
          <w:color w:val="auto"/>
        </w:rPr>
      </w:pPr>
    </w:p>
    <w:p>
      <w:pPr>
        <w:ind w:left="652" w:hanging="652"/>
        <w:spacing w:after="0" w:line="290" w:lineRule="auto"/>
        <w:tabs>
          <w:tab w:leader="none" w:pos="652"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197" w:lineRule="exact"/>
        <w:rPr>
          <w:rFonts w:ascii="Arial" w:cs="Arial" w:eastAsia="Arial" w:hAnsi="Arial"/>
          <w:sz w:val="19"/>
          <w:szCs w:val="19"/>
          <w:color w:val="auto"/>
        </w:rPr>
      </w:pPr>
    </w:p>
    <w:p>
      <w:pPr>
        <w:ind w:left="652" w:right="120" w:hanging="652"/>
        <w:spacing w:after="0" w:line="250" w:lineRule="auto"/>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Restrictions During Employment</w:t>
      </w:r>
      <w:r>
        <w:rPr>
          <w:rFonts w:ascii="Arial" w:cs="Arial" w:eastAsia="Arial" w:hAnsi="Arial"/>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228" w:lineRule="exact"/>
        <w:rPr>
          <w:rFonts w:ascii="Arial" w:cs="Arial" w:eastAsia="Arial" w:hAnsi="Arial"/>
          <w:sz w:val="22"/>
          <w:szCs w:val="22"/>
          <w:color w:val="auto"/>
        </w:rPr>
      </w:pPr>
    </w:p>
    <w:p>
      <w:pPr>
        <w:ind w:left="652" w:right="220" w:hanging="652"/>
        <w:spacing w:after="0" w:line="263" w:lineRule="auto"/>
        <w:tabs>
          <w:tab w:leader="none" w:pos="65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Noncompetition Agreement</w:t>
      </w:r>
      <w:r>
        <w:rPr>
          <w:rFonts w:ascii="Arial" w:cs="Arial" w:eastAsia="Arial" w:hAnsi="Arial"/>
          <w:sz w:val="22"/>
          <w:szCs w:val="22"/>
          <w:color w:val="auto"/>
        </w:rPr>
        <w:t>. During the one-year period which immediately follows the termination, for whatever reason, of your employment with the Consolidated ManpowerGroup:</w:t>
      </w:r>
    </w:p>
    <w:p>
      <w:pPr>
        <w:spacing w:after="0" w:line="215" w:lineRule="exact"/>
        <w:rPr>
          <w:rFonts w:ascii="Arial" w:cs="Arial" w:eastAsia="Arial" w:hAnsi="Arial"/>
          <w:sz w:val="22"/>
          <w:szCs w:val="22"/>
          <w:color w:val="auto"/>
        </w:rPr>
      </w:pPr>
    </w:p>
    <w:p>
      <w:pPr>
        <w:ind w:left="972" w:right="20" w:hanging="324"/>
        <w:spacing w:after="0" w:line="259" w:lineRule="exact"/>
        <w:tabs>
          <w:tab w:leader="none" w:pos="972" w:val="left"/>
        </w:tabs>
        <w:numPr>
          <w:ilvl w:val="1"/>
          <w:numId w:val="16"/>
        </w:numPr>
        <w:rPr>
          <w:rFonts w:ascii="Arial" w:cs="Arial" w:eastAsia="Arial" w:hAnsi="Arial"/>
          <w:sz w:val="21"/>
          <w:szCs w:val="21"/>
          <w:color w:val="auto"/>
        </w:rPr>
      </w:pPr>
      <w:r>
        <w:rPr>
          <w:rFonts w:ascii="Arial" w:cs="Arial" w:eastAsia="Arial" w:hAnsi="Arial"/>
          <w:sz w:val="21"/>
          <w:szCs w:val="21"/>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21"/>
          <w:szCs w:val="21"/>
          <w:color w:val="auto"/>
        </w:rPr>
        <w:t>‑</w:t>
      </w:r>
      <w:r>
        <w:rPr>
          <w:rFonts w:ascii="Arial" w:cs="Arial" w:eastAsia="Arial" w:hAnsi="Arial"/>
          <w:sz w:val="21"/>
          <w:szCs w:val="21"/>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21"/>
          <w:szCs w:val="21"/>
          <w:color w:val="auto"/>
        </w:rPr>
        <w:t>‑</w:t>
      </w:r>
      <w:r>
        <w:rPr>
          <w:rFonts w:ascii="Arial" w:cs="Arial" w:eastAsia="Arial" w:hAnsi="Arial"/>
          <w:sz w:val="21"/>
          <w:szCs w:val="21"/>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44" w:lineRule="exact"/>
        <w:rPr>
          <w:rFonts w:ascii="Arial" w:cs="Arial" w:eastAsia="Arial" w:hAnsi="Arial"/>
          <w:sz w:val="21"/>
          <w:szCs w:val="21"/>
          <w:color w:val="auto"/>
        </w:rPr>
      </w:pPr>
    </w:p>
    <w:p>
      <w:pPr>
        <w:jc w:val="both"/>
        <w:ind w:left="972" w:right="100" w:hanging="324"/>
        <w:spacing w:after="0" w:line="291" w:lineRule="auto"/>
        <w:tabs>
          <w:tab w:leader="none" w:pos="972" w:val="left"/>
        </w:tabs>
        <w:numPr>
          <w:ilvl w:val="1"/>
          <w:numId w:val="16"/>
        </w:numPr>
        <w:rPr>
          <w:rFonts w:ascii="Arial" w:cs="Arial" w:eastAsia="Arial" w:hAnsi="Arial"/>
          <w:sz w:val="19"/>
          <w:szCs w:val="19"/>
          <w:color w:val="auto"/>
        </w:rPr>
      </w:pPr>
      <w:r>
        <w:rPr>
          <w:rFonts w:ascii="Arial" w:cs="Arial" w:eastAsia="Arial" w:hAnsi="Arial"/>
          <w:sz w:val="19"/>
          <w:szCs w:val="19"/>
          <w:color w:val="auto"/>
        </w:rPr>
        <w:t>You will not, directly or indirectly, provide services or assistance of a nature similar to the services you provided to the Consolidated ManpowerGroup during the two-year period immediately preceding the Date of Termination to any entity</w:t>
      </w:r>
    </w:p>
    <w:p>
      <w:pPr>
        <w:spacing w:after="0" w:line="1" w:lineRule="exact"/>
        <w:rPr>
          <w:rFonts w:ascii="Arial" w:cs="Arial" w:eastAsia="Arial" w:hAnsi="Arial"/>
          <w:sz w:val="19"/>
          <w:szCs w:val="19"/>
          <w:color w:val="auto"/>
        </w:rPr>
      </w:pPr>
    </w:p>
    <w:p>
      <w:pPr>
        <w:ind w:left="972"/>
        <w:spacing w:after="0" w:line="256" w:lineRule="exact"/>
        <w:tabs>
          <w:tab w:leader="none" w:pos="1230" w:val="left"/>
        </w:tabs>
        <w:numPr>
          <w:ilvl w:val="2"/>
          <w:numId w:val="16"/>
        </w:numPr>
        <w:rPr>
          <w:rFonts w:ascii="Arial" w:cs="Arial" w:eastAsia="Arial" w:hAnsi="Arial"/>
          <w:sz w:val="19"/>
          <w:szCs w:val="19"/>
          <w:color w:val="auto"/>
        </w:rPr>
      </w:pPr>
      <w:r>
        <w:rPr>
          <w:rFonts w:ascii="Arial" w:cs="Arial" w:eastAsia="Arial" w:hAnsi="Arial"/>
          <w:sz w:val="19"/>
          <w:szCs w:val="19"/>
          <w:color w:val="auto"/>
        </w:rPr>
        <w:t>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19"/>
          <w:szCs w:val="19"/>
          <w:color w:val="auto"/>
        </w:rPr>
        <w:t>‑</w:t>
      </w:r>
      <w:r>
        <w:rPr>
          <w:rFonts w:ascii="Arial" w:cs="Arial" w:eastAsia="Arial" w:hAnsi="Arial"/>
          <w:sz w:val="19"/>
          <w:szCs w:val="19"/>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47" w:lineRule="exact"/>
        <w:rPr>
          <w:rFonts w:ascii="Arial" w:cs="Arial" w:eastAsia="Arial" w:hAnsi="Arial"/>
          <w:sz w:val="19"/>
          <w:szCs w:val="19"/>
          <w:color w:val="auto"/>
        </w:rPr>
      </w:pPr>
    </w:p>
    <w:p>
      <w:pPr>
        <w:ind w:left="372" w:hanging="372"/>
        <w:spacing w:after="0"/>
        <w:tabs>
          <w:tab w:leader="none" w:pos="372"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60" w:hanging="644"/>
        <w:spacing w:after="0" w:line="292" w:lineRule="auto"/>
        <w:tabs>
          <w:tab w:leader="none" w:pos="1292"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w:t>
      </w:r>
    </w:p>
    <w:p>
      <w:pPr>
        <w:sectPr>
          <w:pgSz w:w="11900" w:h="16900" w:orient="portrait"/>
          <w:cols w:equalWidth="0" w:num="1">
            <w:col w:w="11412"/>
          </w:cols>
          <w:pgMar w:left="248" w:top="334" w:right="239" w:bottom="0" w:gutter="0" w:footer="0" w:header="0"/>
        </w:sectPr>
      </w:pPr>
    </w:p>
    <w:bookmarkStart w:id="11" w:name="page12"/>
    <w:bookmarkEnd w:id="11"/>
    <w:p>
      <w:pPr>
        <w:spacing w:after="0" w:line="93" w:lineRule="exact"/>
        <w:rPr>
          <w:sz w:val="20"/>
          <w:szCs w:val="20"/>
          <w:color w:val="auto"/>
        </w:rPr>
      </w:pPr>
    </w:p>
    <w:p>
      <w:pPr>
        <w:ind w:left="1292" w:right="40"/>
        <w:spacing w:after="0" w:line="263" w:lineRule="auto"/>
        <w:rPr>
          <w:sz w:val="20"/>
          <w:szCs w:val="20"/>
          <w:color w:val="auto"/>
        </w:rPr>
      </w:pPr>
      <w:r>
        <w:rPr>
          <w:rFonts w:ascii="Arial" w:cs="Arial" w:eastAsia="Arial" w:hAnsi="Arial"/>
          <w:sz w:val="22"/>
          <w:szCs w:val="22"/>
          <w:color w:val="auto"/>
        </w:rPr>
        <w:t>violation, of such restrictions by you and by any other person or entity for whom you may be acting or who is acting for you or in concert with you.</w:t>
      </w:r>
    </w:p>
    <w:p>
      <w:pPr>
        <w:spacing w:after="0" w:line="175" w:lineRule="exact"/>
        <w:rPr>
          <w:sz w:val="20"/>
          <w:szCs w:val="20"/>
          <w:color w:val="auto"/>
        </w:rPr>
      </w:pPr>
    </w:p>
    <w:p>
      <w:pPr>
        <w:ind w:left="1292" w:right="220" w:hanging="644"/>
        <w:spacing w:after="0" w:line="263" w:lineRule="auto"/>
        <w:tabs>
          <w:tab w:leader="none" w:pos="1292"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Equitable Extension</w:t>
      </w:r>
      <w:r>
        <w:rPr>
          <w:rFonts w:ascii="Arial" w:cs="Arial" w:eastAsia="Arial" w:hAnsi="Arial"/>
          <w:sz w:val="22"/>
          <w:szCs w:val="22"/>
          <w:color w:val="auto"/>
        </w:rPr>
        <w:t>. The duration of any restriction in Sections 3-6, above, will be extended by any period during which such restriction is violated by you.</w:t>
      </w:r>
    </w:p>
    <w:p>
      <w:pPr>
        <w:spacing w:after="0" w:line="174" w:lineRule="exact"/>
        <w:rPr>
          <w:rFonts w:ascii="Arial" w:cs="Arial" w:eastAsia="Arial" w:hAnsi="Arial"/>
          <w:sz w:val="22"/>
          <w:szCs w:val="22"/>
          <w:color w:val="auto"/>
        </w:rPr>
      </w:pPr>
    </w:p>
    <w:p>
      <w:pPr>
        <w:jc w:val="both"/>
        <w:ind w:left="1292" w:right="300" w:hanging="644"/>
        <w:spacing w:after="0" w:line="271" w:lineRule="auto"/>
        <w:tabs>
          <w:tab w:leader="none" w:pos="1292" w:val="left"/>
        </w:tabs>
        <w:numPr>
          <w:ilvl w:val="1"/>
          <w:numId w:val="17"/>
        </w:numPr>
        <w:rPr>
          <w:rFonts w:ascii="Arial" w:cs="Arial" w:eastAsia="Arial" w:hAnsi="Arial"/>
          <w:sz w:val="21"/>
          <w:szCs w:val="21"/>
          <w:color w:val="auto"/>
        </w:rPr>
      </w:pPr>
      <w:r>
        <w:rPr>
          <w:rFonts w:ascii="Arial" w:cs="Arial" w:eastAsia="Arial" w:hAnsi="Arial"/>
          <w:sz w:val="21"/>
          <w:szCs w:val="21"/>
          <w:u w:val="single" w:color="auto"/>
          <w:color w:val="auto"/>
        </w:rPr>
        <w:t>Nonapplication</w:t>
      </w:r>
      <w:r>
        <w:rPr>
          <w:rFonts w:ascii="Arial" w:cs="Arial" w:eastAsia="Arial" w:hAnsi="Arial"/>
          <w:sz w:val="21"/>
          <w:szCs w:val="21"/>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208" w:lineRule="exact"/>
        <w:rPr>
          <w:rFonts w:ascii="Arial" w:cs="Arial" w:eastAsia="Arial" w:hAnsi="Arial"/>
          <w:sz w:val="21"/>
          <w:szCs w:val="21"/>
          <w:color w:val="auto"/>
        </w:rPr>
      </w:pPr>
    </w:p>
    <w:p>
      <w:pPr>
        <w:ind w:left="652" w:right="100" w:hanging="652"/>
        <w:spacing w:after="0" w:line="260" w:lineRule="exact"/>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Unemployment Compensation</w:t>
      </w:r>
      <w:r>
        <w:rPr>
          <w:rFonts w:ascii="Arial" w:cs="Arial" w:eastAsia="Arial" w:hAnsi="Arial"/>
          <w:sz w:val="22"/>
          <w:szCs w:val="22"/>
          <w:color w:val="auto"/>
        </w:rPr>
        <w:t>. The severance benefits provided for in Subsection 2(c)(iii) will be assigned for unemployment compensation benefit purposes to the one</w:t>
      </w:r>
      <w:r>
        <w:rPr>
          <w:rFonts w:ascii="MS PGothic" w:cs="MS PGothic" w:eastAsia="MS PGothic" w:hAnsi="MS PGothic"/>
          <w:sz w:val="22"/>
          <w:szCs w:val="22"/>
          <w:color w:val="auto"/>
        </w:rPr>
        <w:t>‑</w:t>
      </w:r>
      <w:r>
        <w:rPr>
          <w:rFonts w:ascii="Arial" w:cs="Arial" w:eastAsia="Arial" w:hAnsi="Arial"/>
          <w:sz w:val="22"/>
          <w:szCs w:val="22"/>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22"/>
          <w:szCs w:val="22"/>
          <w:color w:val="auto"/>
        </w:rPr>
        <w:t>‑</w:t>
      </w:r>
      <w:r>
        <w:rPr>
          <w:rFonts w:ascii="Arial" w:cs="Arial" w:eastAsia="Arial" w:hAnsi="Arial"/>
          <w:sz w:val="22"/>
          <w:szCs w:val="22"/>
          <w:color w:val="auto"/>
        </w:rPr>
        <w:t>year period following the Date of Termination, and you will be ineligible to receive, and you agree not to apply for, unemployment compensation during such periods.</w:t>
      </w:r>
    </w:p>
    <w:p>
      <w:pPr>
        <w:spacing w:after="0" w:line="202" w:lineRule="exact"/>
        <w:rPr>
          <w:rFonts w:ascii="Arial" w:cs="Arial" w:eastAsia="Arial" w:hAnsi="Arial"/>
          <w:sz w:val="22"/>
          <w:szCs w:val="22"/>
          <w:color w:val="auto"/>
        </w:rPr>
      </w:pPr>
    </w:p>
    <w:p>
      <w:pPr>
        <w:ind w:left="652" w:right="20" w:hanging="652"/>
        <w:spacing w:after="0" w:line="288"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60" w:lineRule="exact"/>
        <w:rPr>
          <w:rFonts w:ascii="Arial" w:cs="Arial" w:eastAsia="Arial" w:hAnsi="Arial"/>
          <w:sz w:val="19"/>
          <w:szCs w:val="19"/>
          <w:color w:val="auto"/>
        </w:rPr>
      </w:pPr>
    </w:p>
    <w:p>
      <w:pPr>
        <w:ind w:left="652" w:right="140" w:hanging="652"/>
        <w:spacing w:after="0" w:line="287" w:lineRule="auto"/>
        <w:tabs>
          <w:tab w:leader="none" w:pos="652"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letter agreement will be binding on the Corporation and its successors and will inure to the benefit of and be enforceable by your personal or legal representatives, heirs and successors.</w:t>
      </w:r>
    </w:p>
    <w:p>
      <w:pPr>
        <w:spacing w:after="0" w:line="192" w:lineRule="exact"/>
        <w:rPr>
          <w:rFonts w:ascii="Arial" w:cs="Arial" w:eastAsia="Arial" w:hAnsi="Arial"/>
          <w:sz w:val="21"/>
          <w:szCs w:val="21"/>
          <w:color w:val="auto"/>
        </w:rPr>
      </w:pPr>
    </w:p>
    <w:p>
      <w:pPr>
        <w:ind w:left="652" w:hanging="652"/>
        <w:spacing w:after="0" w:line="271" w:lineRule="auto"/>
        <w:tabs>
          <w:tab w:leader="none" w:pos="652"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21"/>
          <w:szCs w:val="21"/>
          <w:color w:val="auto"/>
        </w:rPr>
      </w:pPr>
    </w:p>
    <w:p>
      <w:pPr>
        <w:ind w:left="652" w:right="60" w:hanging="652"/>
        <w:spacing w:after="0" w:line="265" w:lineRule="auto"/>
        <w:tabs>
          <w:tab w:leader="none" w:pos="652"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No Right to Remain Employed</w:t>
      </w:r>
      <w:r>
        <w:rPr>
          <w:rFonts w:ascii="Arial" w:cs="Arial" w:eastAsia="Arial" w:hAnsi="Arial"/>
          <w:sz w:val="21"/>
          <w:szCs w:val="21"/>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216" w:lineRule="exact"/>
        <w:rPr>
          <w:rFonts w:ascii="Arial" w:cs="Arial" w:eastAsia="Arial" w:hAnsi="Arial"/>
          <w:sz w:val="21"/>
          <w:szCs w:val="21"/>
          <w:color w:val="auto"/>
        </w:rPr>
      </w:pPr>
    </w:p>
    <w:p>
      <w:pPr>
        <w:ind w:left="652" w:right="680" w:hanging="652"/>
        <w:spacing w:after="0" w:line="263"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may be modified, waived or discharged unless such waiver, modification or discharge is agreed to in writing by you and the Corporation.</w:t>
      </w:r>
    </w:p>
    <w:p>
      <w:pPr>
        <w:spacing w:after="0" w:line="215" w:lineRule="exact"/>
        <w:rPr>
          <w:rFonts w:ascii="Arial" w:cs="Arial" w:eastAsia="Arial" w:hAnsi="Arial"/>
          <w:sz w:val="22"/>
          <w:szCs w:val="22"/>
          <w:color w:val="auto"/>
        </w:rPr>
      </w:pPr>
    </w:p>
    <w:p>
      <w:pPr>
        <w:ind w:left="652" w:right="160" w:hanging="652"/>
        <w:spacing w:after="0" w:line="343"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45" w:lineRule="exact"/>
        <w:rPr>
          <w:rFonts w:ascii="Arial" w:cs="Arial" w:eastAsia="Arial" w:hAnsi="Arial"/>
          <w:sz w:val="19"/>
          <w:szCs w:val="19"/>
          <w:color w:val="auto"/>
        </w:rPr>
      </w:pPr>
    </w:p>
    <w:p>
      <w:pPr>
        <w:ind w:left="652" w:right="460" w:hanging="652"/>
        <w:spacing w:after="0" w:line="263"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interpreted in accordance with the laws of the State of New York, United States of America, without regard to its conflict of law provisions.</w:t>
      </w:r>
    </w:p>
    <w:p>
      <w:pPr>
        <w:spacing w:after="0" w:line="215" w:lineRule="exact"/>
        <w:rPr>
          <w:rFonts w:ascii="Arial" w:cs="Arial" w:eastAsia="Arial" w:hAnsi="Arial"/>
          <w:sz w:val="22"/>
          <w:szCs w:val="22"/>
          <w:color w:val="auto"/>
        </w:rPr>
      </w:pPr>
    </w:p>
    <w:p>
      <w:pPr>
        <w:ind w:left="652" w:right="160" w:hanging="652"/>
        <w:spacing w:after="0" w:line="294"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0" w:lineRule="exact"/>
        <w:rPr>
          <w:rFonts w:ascii="Arial" w:cs="Arial" w:eastAsia="Arial" w:hAnsi="Arial"/>
          <w:sz w:val="19"/>
          <w:szCs w:val="19"/>
          <w:color w:val="auto"/>
        </w:rPr>
      </w:pPr>
    </w:p>
    <w:p>
      <w:pPr>
        <w:ind w:left="652" w:right="140" w:hanging="652"/>
        <w:spacing w:after="0" w:line="247" w:lineRule="auto"/>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Previous Agreements</w:t>
      </w:r>
      <w:r>
        <w:rPr>
          <w:rFonts w:ascii="Arial" w:cs="Arial" w:eastAsia="Arial" w:hAnsi="Arial"/>
          <w:sz w:val="22"/>
          <w:szCs w:val="22"/>
          <w:color w:val="auto"/>
        </w:rPr>
        <w:t>. This letter, upon acceptance by you, expressly supersedes any and all previous agreements or understandings relating to your employment by the Corporation or the Consolidated ManpowerGroup, except for the letter from the Corporation to you dated July 8, 2005, regarding the Corporation’s offer of employment to you (provided this letter will supersede the sections of that prior letter concerning severance protection and restrictive covenants) or the termination of such employment, and any such agreements or understandings shall, as of the date of your acceptance, have no further force or effect.</w:t>
      </w:r>
    </w:p>
    <w:p>
      <w:pPr>
        <w:spacing w:after="0" w:line="234" w:lineRule="exact"/>
        <w:rPr>
          <w:rFonts w:ascii="Arial" w:cs="Arial" w:eastAsia="Arial" w:hAnsi="Arial"/>
          <w:sz w:val="22"/>
          <w:szCs w:val="22"/>
          <w:color w:val="auto"/>
        </w:rPr>
      </w:pPr>
    </w:p>
    <w:p>
      <w:pPr>
        <w:ind w:left="652" w:right="100" w:hanging="652"/>
        <w:spacing w:after="0" w:line="312"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w:t>
      </w:r>
    </w:p>
    <w:p>
      <w:pPr>
        <w:sectPr>
          <w:pgSz w:w="11900" w:h="16931" w:orient="portrait"/>
          <w:cols w:equalWidth="0" w:num="1">
            <w:col w:w="11392"/>
          </w:cols>
          <w:pgMar w:left="248" w:top="132" w:right="259" w:bottom="0" w:gutter="0" w:footer="0" w:header="0"/>
        </w:sectPr>
      </w:pPr>
    </w:p>
    <w:bookmarkStart w:id="12" w:name="page13"/>
    <w:bookmarkEnd w:id="12"/>
    <w:p>
      <w:pPr>
        <w:ind w:left="660" w:right="300"/>
        <w:spacing w:after="0" w:line="253" w:lineRule="auto"/>
        <w:rPr>
          <w:sz w:val="20"/>
          <w:szCs w:val="20"/>
          <w:color w:val="auto"/>
        </w:rPr>
      </w:pPr>
      <w:r>
        <w:rPr>
          <w:rFonts w:ascii="Arial" w:cs="Arial" w:eastAsia="Arial" w:hAnsi="Arial"/>
          <w:sz w:val="22"/>
          <w:szCs w:val="22"/>
          <w:color w:val="auto"/>
        </w:rPr>
        <w:t>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26" w:lineRule="exact"/>
        <w:rPr>
          <w:sz w:val="20"/>
          <w:szCs w:val="20"/>
          <w:color w:val="auto"/>
        </w:rPr>
      </w:pPr>
    </w:p>
    <w:p>
      <w:pPr>
        <w:ind w:left="1300" w:hanging="644"/>
        <w:spacing w:after="0" w:line="286" w:lineRule="auto"/>
        <w:tabs>
          <w:tab w:leader="none" w:pos="13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left="1300" w:hanging="644"/>
        <w:spacing w:after="0" w:line="286" w:lineRule="auto"/>
        <w:tabs>
          <w:tab w:leader="none" w:pos="13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3" w:lineRule="exact"/>
        <w:rPr>
          <w:rFonts w:ascii="Arial" w:cs="Arial" w:eastAsia="Arial" w:hAnsi="Arial"/>
          <w:sz w:val="19"/>
          <w:szCs w:val="19"/>
          <w:color w:val="auto"/>
        </w:rPr>
      </w:pPr>
    </w:p>
    <w:p>
      <w:pPr>
        <w:ind w:left="660" w:right="20" w:hanging="652"/>
        <w:spacing w:after="0" w:line="343" w:lineRule="auto"/>
        <w:tabs>
          <w:tab w:leader="none" w:pos="66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200" w:lineRule="exact"/>
        <w:rPr>
          <w:sz w:val="20"/>
          <w:szCs w:val="20"/>
          <w:color w:val="auto"/>
        </w:rPr>
      </w:pPr>
    </w:p>
    <w:p>
      <w:pPr>
        <w:spacing w:after="0" w:line="202" w:lineRule="exact"/>
        <w:rPr>
          <w:sz w:val="20"/>
          <w:szCs w:val="20"/>
          <w:color w:val="auto"/>
        </w:rPr>
      </w:pPr>
    </w:p>
    <w:p>
      <w:pPr>
        <w:ind w:right="960" w:firstLine="648"/>
        <w:spacing w:after="0" w:line="263" w:lineRule="auto"/>
        <w:rPr>
          <w:sz w:val="20"/>
          <w:szCs w:val="20"/>
          <w:color w:val="auto"/>
        </w:rPr>
      </w:pPr>
      <w:r>
        <w:rPr>
          <w:rFonts w:ascii="Arial" w:cs="Arial" w:eastAsia="Arial" w:hAnsi="Arial"/>
          <w:sz w:val="22"/>
          <w:szCs w:val="22"/>
          <w:color w:val="auto"/>
        </w:rPr>
        <w:t>If you are in agreement with the foregoing, please sign and return one copy of this letter which will constitute our agreement with respect to the subject matter of this letter.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MANPOWERGROUP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29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Jonas Prising,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/s/ Mara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29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Mara Swan</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18036302.2</w:t>
      </w:r>
    </w:p>
    <w:p>
      <w:pPr>
        <w:sectPr>
          <w:pgSz w:w="11900" w:h="16838" w:orient="portrait"/>
          <w:cols w:equalWidth="0" w:num="1">
            <w:col w:w="11420"/>
          </w:cols>
          <w:pgMar w:left="240" w:top="132" w:right="239" w:bottom="496"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sectPr>
      <w:pgSz w:w="11900" w:h="16838" w:orient="portrait"/>
      <w:cols w:equalWidth="0" w:num="1">
        <w:col w:w="11420"/>
      </w:cols>
      <w:pgMar w:left="240" w:top="132" w:right="239" w:bottom="4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
    <w:nsid w:val="66EF438D"/>
    <w:multiLevelType w:val="hybridMultilevel"/>
    <w:lvl w:ilvl="0">
      <w:lvlJc w:val="left"/>
      <w:lvlText w:val="(%1)"/>
      <w:numFmt w:val="lowerRoman"/>
      <w:start w:val="2"/>
    </w:lvl>
  </w:abstractNum>
  <w:abstractNum w:abstractNumId="4">
    <w:nsid w:val="140E0F76"/>
    <w:multiLevelType w:val="hybridMultilevel"/>
    <w:lvl w:ilvl="0">
      <w:lvlJc w:val="left"/>
      <w:lvlText w:val="(%1)"/>
      <w:numFmt w:val="lowerLetter"/>
      <w:start w:val="4"/>
    </w:lvl>
    <w:lvl w:ilvl="1">
      <w:lvlJc w:val="left"/>
      <w:lvlText w:val="(%2)"/>
      <w:numFmt w:val="lowerRoman"/>
      <w:start w:val="1"/>
    </w:lvl>
  </w:abstractNum>
  <w:abstractNum w:abstractNumId="5">
    <w:nsid w:val="3352255A"/>
    <w:multiLevelType w:val="hybridMultilevel"/>
    <w:lvl w:ilvl="0">
      <w:lvlJc w:val="left"/>
      <w:lvlText w:val="(%1)"/>
      <w:numFmt w:val="lowerRoman"/>
      <w:start w:val="3"/>
    </w:lvl>
  </w:abstractNum>
  <w:abstractNum w:abstractNumId="6">
    <w:nsid w:val="109CF92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7">
    <w:nsid w:val="DED72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8">
    <w:nsid w:val="7FDCC233"/>
    <w:multiLevelType w:val="hybridMultilevel"/>
    <w:lvl w:ilvl="0">
      <w:lvlJc w:val="left"/>
      <w:lvlText w:val="%1"/>
      <w:numFmt w:val="lowerLetter"/>
      <w:start w:val="1"/>
    </w:lvl>
    <w:lvl w:ilvl="1">
      <w:lvlJc w:val="left"/>
      <w:lvlText w:val="(%2)"/>
      <w:numFmt w:val="lowerRoman"/>
      <w:start w:val="2"/>
    </w:lvl>
  </w:abstractNum>
  <w:abstractNum w:abstractNumId="9">
    <w:nsid w:val="1BEFD79F"/>
    <w:multiLevelType w:val="hybridMultilevel"/>
    <w:lvl w:ilvl="0">
      <w:lvlJc w:val="left"/>
      <w:lvlText w:val="(%1)"/>
      <w:numFmt w:val="lowerLetter"/>
      <w:start w:val="4"/>
    </w:lvl>
    <w:lvl w:ilvl="1">
      <w:lvlJc w:val="left"/>
      <w:lvlText w:val="(%2)"/>
      <w:numFmt w:val="lowerRoman"/>
      <w:start w:val="1"/>
    </w:lvl>
  </w:abstractNum>
  <w:abstractNum w:abstractNumId="10">
    <w:nsid w:val="41A7C4C9"/>
    <w:multiLevelType w:val="hybridMultilevel"/>
    <w:lvl w:ilvl="0">
      <w:lvlJc w:val="left"/>
      <w:lvlText w:val="%1"/>
      <w:numFmt w:val="lowerLetter"/>
      <w:start w:val="1"/>
    </w:lvl>
    <w:lvl w:ilvl="1">
      <w:lvlJc w:val="left"/>
      <w:lvlText w:val="(%2)"/>
      <w:numFmt w:val="lowerRoman"/>
      <w:start w:val="3"/>
    </w:lvl>
  </w:abstractNum>
  <w:abstractNum w:abstractNumId="11">
    <w:nsid w:val="6B68079A"/>
    <w:multiLevelType w:val="hybridMultilevel"/>
    <w:lvl w:ilvl="0">
      <w:lvlJc w:val="left"/>
      <w:lvlText w:val="(%1)"/>
      <w:numFmt w:val="lowerLetter"/>
      <w:start w:val="5"/>
    </w:lvl>
    <w:lvl w:ilvl="1">
      <w:lvlJc w:val="left"/>
      <w:lvlText w:val="%2"/>
      <w:numFmt w:val="lowerRoman"/>
      <w:start w:val="1"/>
    </w:lvl>
  </w:abstractNum>
  <w:abstractNum w:abstractNumId="12">
    <w:nsid w:val="4E6AFB66"/>
    <w:multiLevelType w:val="hybridMultilevel"/>
    <w:lvl w:ilvl="0">
      <w:lvlJc w:val="left"/>
      <w:lvlText w:val="%1"/>
      <w:numFmt w:val="decimal"/>
      <w:start w:val="1"/>
    </w:lvl>
    <w:lvl w:ilvl="1">
      <w:lvlJc w:val="left"/>
      <w:lvlText w:val="(%2)"/>
      <w:numFmt w:val="lowerLetter"/>
      <w:start w:val="6"/>
    </w:lvl>
  </w:abstractNum>
  <w:abstractNum w:abstractNumId="13">
    <w:nsid w:val="25E45D32"/>
    <w:multiLevelType w:val="hybridMultilevel"/>
    <w:lvl w:ilvl="0">
      <w:lvlJc w:val="left"/>
      <w:lvlText w:val="%1."/>
      <w:numFmt w:val="decimal"/>
      <w:start w:val="3"/>
    </w:lvl>
    <w:lvl w:ilvl="1">
      <w:lvlJc w:val="left"/>
      <w:lvlText w:val="(%2)"/>
      <w:numFmt w:val="lowerLetter"/>
      <w:start w:val="1"/>
    </w:lvl>
  </w:abstractNum>
  <w:abstractNum w:abstractNumId="14">
    <w:nsid w:val="519B500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5">
    <w:nsid w:val="431BD7B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6">
    <w:nsid w:val="3F2DBA31"/>
    <w:multiLevelType w:val="hybridMultilevel"/>
    <w:lvl w:ilvl="0">
      <w:lvlJc w:val="left"/>
      <w:lvlText w:val="%1"/>
      <w:numFmt w:val="decimal"/>
      <w:start w:val="1"/>
    </w:lvl>
    <w:lvl w:ilvl="1">
      <w:lvlJc w:val="left"/>
      <w:lvlText w:val="(%2)"/>
      <w:numFmt w:val="lowerLetter"/>
      <w:start w:val="2"/>
    </w:lvl>
  </w:abstractNum>
  <w:abstractNum w:abstractNumId="17">
    <w:nsid w:val="7C83E458"/>
    <w:multiLevelType w:val="hybridMultilevel"/>
    <w:lvl w:ilvl="0">
      <w:lvlJc w:val="left"/>
      <w:lvlText w:val="%1."/>
      <w:numFmt w:val="decimal"/>
      <w:start w:val="8"/>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2019-12-29T02:48:33Z</dcterms:created>
  <dcterms:modified xsi:type="dcterms:W3CDTF">2019-12-29T02:48:33Z</dcterms:modified>
</cp:coreProperties>
</file>