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4,644,667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4,644,667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4,644,667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54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ManpowerGroup Inc.</w:t>
      </w:r>
    </w:p>
    <w:p>
      <w:pPr>
        <w:spacing w:after="0" w:line="45" w:lineRule="exact"/>
        <w:rPr>
          <w:rFonts w:ascii="Times New Roman" w:cs="Times New Roman" w:eastAsia="Times New Roman" w:hAnsi="Times New Roman"/>
          <w:sz w:val="21"/>
          <w:szCs w:val="21"/>
          <w:b w:val="1"/>
          <w:bCs w:val="1"/>
          <w:color w:val="auto"/>
        </w:rPr>
      </w:pPr>
    </w:p>
    <w:p>
      <w:pPr>
        <w:ind w:left="1620" w:right="5000" w:hanging="707"/>
        <w:spacing w:after="0" w:line="286" w:lineRule="auto"/>
        <w:tabs>
          <w:tab w:leader="none" w:pos="16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100 Manpower Place, Milwaukee, WI 53212-4030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620" w:right="73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Capital World Investors</w:t>
      </w:r>
    </w:p>
    <w:p>
      <w:pPr>
        <w:spacing w:after="0" w:line="45" w:lineRule="exact"/>
        <w:rPr>
          <w:rFonts w:ascii="Times New Roman" w:cs="Times New Roman" w:eastAsia="Times New Roman" w:hAnsi="Times New Roman"/>
          <w:sz w:val="21"/>
          <w:szCs w:val="21"/>
          <w:b w:val="1"/>
          <w:bCs w:val="1"/>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333 SOUTH HOPE STREET, 55TH FLOOR, LOS ANGELES, CALIFORNIA 90071</w:t>
      </w:r>
    </w:p>
    <w:p>
      <w:pPr>
        <w:spacing w:after="0" w:line="97" w:lineRule="exact"/>
        <w:rPr>
          <w:rFonts w:ascii="Times New Roman" w:cs="Times New Roman" w:eastAsia="Times New Roman" w:hAnsi="Times New Roman"/>
          <w:sz w:val="22"/>
          <w:szCs w:val="22"/>
          <w:b w:val="1"/>
          <w:bCs w:val="1"/>
          <w:color w:val="auto"/>
        </w:rPr>
      </w:pPr>
    </w:p>
    <w:p>
      <w:pPr>
        <w:ind w:left="1620" w:right="83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0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4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56418H100</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4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08"/>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4,644,667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9.2%</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4,644,667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4,644,667</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19" w:right="479" w:bottom="0" w:gutter="0" w:footer="0" w:header="0"/>
          <w:type w:val="continuous"/>
        </w:sectPr>
      </w:pPr>
    </w:p>
    <w:p>
      <w:pPr>
        <w:ind w:right="80"/>
        <w:spacing w:after="0" w:line="251" w:lineRule="auto"/>
        <w:rPr>
          <w:sz w:val="20"/>
          <w:szCs w:val="20"/>
          <w:color w:val="auto"/>
        </w:rPr>
      </w:pPr>
      <w:r>
        <w:rPr>
          <w:rFonts w:ascii="Times New Roman" w:cs="Times New Roman" w:eastAsia="Times New Roman" w:hAnsi="Times New Roman"/>
          <w:sz w:val="21"/>
          <w:szCs w:val="21"/>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360"/>
        <w:spacing w:after="0" w:line="259" w:lineRule="auto"/>
        <w:rPr>
          <w:sz w:val="20"/>
          <w:szCs w:val="20"/>
          <w:color w:val="auto"/>
        </w:rPr>
      </w:pPr>
      <w:r>
        <w:rPr>
          <w:rFonts w:ascii="Times New Roman" w:cs="Times New Roman" w:eastAsia="Times New Roman" w:hAnsi="Times New Roman"/>
          <w:sz w:val="22"/>
          <w:szCs w:val="22"/>
          <w:color w:val="auto"/>
        </w:rPr>
        <w:t>"Capital World Investors." CWI is deemed to be the beneficial owner of 4,644,667 shares or 9.2% of the 50,557,133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Income Fund of America</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Erik A. Vayntrub</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2023-02-13T13:56:56Z</dcterms:created>
  <dcterms:modified xsi:type="dcterms:W3CDTF">2023-02-13T13:56:56Z</dcterms:modified>
</cp:coreProperties>
</file>