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87.43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16, 2023 in settlement of performance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February 17,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17, 2026 and will be settled in shares of ManpowerGroup common stock on a 1 for 1 basis.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provided)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897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2023-02-21T20:39:13Z</dcterms:created>
  <dcterms:modified xsi:type="dcterms:W3CDTF">2023-02-21T20:39:13Z</dcterms:modified>
</cp:coreProperties>
</file>