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2" w:lineRule="exact"/>
        <w:rPr>
          <w:sz w:val="24"/>
          <w:szCs w:val="24"/>
          <w:color w:val="auto"/>
        </w:rPr>
      </w:pPr>
    </w:p>
    <w:p>
      <w:pPr>
        <w:jc w:val="center"/>
        <w:ind w:right="-1125"/>
        <w:spacing w:after="0"/>
        <w:rPr>
          <w:sz w:val="20"/>
          <w:szCs w:val="20"/>
          <w:color w:val="auto"/>
        </w:rPr>
      </w:pPr>
      <w:r>
        <w:rPr>
          <w:rFonts w:ascii="Arial" w:cs="Arial" w:eastAsia="Arial" w:hAnsi="Arial"/>
          <w:sz w:val="15"/>
          <w:szCs w:val="15"/>
          <w:color w:val="auto"/>
        </w:rPr>
        <w:t>Date of Report (Date of earliest event reported): October 17, 2006</w:t>
      </w:r>
    </w:p>
    <w:p>
      <w:pPr>
        <w:spacing w:after="0" w:line="126"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6" w:lineRule="exact"/>
        <w:rPr>
          <w:sz w:val="24"/>
          <w:szCs w:val="24"/>
          <w:color w:val="auto"/>
        </w:rPr>
      </w:pPr>
    </w:p>
    <w:tbl>
      <w:tblPr>
        <w:tblLayout w:type="fixed"/>
        <w:tblInd w:w="1266" w:type="dxa"/>
        <w:tblCellMar>
          <w:top w:w="0" w:type="dxa"/>
          <w:left w:w="0" w:type="dxa"/>
          <w:bottom w:w="0" w:type="dxa"/>
          <w:right w:w="0" w:type="dxa"/>
        </w:tblCellMar>
      </w:tblPr>
      <w:tr>
        <w:trPr>
          <w:trHeight w:val="188"/>
        </w:trPr>
        <w:tc>
          <w:tcPr>
            <w:tcW w:w="3400" w:type="dxa"/>
            <w:vAlign w:val="bottom"/>
          </w:tcPr>
          <w:p>
            <w:pPr>
              <w:jc w:val="center"/>
              <w:ind w:right="1972"/>
              <w:spacing w:after="0"/>
              <w:rPr>
                <w:sz w:val="20"/>
                <w:szCs w:val="20"/>
                <w:color w:val="auto"/>
              </w:rPr>
            </w:pPr>
            <w:r>
              <w:rPr>
                <w:rFonts w:ascii="Arial" w:cs="Arial" w:eastAsia="Arial" w:hAnsi="Arial"/>
                <w:sz w:val="15"/>
                <w:szCs w:val="15"/>
                <w:b w:val="1"/>
                <w:bCs w:val="1"/>
                <w:color w:val="auto"/>
                <w:w w:val="90"/>
              </w:rPr>
              <w:t>Wisconsin</w:t>
            </w:r>
          </w:p>
        </w:tc>
        <w:tc>
          <w:tcPr>
            <w:tcW w:w="2640" w:type="dxa"/>
            <w:vAlign w:val="bottom"/>
          </w:tcPr>
          <w:p>
            <w:pPr>
              <w:jc w:val="center"/>
              <w:ind w:right="215"/>
              <w:spacing w:after="0"/>
              <w:rPr>
                <w:sz w:val="20"/>
                <w:szCs w:val="20"/>
                <w:color w:val="auto"/>
              </w:rPr>
            </w:pPr>
            <w:r>
              <w:rPr>
                <w:rFonts w:ascii="Arial" w:cs="Arial" w:eastAsia="Arial" w:hAnsi="Arial"/>
                <w:sz w:val="15"/>
                <w:szCs w:val="15"/>
                <w:b w:val="1"/>
                <w:bCs w:val="1"/>
                <w:color w:val="auto"/>
                <w:w w:val="94"/>
              </w:rPr>
              <w:t>1-10686</w:t>
            </w:r>
          </w:p>
        </w:tc>
        <w:tc>
          <w:tcPr>
            <w:tcW w:w="2760" w:type="dxa"/>
            <w:vAlign w:val="bottom"/>
          </w:tcPr>
          <w:p>
            <w:pPr>
              <w:jc w:val="center"/>
              <w:ind w:left="1794"/>
              <w:spacing w:after="0"/>
              <w:rPr>
                <w:sz w:val="20"/>
                <w:szCs w:val="20"/>
                <w:color w:val="auto"/>
              </w:rPr>
            </w:pPr>
            <w:r>
              <w:rPr>
                <w:rFonts w:ascii="Arial" w:cs="Arial" w:eastAsia="Arial" w:hAnsi="Arial"/>
                <w:sz w:val="15"/>
                <w:szCs w:val="15"/>
                <w:b w:val="1"/>
                <w:bCs w:val="1"/>
                <w:color w:val="auto"/>
                <w:w w:val="92"/>
              </w:rPr>
              <w:t>39-1672779</w:t>
            </w:r>
          </w:p>
        </w:tc>
      </w:tr>
      <w:tr>
        <w:trPr>
          <w:trHeight w:val="129"/>
        </w:trPr>
        <w:tc>
          <w:tcPr>
            <w:tcW w:w="3400" w:type="dxa"/>
            <w:vAlign w:val="bottom"/>
          </w:tcPr>
          <w:p>
            <w:pPr>
              <w:jc w:val="center"/>
              <w:ind w:right="1972"/>
              <w:spacing w:after="0" w:line="129" w:lineRule="exact"/>
              <w:rPr>
                <w:sz w:val="20"/>
                <w:szCs w:val="20"/>
                <w:color w:val="auto"/>
              </w:rPr>
            </w:pPr>
            <w:r>
              <w:rPr>
                <w:rFonts w:ascii="Arial" w:cs="Arial" w:eastAsia="Arial" w:hAnsi="Arial"/>
                <w:sz w:val="12"/>
                <w:szCs w:val="12"/>
                <w:b w:val="1"/>
                <w:bCs w:val="1"/>
                <w:color w:val="auto"/>
                <w:w w:val="90"/>
              </w:rPr>
              <w:t>(State or other jurisdiction</w:t>
            </w:r>
          </w:p>
        </w:tc>
        <w:tc>
          <w:tcPr>
            <w:tcW w:w="2640" w:type="dxa"/>
            <w:vAlign w:val="bottom"/>
          </w:tcPr>
          <w:p>
            <w:pPr>
              <w:jc w:val="center"/>
              <w:ind w:right="235"/>
              <w:spacing w:after="0" w:line="129" w:lineRule="exact"/>
              <w:rPr>
                <w:sz w:val="20"/>
                <w:szCs w:val="20"/>
                <w:color w:val="auto"/>
              </w:rPr>
            </w:pPr>
            <w:r>
              <w:rPr>
                <w:rFonts w:ascii="Arial" w:cs="Arial" w:eastAsia="Arial" w:hAnsi="Arial"/>
                <w:sz w:val="12"/>
                <w:szCs w:val="12"/>
                <w:b w:val="1"/>
                <w:bCs w:val="1"/>
                <w:color w:val="auto"/>
                <w:w w:val="86"/>
              </w:rPr>
              <w:t>(Commission</w:t>
            </w:r>
          </w:p>
        </w:tc>
        <w:tc>
          <w:tcPr>
            <w:tcW w:w="2760" w:type="dxa"/>
            <w:vAlign w:val="bottom"/>
          </w:tcPr>
          <w:p>
            <w:pPr>
              <w:jc w:val="center"/>
              <w:ind w:left="1774"/>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3400" w:type="dxa"/>
            <w:vAlign w:val="bottom"/>
          </w:tcPr>
          <w:p>
            <w:pPr>
              <w:jc w:val="center"/>
              <w:ind w:right="1972"/>
              <w:spacing w:after="0"/>
              <w:rPr>
                <w:sz w:val="20"/>
                <w:szCs w:val="20"/>
                <w:color w:val="auto"/>
              </w:rPr>
            </w:pPr>
            <w:r>
              <w:rPr>
                <w:rFonts w:ascii="Arial" w:cs="Arial" w:eastAsia="Arial" w:hAnsi="Arial"/>
                <w:sz w:val="12"/>
                <w:szCs w:val="12"/>
                <w:b w:val="1"/>
                <w:bCs w:val="1"/>
                <w:color w:val="auto"/>
                <w:w w:val="87"/>
              </w:rPr>
              <w:t>of incorporation)</w:t>
            </w:r>
          </w:p>
        </w:tc>
        <w:tc>
          <w:tcPr>
            <w:tcW w:w="2640" w:type="dxa"/>
            <w:vAlign w:val="bottom"/>
          </w:tcPr>
          <w:p>
            <w:pPr>
              <w:jc w:val="center"/>
              <w:ind w:right="215"/>
              <w:spacing w:after="0"/>
              <w:rPr>
                <w:sz w:val="20"/>
                <w:szCs w:val="20"/>
                <w:color w:val="auto"/>
              </w:rPr>
            </w:pPr>
            <w:r>
              <w:rPr>
                <w:rFonts w:ascii="Arial" w:cs="Arial" w:eastAsia="Arial" w:hAnsi="Arial"/>
                <w:sz w:val="12"/>
                <w:szCs w:val="12"/>
                <w:b w:val="1"/>
                <w:bCs w:val="1"/>
                <w:color w:val="auto"/>
                <w:w w:val="92"/>
              </w:rPr>
              <w:t>File Number)</w:t>
            </w:r>
          </w:p>
        </w:tc>
        <w:tc>
          <w:tcPr>
            <w:tcW w:w="2760" w:type="dxa"/>
            <w:vAlign w:val="bottom"/>
          </w:tcPr>
          <w:p>
            <w:pPr>
              <w:jc w:val="center"/>
              <w:ind w:left="1774"/>
              <w:spacing w:after="0"/>
              <w:rPr>
                <w:sz w:val="20"/>
                <w:szCs w:val="20"/>
                <w:color w:val="auto"/>
              </w:rPr>
            </w:pPr>
            <w:r>
              <w:rPr>
                <w:rFonts w:ascii="Arial" w:cs="Arial" w:eastAsia="Arial" w:hAnsi="Arial"/>
                <w:sz w:val="12"/>
                <w:szCs w:val="12"/>
                <w:b w:val="1"/>
                <w:bCs w:val="1"/>
                <w:color w:val="auto"/>
                <w:w w:val="90"/>
              </w:rPr>
              <w:t>Identification No.)</w:t>
            </w:r>
          </w:p>
        </w:tc>
      </w:tr>
      <w:tr>
        <w:trPr>
          <w:trHeight w:val="355"/>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4"/>
              </w:rPr>
              <w:t>5301 North Ironwood Road</w:t>
            </w:r>
          </w:p>
        </w:tc>
        <w:tc>
          <w:tcPr>
            <w:tcW w:w="26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3"/>
              </w:rPr>
              <w:t>Milwaukee, Wisconsin</w:t>
            </w:r>
          </w:p>
        </w:tc>
        <w:tc>
          <w:tcPr>
            <w:tcW w:w="2640" w:type="dxa"/>
            <w:vAlign w:val="bottom"/>
          </w:tcPr>
          <w:p>
            <w:pPr>
              <w:spacing w:after="0"/>
              <w:rPr>
                <w:sz w:val="17"/>
                <w:szCs w:val="17"/>
                <w:color w:val="auto"/>
              </w:rPr>
            </w:pPr>
          </w:p>
        </w:tc>
        <w:tc>
          <w:tcPr>
            <w:tcW w:w="2760" w:type="dxa"/>
            <w:vAlign w:val="bottom"/>
          </w:tcPr>
          <w:p>
            <w:pPr>
              <w:jc w:val="right"/>
              <w:ind w:right="1114"/>
              <w:spacing w:after="0"/>
              <w:rPr>
                <w:sz w:val="20"/>
                <w:szCs w:val="20"/>
                <w:color w:val="auto"/>
              </w:rPr>
            </w:pPr>
            <w:r>
              <w:rPr>
                <w:rFonts w:ascii="Arial" w:cs="Arial" w:eastAsia="Arial" w:hAnsi="Arial"/>
                <w:sz w:val="15"/>
                <w:szCs w:val="15"/>
                <w:b w:val="1"/>
                <w:bCs w:val="1"/>
                <w:color w:val="auto"/>
              </w:rPr>
              <w:t>53217</w:t>
            </w:r>
          </w:p>
        </w:tc>
      </w:tr>
      <w:tr>
        <w:trPr>
          <w:trHeight w:val="151"/>
        </w:trPr>
        <w:tc>
          <w:tcPr>
            <w:tcW w:w="3400" w:type="dxa"/>
            <w:vAlign w:val="bottom"/>
          </w:tcPr>
          <w:p>
            <w:pPr>
              <w:jc w:val="center"/>
              <w:ind w:right="152"/>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64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Arial" w:cs="Arial" w:eastAsia="Arial" w:hAnsi="Arial"/>
                <w:sz w:val="12"/>
                <w:szCs w:val="12"/>
                <w:b w:val="1"/>
                <w:bCs w:val="1"/>
                <w:color w:val="auto"/>
                <w:w w:val="90"/>
              </w:rPr>
              <w:t>(Zip Code)</w:t>
            </w:r>
          </w:p>
        </w:tc>
      </w:tr>
    </w:tbl>
    <w:p>
      <w:pPr>
        <w:spacing w:after="0" w:line="124" w:lineRule="exact"/>
        <w:rPr>
          <w:sz w:val="24"/>
          <w:szCs w:val="24"/>
          <w:color w:val="auto"/>
        </w:rPr>
      </w:pPr>
    </w:p>
    <w:p>
      <w:pPr>
        <w:ind w:left="3626"/>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57"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269480"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0306"/>
          </w:cols>
          <w:pgMar w:left="234" w:top="527" w:right="135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90"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On October 17, 2006, we issued a press release announcing our results of operations for the three and nine-month period ended September 30, 2006. A copy of the press release is attached hereto as Exhibit 99.1 and is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800" w:type="dxa"/>
            <w:vAlign w:val="bottom"/>
            <w:gridSpan w:val="2"/>
          </w:tcPr>
          <w:p>
            <w:pPr>
              <w:ind w:left="80"/>
              <w:spacing w:after="0"/>
              <w:rPr>
                <w:sz w:val="20"/>
                <w:szCs w:val="20"/>
                <w:color w:val="auto"/>
              </w:rPr>
            </w:pPr>
            <w:r>
              <w:rPr>
                <w:rFonts w:ascii="Arial" w:cs="Arial" w:eastAsia="Arial" w:hAnsi="Arial"/>
                <w:sz w:val="15"/>
                <w:szCs w:val="15"/>
                <w:b w:val="1"/>
                <w:bCs w:val="1"/>
                <w:color w:val="auto"/>
              </w:rPr>
              <w:t>Exhibits.</w:t>
            </w:r>
          </w:p>
        </w:tc>
        <w:tc>
          <w:tcPr>
            <w:tcW w:w="9240" w:type="dxa"/>
            <w:vAlign w:val="bottom"/>
          </w:tcPr>
          <w:p>
            <w:pPr>
              <w:spacing w:after="0"/>
              <w:rPr>
                <w:sz w:val="17"/>
                <w:szCs w:val="17"/>
                <w:color w:val="auto"/>
              </w:rPr>
            </w:pPr>
          </w:p>
        </w:tc>
      </w:tr>
      <w:tr>
        <w:trPr>
          <w:trHeight w:val="327"/>
        </w:trPr>
        <w:tc>
          <w:tcPr>
            <w:tcW w:w="460" w:type="dxa"/>
            <w:vAlign w:val="bottom"/>
          </w:tcPr>
          <w:p>
            <w:pPr>
              <w:spacing w:after="0"/>
              <w:rPr>
                <w:sz w:val="24"/>
                <w:szCs w:val="24"/>
                <w:color w:val="auto"/>
              </w:rPr>
            </w:pPr>
          </w:p>
        </w:tc>
        <w:tc>
          <w:tcPr>
            <w:tcW w:w="1280" w:type="dxa"/>
            <w:vAlign w:val="bottom"/>
            <w:gridSpan w:val="3"/>
          </w:tcPr>
          <w:p>
            <w:pPr>
              <w:jc w:val="center"/>
              <w:ind w:right="720"/>
              <w:spacing w:after="0"/>
              <w:rPr>
                <w:sz w:val="20"/>
                <w:szCs w:val="20"/>
                <w:color w:val="auto"/>
              </w:rPr>
            </w:pPr>
            <w:r>
              <w:rPr>
                <w:rFonts w:ascii="Arial" w:cs="Arial" w:eastAsia="Arial" w:hAnsi="Arial"/>
                <w:sz w:val="12"/>
                <w:szCs w:val="12"/>
                <w:b w:val="1"/>
                <w:bCs w:val="1"/>
                <w:color w:val="auto"/>
                <w:w w:val="89"/>
              </w:rPr>
              <w:t>Exhibit No.</w:t>
            </w:r>
          </w:p>
        </w:tc>
        <w:tc>
          <w:tcPr>
            <w:tcW w:w="9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78"/>
        </w:trPr>
        <w:tc>
          <w:tcPr>
            <w:tcW w:w="460" w:type="dxa"/>
            <w:vAlign w:val="bottom"/>
          </w:tcPr>
          <w:p>
            <w:pPr>
              <w:spacing w:after="0"/>
              <w:rPr>
                <w:sz w:val="15"/>
                <w:szCs w:val="15"/>
                <w:color w:val="auto"/>
              </w:rPr>
            </w:pPr>
          </w:p>
        </w:tc>
        <w:tc>
          <w:tcPr>
            <w:tcW w:w="480" w:type="dxa"/>
            <w:vAlign w:val="bottom"/>
            <w:tcBorders>
              <w:top w:val="single" w:sz="8" w:color="auto"/>
            </w:tcBorders>
          </w:tcPr>
          <w:p>
            <w:pPr>
              <w:jc w:val="center"/>
              <w:ind w:left="12"/>
              <w:spacing w:after="0"/>
              <w:rPr>
                <w:sz w:val="20"/>
                <w:szCs w:val="20"/>
                <w:color w:val="auto"/>
              </w:rPr>
            </w:pPr>
            <w:r>
              <w:rPr>
                <w:rFonts w:ascii="Arial" w:cs="Arial" w:eastAsia="Arial" w:hAnsi="Arial"/>
                <w:sz w:val="15"/>
                <w:szCs w:val="15"/>
                <w:color w:val="auto"/>
                <w:w w:val="95"/>
              </w:rPr>
              <w:t>99.1</w:t>
            </w:r>
          </w:p>
        </w:tc>
        <w:tc>
          <w:tcPr>
            <w:tcW w:w="8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Press Release dated October 17, 2006</w:t>
            </w:r>
          </w:p>
        </w:tc>
      </w:tr>
      <w:tr>
        <w:trPr>
          <w:trHeight w:val="275"/>
        </w:trPr>
        <w:tc>
          <w:tcPr>
            <w:tcW w:w="940" w:type="dxa"/>
            <w:vAlign w:val="bottom"/>
            <w:gridSpan w:val="2"/>
          </w:tcPr>
          <w:p>
            <w:pPr>
              <w:jc w:val="center"/>
              <w:ind w:left="464"/>
              <w:spacing w:after="0"/>
              <w:rPr>
                <w:sz w:val="20"/>
                <w:szCs w:val="20"/>
                <w:color w:val="auto"/>
              </w:rPr>
            </w:pPr>
            <w:r>
              <w:rPr>
                <w:rFonts w:ascii="Arial" w:cs="Arial" w:eastAsia="Arial" w:hAnsi="Arial"/>
                <w:sz w:val="15"/>
                <w:szCs w:val="15"/>
                <w:color w:val="auto"/>
                <w:w w:val="95"/>
              </w:rPr>
              <w:t>99.2</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materials for October 17, 2006 conference call</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61" w:lineRule="exact"/>
        <w:rPr>
          <w:sz w:val="20"/>
          <w:szCs w:val="20"/>
          <w:color w:val="auto"/>
        </w:rPr>
      </w:pPr>
    </w:p>
    <w:p>
      <w:pPr>
        <w:jc w:val="both"/>
        <w:ind w:right="5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7660" w:type="dxa"/>
            <w:vAlign w:val="bottom"/>
            <w:gridSpan w:val="2"/>
          </w:tcPr>
          <w:p>
            <w:pPr>
              <w:ind w:left="2300"/>
              <w:spacing w:after="0"/>
              <w:rPr>
                <w:sz w:val="20"/>
                <w:szCs w:val="20"/>
                <w:color w:val="auto"/>
              </w:rPr>
            </w:pPr>
            <w:r>
              <w:rPr>
                <w:rFonts w:ascii="Arial" w:cs="Arial" w:eastAsia="Arial" w:hAnsi="Arial"/>
                <w:sz w:val="15"/>
                <w:szCs w:val="15"/>
                <w:color w:val="auto"/>
              </w:rPr>
              <w:t>MANPOWER INC.</w:t>
            </w:r>
          </w:p>
        </w:tc>
      </w:tr>
      <w:tr>
        <w:trPr>
          <w:trHeight w:val="377"/>
        </w:trPr>
        <w:tc>
          <w:tcPr>
            <w:tcW w:w="3780" w:type="dxa"/>
            <w:vAlign w:val="bottom"/>
          </w:tcPr>
          <w:p>
            <w:pPr>
              <w:spacing w:after="0"/>
              <w:rPr>
                <w:sz w:val="20"/>
                <w:szCs w:val="20"/>
                <w:color w:val="auto"/>
              </w:rPr>
            </w:pPr>
            <w:r>
              <w:rPr>
                <w:rFonts w:ascii="Arial" w:cs="Arial" w:eastAsia="Arial" w:hAnsi="Arial"/>
                <w:sz w:val="15"/>
                <w:szCs w:val="15"/>
                <w:color w:val="auto"/>
              </w:rPr>
              <w:t>Dated: October 17, 2006</w:t>
            </w:r>
          </w:p>
        </w:tc>
        <w:tc>
          <w:tcPr>
            <w:tcW w:w="7660" w:type="dxa"/>
            <w:vAlign w:val="bottom"/>
            <w:gridSpan w:val="2"/>
          </w:tcPr>
          <w:p>
            <w:pPr>
              <w:ind w:left="2300"/>
              <w:spacing w:after="0"/>
              <w:rPr>
                <w:sz w:val="20"/>
                <w:szCs w:val="20"/>
                <w:color w:val="auto"/>
              </w:rPr>
            </w:pPr>
            <w:r>
              <w:rPr>
                <w:rFonts w:ascii="Arial" w:cs="Arial" w:eastAsia="Arial" w:hAnsi="Arial"/>
                <w:sz w:val="15"/>
                <w:szCs w:val="15"/>
                <w:color w:val="auto"/>
              </w:rPr>
              <w:t>By:  /s/ Michael J. Van Handel</w:t>
            </w:r>
          </w:p>
        </w:tc>
      </w:tr>
      <w:tr>
        <w:trPr>
          <w:trHeight w:val="173"/>
        </w:trPr>
        <w:tc>
          <w:tcPr>
            <w:tcW w:w="3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14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Michael J. Van Handel</w:t>
            </w:r>
          </w:p>
        </w:tc>
      </w:tr>
      <w:tr>
        <w:trPr>
          <w:trHeight w:val="188"/>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5"/>
                <w:szCs w:val="15"/>
                <w:color w:val="auto"/>
              </w:rPr>
              <w:t>Executive Vice President,</w:t>
            </w:r>
          </w:p>
        </w:tc>
      </w:tr>
      <w:tr>
        <w:trPr>
          <w:trHeight w:val="194"/>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5"/>
                <w:szCs w:val="15"/>
                <w:color w:val="auto"/>
              </w:rPr>
              <w:t>Chief Financial Officer and Secretary</w:t>
            </w:r>
          </w:p>
        </w:tc>
      </w:tr>
    </w:tbl>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Pr>
          <w:p>
            <w:pPr>
              <w:ind w:left="3380"/>
              <w:spacing w:after="0"/>
              <w:rPr>
                <w:sz w:val="20"/>
                <w:szCs w:val="20"/>
                <w:color w:val="auto"/>
              </w:rPr>
            </w:pPr>
            <w:r>
              <w:rPr>
                <w:rFonts w:ascii="Arial" w:cs="Arial" w:eastAsia="Arial" w:hAnsi="Arial"/>
                <w:sz w:val="15"/>
                <w:szCs w:val="15"/>
                <w:b w:val="1"/>
                <w:bCs w:val="1"/>
                <w:color w:val="auto"/>
              </w:rPr>
              <w:t>EXHIBIT INDEX</w:t>
            </w:r>
          </w:p>
        </w:tc>
      </w:tr>
      <w:tr>
        <w:trPr>
          <w:trHeight w:val="327"/>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20" w:type="dxa"/>
            <w:vAlign w:val="bottom"/>
          </w:tcPr>
          <w:p>
            <w:pPr>
              <w:spacing w:after="0"/>
              <w:rPr>
                <w:sz w:val="24"/>
                <w:szCs w:val="2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78"/>
        </w:trPr>
        <w:tc>
          <w:tcPr>
            <w:tcW w:w="56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720" w:type="dxa"/>
            <w:vAlign w:val="bottom"/>
          </w:tcPr>
          <w:p>
            <w:pPr>
              <w:spacing w:after="0"/>
              <w:rPr>
                <w:sz w:val="15"/>
                <w:szCs w:val="15"/>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Press Release dated October 17, 2006</w:t>
            </w:r>
          </w:p>
        </w:tc>
      </w:tr>
      <w:tr>
        <w:trPr>
          <w:trHeight w:val="275"/>
        </w:trPr>
        <w:tc>
          <w:tcPr>
            <w:tcW w:w="56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72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materials for October 17, 2006 conference call</w:t>
            </w:r>
          </w:p>
        </w:tc>
      </w:tr>
    </w:tbl>
    <w:p>
      <w:pPr>
        <w:sectPr>
          <w:pgSz w:w="11900" w:h="16838" w:orient="portrait"/>
          <w:cols w:equalWidth="0" w:num="1">
            <w:col w:w="11440"/>
          </w:cols>
          <w:pgMar w:left="240" w:top="50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color w:val="auto"/>
        </w:rPr>
        <w:t>Exhibit 99.1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60" w:type="dxa"/>
            <w:vAlign w:val="bottom"/>
          </w:tcPr>
          <w:p>
            <w:pPr>
              <w:spacing w:after="0"/>
              <w:rPr>
                <w:sz w:val="20"/>
                <w:szCs w:val="20"/>
                <w:color w:val="auto"/>
              </w:rPr>
            </w:pPr>
            <w:r>
              <w:rPr>
                <w:rFonts w:ascii="Arial" w:cs="Arial" w:eastAsia="Arial" w:hAnsi="Arial"/>
                <w:sz w:val="15"/>
                <w:szCs w:val="15"/>
                <w:color w:val="auto"/>
              </w:rPr>
              <w:t>[MANPOWER logo]</w:t>
            </w:r>
          </w:p>
        </w:tc>
        <w:tc>
          <w:tcPr>
            <w:tcW w:w="2220" w:type="dxa"/>
            <w:vAlign w:val="bottom"/>
          </w:tcPr>
          <w:p>
            <w:pPr>
              <w:spacing w:after="0"/>
              <w:rPr>
                <w:sz w:val="16"/>
                <w:szCs w:val="16"/>
                <w:color w:val="auto"/>
              </w:rPr>
            </w:pPr>
          </w:p>
        </w:tc>
      </w:tr>
      <w:tr>
        <w:trPr>
          <w:trHeight w:val="358"/>
        </w:trPr>
        <w:tc>
          <w:tcPr>
            <w:tcW w:w="6060" w:type="dxa"/>
            <w:vAlign w:val="bottom"/>
          </w:tcPr>
          <w:p>
            <w:pPr>
              <w:spacing w:after="0"/>
              <w:rPr>
                <w:sz w:val="20"/>
                <w:szCs w:val="20"/>
                <w:color w:val="auto"/>
              </w:rPr>
            </w:pPr>
            <w:r>
              <w:rPr>
                <w:rFonts w:ascii="Arial" w:cs="Arial" w:eastAsia="Arial" w:hAnsi="Arial"/>
                <w:sz w:val="15"/>
                <w:szCs w:val="15"/>
                <w:b w:val="1"/>
                <w:bCs w:val="1"/>
                <w:color w:val="auto"/>
              </w:rPr>
              <w:t>FOR IMMEDIATE RELEASE</w:t>
            </w:r>
          </w:p>
        </w:tc>
        <w:tc>
          <w:tcPr>
            <w:tcW w:w="2220" w:type="dxa"/>
            <w:vAlign w:val="bottom"/>
          </w:tcPr>
          <w:p>
            <w:pPr>
              <w:spacing w:after="0"/>
              <w:rPr>
                <w:sz w:val="20"/>
                <w:szCs w:val="20"/>
                <w:color w:val="auto"/>
              </w:rPr>
            </w:pPr>
            <w:r>
              <w:rPr>
                <w:rFonts w:ascii="Arial" w:cs="Arial" w:eastAsia="Arial" w:hAnsi="Arial"/>
                <w:sz w:val="15"/>
                <w:szCs w:val="15"/>
                <w:b w:val="1"/>
                <w:bCs w:val="1"/>
                <w:color w:val="auto"/>
              </w:rPr>
              <w:t>Contact:</w:t>
            </w:r>
          </w:p>
        </w:tc>
      </w:tr>
      <w:tr>
        <w:trPr>
          <w:trHeight w:val="188"/>
        </w:trPr>
        <w:tc>
          <w:tcPr>
            <w:tcW w:w="606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Mike Van Handel</w:t>
            </w:r>
          </w:p>
        </w:tc>
      </w:tr>
      <w:tr>
        <w:trPr>
          <w:trHeight w:val="188"/>
        </w:trPr>
        <w:tc>
          <w:tcPr>
            <w:tcW w:w="606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Manpower Inc.</w:t>
            </w:r>
          </w:p>
        </w:tc>
      </w:tr>
      <w:tr>
        <w:trPr>
          <w:trHeight w:val="188"/>
        </w:trPr>
        <w:tc>
          <w:tcPr>
            <w:tcW w:w="606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+1.414.906.6305</w:t>
            </w:r>
          </w:p>
        </w:tc>
      </w:tr>
      <w:tr>
        <w:trPr>
          <w:trHeight w:val="160"/>
        </w:trPr>
        <w:tc>
          <w:tcPr>
            <w:tcW w:w="6060" w:type="dxa"/>
            <w:vAlign w:val="bottom"/>
          </w:tcPr>
          <w:p>
            <w:pPr>
              <w:spacing w:after="0"/>
              <w:rPr>
                <w:sz w:val="13"/>
                <w:szCs w:val="13"/>
                <w:color w:val="auto"/>
              </w:rPr>
            </w:pPr>
          </w:p>
        </w:tc>
        <w:tc>
          <w:tcPr>
            <w:tcW w:w="2220" w:type="dxa"/>
            <w:vAlign w:val="bottom"/>
            <w:tcBorders>
              <w:bottom w:val="single" w:sz="8" w:color="auto"/>
            </w:tcBorders>
          </w:tcPr>
          <w:p>
            <w:pPr>
              <w:spacing w:after="0" w:line="160" w:lineRule="exact"/>
              <w:rPr>
                <w:sz w:val="20"/>
                <w:szCs w:val="20"/>
                <w:color w:val="auto"/>
              </w:rPr>
            </w:pPr>
            <w:r>
              <w:rPr>
                <w:rFonts w:ascii="Arial" w:cs="Arial" w:eastAsia="Arial" w:hAnsi="Arial"/>
                <w:sz w:val="15"/>
                <w:szCs w:val="15"/>
                <w:color w:val="auto"/>
                <w:w w:val="90"/>
              </w:rPr>
              <w:t>michael.vanhandel@manpower.com</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Manpower Reports 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Quarter 2006 Results</w:t>
      </w:r>
    </w:p>
    <w:p>
      <w:pPr>
        <w:spacing w:after="0" w:line="111"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MILWAUKEE, WI, USA, October 17, 2006 – Manpower Inc. (NYSE: MAN) today reported that earnings per diluted share for the three months ended September 30, 2006 increased 33 percent to $1.16 from 87 cents in the prior year period. Net income in the quarter increased to $100.6 million from $76.3 million a year earlier. Revenues for the third quarter totaled $4.6 billion, an increase of 12 percent from the year-earlier period.</w:t>
      </w:r>
    </w:p>
    <w:p>
      <w:pPr>
        <w:spacing w:after="0" w:line="110" w:lineRule="exact"/>
        <w:rPr>
          <w:sz w:val="20"/>
          <w:szCs w:val="20"/>
          <w:color w:val="auto"/>
        </w:rPr>
      </w:pPr>
    </w:p>
    <w:p>
      <w:pPr>
        <w:ind w:right="260" w:firstLine="457"/>
        <w:spacing w:after="0" w:line="291" w:lineRule="auto"/>
        <w:rPr>
          <w:sz w:val="20"/>
          <w:szCs w:val="20"/>
          <w:color w:val="auto"/>
        </w:rPr>
      </w:pPr>
      <w:r>
        <w:rPr>
          <w:rFonts w:ascii="Arial" w:cs="Arial" w:eastAsia="Arial" w:hAnsi="Arial"/>
          <w:sz w:val="15"/>
          <w:szCs w:val="15"/>
          <w:color w:val="auto"/>
        </w:rPr>
        <w:t>Results for the third quarter were positively affected by relatively stronger foreign currencies compared to the prior year period. Foreign currency exchange rates had a positive impact of 4 cents for the quarter. On a constant currency basis, earnings per diluted share increased 29 percent on a 9 percent improvement in revenues.</w:t>
      </w:r>
    </w:p>
    <w:p>
      <w:pPr>
        <w:spacing w:after="0" w:line="99" w:lineRule="exact"/>
        <w:rPr>
          <w:sz w:val="20"/>
          <w:szCs w:val="20"/>
          <w:color w:val="auto"/>
        </w:rPr>
      </w:pPr>
    </w:p>
    <w:p>
      <w:pPr>
        <w:jc w:val="both"/>
        <w:ind w:right="100" w:firstLine="457"/>
        <w:spacing w:after="0" w:line="276" w:lineRule="auto"/>
        <w:rPr>
          <w:sz w:val="20"/>
          <w:szCs w:val="20"/>
          <w:color w:val="auto"/>
        </w:rPr>
      </w:pPr>
      <w:r>
        <w:rPr>
          <w:rFonts w:ascii="Arial" w:cs="Arial" w:eastAsia="Arial" w:hAnsi="Arial"/>
          <w:sz w:val="15"/>
          <w:szCs w:val="15"/>
          <w:color w:val="auto"/>
        </w:rPr>
        <w:t>Jeffrey A. Joerres, Manpower Chairman and Chief Executive Officer, said, “The Manpower team is hitting full stride when it comes to executing. Our European operations minus France improved operating unit profit in U.S. dollars by 54%; U.S. improved operating unit profit by 27%, while France improved in U.S. dollars by 22%. We are leveraging our growth which is evident by our revenue growth in U.S. dollars of 12%, resulting in net income growth in U.S. dollars of 32%.</w:t>
      </w:r>
    </w:p>
    <w:p>
      <w:pPr>
        <w:spacing w:after="0" w:line="110"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“Revenue continues to be stable throughout many of the major geographies. Our European operations minus France led the way with a revenue increase in constant currency of 14% over third quarter of 2005. Fast growing countries include the Netherlands, Nordics, Italy, China, India and all of Eastern Europe.</w:t>
      </w:r>
    </w:p>
    <w:p>
      <w:pPr>
        <w:spacing w:after="0" w:line="99"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“We are anticipating the fourth quarter of 2006 diluted earnings per share to be in the range of $1.14 to $1.18, which includes an estimated positive currency impact of 4 cents,” Joerres stated.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MORE -</w:t>
      </w:r>
    </w:p>
    <w:p>
      <w:pPr>
        <w:sectPr>
          <w:pgSz w:w="11900" w:h="16838" w:orient="portrait"/>
          <w:cols w:equalWidth="0" w:num="1">
            <w:col w:w="11440"/>
          </w:cols>
          <w:pgMar w:left="240" w:top="132" w:right="219" w:bottom="1440" w:gutter="0" w:footer="0" w:header="0"/>
        </w:sectPr>
      </w:pPr>
    </w:p>
    <w:bookmarkStart w:id="3" w:name="page4"/>
    <w:bookmarkEnd w:id="3"/>
    <w:p>
      <w:pPr>
        <w:ind w:left="81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 Reports 3</w:t>
      </w:r>
      <w:r>
        <w:rPr>
          <w:rFonts w:ascii="Arial" w:cs="Arial" w:eastAsia="Arial" w:hAnsi="Arial"/>
          <w:sz w:val="16"/>
          <w:szCs w:val="16"/>
          <w:b w:val="1"/>
          <w:bCs w:val="1"/>
          <w:color w:val="auto"/>
          <w:vertAlign w:val="superscript"/>
        </w:rPr>
        <w:t>rd</w:t>
      </w:r>
      <w:r>
        <w:rPr>
          <w:rFonts w:ascii="Arial" w:cs="Arial" w:eastAsia="Arial" w:hAnsi="Arial"/>
          <w:sz w:val="13"/>
          <w:szCs w:val="13"/>
          <w:b w:val="1"/>
          <w:bCs w:val="1"/>
          <w:color w:val="auto"/>
        </w:rPr>
        <w:t xml:space="preserve"> Quarter Results/Page 2</w:t>
      </w:r>
    </w:p>
    <w:p>
      <w:pPr>
        <w:spacing w:after="0" w:line="149" w:lineRule="exact"/>
        <w:rPr>
          <w:sz w:val="20"/>
          <w:szCs w:val="20"/>
          <w:color w:val="auto"/>
        </w:rPr>
      </w:pPr>
    </w:p>
    <w:p>
      <w:pPr>
        <w:ind w:right="100" w:firstLine="457"/>
        <w:spacing w:after="0" w:line="276" w:lineRule="auto"/>
        <w:rPr>
          <w:sz w:val="20"/>
          <w:szCs w:val="20"/>
          <w:color w:val="auto"/>
        </w:rPr>
      </w:pPr>
      <w:r>
        <w:rPr>
          <w:rFonts w:ascii="Arial" w:cs="Arial" w:eastAsia="Arial" w:hAnsi="Arial"/>
          <w:sz w:val="15"/>
          <w:szCs w:val="15"/>
          <w:color w:val="auto"/>
        </w:rPr>
        <w:t>Earnings per diluted share for the nine months ended September 30, 2006 were $2.65 compared to $1.88 per diluted share in 2005. Net income was $233.6 million compared to $171.0 million the prior year. Revenues for the nine-month period were $13.0 billion, an increase of 9 percent from the prior year. Foreign currency exchange rates had a negative impact of 2 cents for the nine-month period.</w:t>
      </w:r>
    </w:p>
    <w:p>
      <w:pPr>
        <w:spacing w:after="0" w:line="110"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Included in the 2006 nine-month period was a 27 cents per diluted share gain on the sale of a payroll processing business in Sweden, and a 16 cents per diluted share charge related to reorganization and a global cost reduction initiative.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conjunction with its third quarter earnings release, Manpower will broadcast its conference call live over the Internet on October 17, 2006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by logging on to http://investor.manpower.com.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Manpower Inc. (NYSE: MAN) is a world leader in the employment services industry; creating and delivering services that enable its clients to win in the changing world of work. The $16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ind w:right="60"/>
        <w:spacing w:after="0" w:line="296" w:lineRule="auto"/>
        <w:rPr>
          <w:sz w:val="20"/>
          <w:szCs w:val="20"/>
          <w:color w:val="auto"/>
        </w:rPr>
      </w:pPr>
      <w:r>
        <w:rPr>
          <w:rFonts w:ascii="Arial" w:cs="Arial" w:eastAsia="Arial" w:hAnsi="Arial"/>
          <w:sz w:val="14"/>
          <w:szCs w:val="14"/>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2005, which information is incorporated herein by reference.</w:t>
      </w:r>
    </w:p>
    <w:p>
      <w:pPr>
        <w:sectPr>
          <w:pgSz w:w="11900" w:h="16838" w:orient="portrait"/>
          <w:cols w:equalWidth="0" w:num="1">
            <w:col w:w="11440"/>
          </w:cols>
          <w:pgMar w:left="240" w:top="258" w:right="219" w:bottom="1440" w:gutter="0" w:footer="0" w:header="0"/>
        </w:sectPr>
      </w:pPr>
    </w:p>
    <w:bookmarkStart w:id="4" w:name="page5"/>
    <w:bookmarkEnd w:id="4"/>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2"/>
                <w:szCs w:val="12"/>
                <w:b w:val="1"/>
                <w:bCs w:val="1"/>
                <w:color w:val="auto"/>
                <w:w w:val="88"/>
              </w:rPr>
              <w:t>Three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160" w:type="dxa"/>
            <w:vAlign w:val="bottom"/>
          </w:tcPr>
          <w:p>
            <w:pPr>
              <w:spacing w:after="0"/>
              <w:rPr>
                <w:sz w:val="12"/>
                <w:szCs w:val="12"/>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8"/>
                <w:szCs w:val="8"/>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4,644.8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4,144.8</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Cost of services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3,800.6</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3,388.2</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12.2%</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844.2</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756.6</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675.3</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624.6</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8.1%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19"/>
              <w:spacing w:after="0"/>
              <w:rPr>
                <w:sz w:val="20"/>
                <w:szCs w:val="20"/>
                <w:color w:val="auto"/>
              </w:rPr>
            </w:pPr>
            <w:r>
              <w:rPr>
                <w:rFonts w:ascii="Arial" w:cs="Arial" w:eastAsia="Arial" w:hAnsi="Arial"/>
                <w:sz w:val="15"/>
                <w:szCs w:val="15"/>
                <w:color w:val="auto"/>
              </w:rPr>
              <w:t>11.9</w:t>
            </w: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-10.5%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29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158.3</w:t>
            </w: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120.1</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31.8%</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31.8%</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34.1%</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1.18</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0.88</w:t>
            </w: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0.87</w:t>
            </w:r>
          </w:p>
        </w:tc>
        <w:tc>
          <w:tcPr>
            <w:tcW w:w="1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-2.0%</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w:t>
            </w: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9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86.7</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w:t>
            </w:r>
          </w:p>
        </w:tc>
        <w:tc>
          <w:tcPr>
            <w:tcW w:w="1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-1.8%</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40" w:hanging="446"/>
        <w:spacing w:after="0" w:line="329" w:lineRule="auto"/>
        <w:tabs>
          <w:tab w:leader="none" w:pos="44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Revenues from services include fees received from our franchise offices of $9.6 million for the three months ended September 30, 2006 and 2005. These fees are primarily based on revenues generated by the franchise offices, which were $392.3 million and $396.6 million for the three months ended September 30, 2006 and 2005, respectively.</w:t>
      </w:r>
    </w:p>
    <w:p>
      <w:pPr>
        <w:sectPr>
          <w:pgSz w:w="11900" w:h="16838" w:orient="portrait"/>
          <w:cols w:equalWidth="0" w:num="1">
            <w:col w:w="11446"/>
          </w:cols>
          <w:pgMar w:left="234" w:top="262" w:right="219" w:bottom="1440" w:gutter="0" w:footer="0" w:header="0"/>
        </w:sectPr>
      </w:pPr>
    </w:p>
    <w:bookmarkStart w:id="5" w:name="page6"/>
    <w:bookmarkEnd w:id="5"/>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7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2"/>
                <w:szCs w:val="12"/>
                <w:b w:val="1"/>
                <w:bCs w:val="1"/>
                <w:color w:val="auto"/>
                <w:w w:val="92"/>
              </w:rPr>
              <w:t>Three Months Ended September 30</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7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Borders>
              <w:bottom w:val="single" w:sz="8" w:color="auto"/>
            </w:tcBorders>
            <w:gridSpan w:val="3"/>
          </w:tcPr>
          <w:p>
            <w:pPr>
              <w:jc w:val="right"/>
              <w:ind w:right="326"/>
              <w:spacing w:after="0" w:line="121" w:lineRule="exact"/>
              <w:rPr>
                <w:sz w:val="20"/>
                <w:szCs w:val="20"/>
                <w:color w:val="auto"/>
              </w:rPr>
            </w:pPr>
            <w:r>
              <w:rPr>
                <w:rFonts w:ascii="Arial" w:cs="Arial" w:eastAsia="Arial" w:hAnsi="Arial"/>
                <w:sz w:val="12"/>
                <w:szCs w:val="12"/>
                <w:b w:val="1"/>
                <w:bCs w:val="1"/>
                <w:color w:val="auto"/>
              </w:rPr>
              <w:t>% Variance</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4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84"/>
              </w:rPr>
              <w:t>Constant</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2005</w:t>
            </w:r>
          </w:p>
        </w:tc>
        <w:tc>
          <w:tcPr>
            <w:tcW w:w="38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83"/>
              </w:rPr>
              <w:t>Reported</w:t>
            </w: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7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United States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542.1</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531.5</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2.0%</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1,654.0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1,479.3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1,668.0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1,400.8</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19.1%</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103.9</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91.4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96.0</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-4.8%</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595.4</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8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12.1%</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8.8%</w:t>
            </w:r>
          </w:p>
        </w:tc>
        <w:tc>
          <w:tcPr>
            <w:tcW w:w="0" w:type="dxa"/>
            <w:vAlign w:val="bottom"/>
          </w:tcPr>
          <w:p>
            <w:pPr>
              <w:spacing w:after="0" w:line="20" w:lineRule="exact"/>
              <w:rPr>
                <w:sz w:val="1"/>
                <w:szCs w:val="1"/>
                <w:color w:val="auto"/>
              </w:rPr>
            </w:pPr>
          </w:p>
        </w:tc>
      </w:tr>
      <w:tr>
        <w:trPr>
          <w:trHeight w:val="191"/>
        </w:trPr>
        <w:tc>
          <w:tcPr>
            <w:tcW w:w="78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4,644.8</w:t>
            </w: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4,144.8</w:t>
            </w:r>
          </w:p>
        </w:tc>
        <w:tc>
          <w:tcPr>
            <w:tcW w:w="128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Operating Unit Profit: (a)</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28.6</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22.6</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26.7%</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22.4%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71.0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46.2</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53.8%</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-13.7%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-12.0%</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16.7</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0.8%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190.1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149.6</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3.3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3.3</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168.9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10.6</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11.9</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6" w:right="720" w:hanging="386"/>
        <w:spacing w:after="0" w:line="291" w:lineRule="auto"/>
        <w:tabs>
          <w:tab w:leader="none" w:pos="332" w:val="left"/>
        </w:tabs>
        <w:numPr>
          <w:ilvl w:val="0"/>
          <w:numId w:val="3"/>
        </w:numPr>
        <w:rPr>
          <w:rFonts w:ascii="Arial" w:cs="Arial" w:eastAsia="Arial" w:hAnsi="Arial"/>
          <w:sz w:val="15"/>
          <w:szCs w:val="15"/>
          <w:color w:val="auto"/>
        </w:rPr>
      </w:pPr>
      <w:r>
        <w:rPr>
          <w:rFonts w:ascii="Arial" w:cs="Arial" w:eastAsia="Arial" w:hAnsi="Arial"/>
          <w:sz w:val="15"/>
          <w:szCs w:val="15"/>
          <w:color w:val="auto"/>
        </w:rPr>
        <w:t>Certain Eastern European countries previously reported in France are now reported in EMEA due to a change in management structure. All previously reported results for France and EMEA have been restated to conform to the current presentation.</w:t>
      </w:r>
    </w:p>
    <w:p>
      <w:pPr>
        <w:spacing w:after="0" w:line="52" w:lineRule="exact"/>
        <w:rPr>
          <w:rFonts w:ascii="Arial" w:cs="Arial" w:eastAsia="Arial" w:hAnsi="Arial"/>
          <w:sz w:val="15"/>
          <w:szCs w:val="15"/>
          <w:color w:val="auto"/>
        </w:rPr>
      </w:pPr>
    </w:p>
    <w:p>
      <w:pPr>
        <w:ind w:left="386" w:right="440" w:hanging="386"/>
        <w:spacing w:after="0" w:line="276" w:lineRule="auto"/>
        <w:tabs>
          <w:tab w:leader="none" w:pos="341"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$6.6 million and $6.7 million for the three months ended September 30, 2006 and 2005, respectively. These fees are primarily based on revenues generated by the franchise offices, which were $285.9 million and $310.7 million for the three months ended September 30, 2006 and 2005, respectively.</w:t>
      </w:r>
    </w:p>
    <w:p>
      <w:pPr>
        <w:spacing w:after="0" w:line="63" w:lineRule="exact"/>
        <w:rPr>
          <w:rFonts w:ascii="Arial" w:cs="Arial" w:eastAsia="Arial" w:hAnsi="Arial"/>
          <w:sz w:val="15"/>
          <w:szCs w:val="15"/>
          <w:color w:val="auto"/>
        </w:rPr>
      </w:pPr>
    </w:p>
    <w:p>
      <w:pPr>
        <w:ind w:left="326" w:hanging="326"/>
        <w:spacing w:after="0"/>
        <w:tabs>
          <w:tab w:leader="none" w:pos="32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14.4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140" w:type="dxa"/>
            <w:vAlign w:val="bottom"/>
            <w:shd w:val="clear" w:color="auto" w:fill="CCEEFF"/>
          </w:tcPr>
          <w:p>
            <w:pPr>
              <w:spacing w:after="0"/>
              <w:rPr>
                <w:sz w:val="16"/>
                <w:szCs w:val="16"/>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2"/>
          </w:tcPr>
          <w:p>
            <w:pPr>
              <w:jc w:val="right"/>
              <w:ind w:right="2080"/>
              <w:spacing w:after="0"/>
              <w:rPr>
                <w:sz w:val="20"/>
                <w:szCs w:val="20"/>
                <w:color w:val="auto"/>
              </w:rPr>
            </w:pPr>
            <w:r>
              <w:rPr>
                <w:rFonts w:ascii="Arial" w:cs="Arial" w:eastAsia="Arial" w:hAnsi="Arial"/>
                <w:sz w:val="15"/>
                <w:szCs w:val="15"/>
                <w:color w:val="auto"/>
              </w:rPr>
              <w:t>(2.0)</w:t>
            </w:r>
          </w:p>
        </w:tc>
      </w:tr>
      <w:tr>
        <w:trPr>
          <w:trHeight w:val="18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Foreign exchange losses (gains)</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right"/>
              <w:ind w:right="2080"/>
              <w:spacing w:after="0"/>
              <w:rPr>
                <w:sz w:val="20"/>
                <w:szCs w:val="20"/>
                <w:color w:val="auto"/>
              </w:rPr>
            </w:pPr>
            <w:r>
              <w:rPr>
                <w:rFonts w:ascii="Arial" w:cs="Arial" w:eastAsia="Arial" w:hAnsi="Arial"/>
                <w:sz w:val="15"/>
                <w:szCs w:val="15"/>
                <w:color w:val="auto"/>
              </w:rPr>
              <w:t>(0.2)</w:t>
            </w:r>
          </w:p>
        </w:tc>
      </w:tr>
      <w:tr>
        <w:trPr>
          <w:trHeight w:val="188"/>
        </w:trPr>
        <w:tc>
          <w:tcPr>
            <w:tcW w:w="7860" w:type="dxa"/>
            <w:vAlign w:val="bottom"/>
          </w:tcPr>
          <w:p>
            <w:pPr>
              <w:ind w:left="380"/>
              <w:spacing w:after="0"/>
              <w:rPr>
                <w:sz w:val="20"/>
                <w:szCs w:val="20"/>
                <w:color w:val="auto"/>
              </w:rPr>
            </w:pPr>
            <w:r>
              <w:rPr>
                <w:rFonts w:ascii="Arial" w:cs="Arial" w:eastAsia="Arial" w:hAnsi="Arial"/>
                <w:sz w:val="15"/>
                <w:szCs w:val="15"/>
                <w:color w:val="auto"/>
              </w:rPr>
              <w:t>Miscellaneous expenses, net</w:t>
            </w:r>
          </w:p>
        </w:tc>
        <w:tc>
          <w:tcPr>
            <w:tcW w:w="1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0.3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1.6</w:t>
            </w:r>
          </w:p>
        </w:tc>
        <w:tc>
          <w:tcPr>
            <w:tcW w:w="214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r>
      <w:tr>
        <w:trPr>
          <w:trHeight w:val="188"/>
        </w:trPr>
        <w:tc>
          <w:tcPr>
            <w:tcW w:w="78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140" w:type="dxa"/>
            <w:vAlign w:val="bottom"/>
            <w:shd w:val="clear" w:color="auto" w:fill="CCEEFF"/>
          </w:tcPr>
          <w:p>
            <w:pPr>
              <w:spacing w:after="0"/>
              <w:rPr>
                <w:sz w:val="16"/>
                <w:szCs w:val="16"/>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w w:val="91"/>
              </w:rPr>
              <w:t>Nine Months Ended September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5"/>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0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tcPr>
          <w:p>
            <w:pPr>
              <w:jc w:val="right"/>
              <w:ind w:right="86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13,014.7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88"/>
              </w:rPr>
              <w:t>11,957.2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Arial" w:cs="Arial" w:eastAsia="Arial" w:hAnsi="Arial"/>
                <w:sz w:val="15"/>
                <w:szCs w:val="15"/>
                <w:color w:val="auto"/>
              </w:rPr>
              <w:t>Cost of services</w:t>
            </w: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10,636.7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9,779.4</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8.8%</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2,378.0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2,177.8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2,010.3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1,873.6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7.3%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304.2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34.9</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2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269.3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34.0%</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98.3</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29.6%</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9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171.0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39.9%</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80" w:type="dxa"/>
            <w:vAlign w:val="bottom"/>
            <w:vMerge w:val="continue"/>
          </w:tcPr>
          <w:p>
            <w:pPr>
              <w:spacing w:after="0"/>
              <w:rPr>
                <w:sz w:val="15"/>
                <w:szCs w:val="15"/>
                <w:color w:val="auto"/>
              </w:rPr>
            </w:pPr>
          </w:p>
        </w:tc>
        <w:tc>
          <w:tcPr>
            <w:tcW w:w="30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2.70</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1.93</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29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1.88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-2.2%</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86.5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color w:val="auto"/>
              </w:rPr>
              <w:t>88.4</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91.7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-4.0%</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00" w:hanging="446"/>
        <w:spacing w:after="0" w:line="276" w:lineRule="auto"/>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$26.4 million and $26.7 million for the nine months ended September 30, 2006 and 2005, respectively. These fees are primarily based on revenues generated by the franchise offices, which were $1,143.8 million and $1,122.1 million for the nine months ended September 30, 2006 and 2005, respectively.</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7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2"/>
                <w:szCs w:val="12"/>
                <w:b w:val="1"/>
                <w:bCs w:val="1"/>
                <w:color w:val="auto"/>
                <w:w w:val="97"/>
              </w:rPr>
              <w:t>Nine Months Ended September 30</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21"/>
        </w:trPr>
        <w:tc>
          <w:tcPr>
            <w:tcW w:w="7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Borders>
              <w:bottom w:val="single" w:sz="8" w:color="auto"/>
            </w:tcBorders>
            <w:gridSpan w:val="3"/>
          </w:tcPr>
          <w:p>
            <w:pPr>
              <w:jc w:val="right"/>
              <w:ind w:right="326"/>
              <w:spacing w:after="0" w:line="121" w:lineRule="exact"/>
              <w:rPr>
                <w:sz w:val="20"/>
                <w:szCs w:val="20"/>
                <w:color w:val="auto"/>
              </w:rPr>
            </w:pPr>
            <w:r>
              <w:rPr>
                <w:rFonts w:ascii="Arial" w:cs="Arial" w:eastAsia="Arial" w:hAnsi="Arial"/>
                <w:sz w:val="12"/>
                <w:szCs w:val="12"/>
                <w:b w:val="1"/>
                <w:bCs w:val="1"/>
                <w:color w:val="auto"/>
              </w:rPr>
              <w:t>% Variance</w:t>
            </w:r>
          </w:p>
        </w:tc>
        <w:tc>
          <w:tcPr>
            <w:tcW w:w="380" w:type="dxa"/>
            <w:vAlign w:val="bottom"/>
          </w:tcPr>
          <w:p>
            <w:pPr>
              <w:spacing w:after="0"/>
              <w:rPr>
                <w:sz w:val="10"/>
                <w:szCs w:val="10"/>
                <w:color w:val="auto"/>
              </w:rPr>
            </w:pPr>
          </w:p>
        </w:tc>
      </w:tr>
      <w:tr>
        <w:trPr>
          <w:trHeight w:val="110"/>
        </w:trPr>
        <w:tc>
          <w:tcPr>
            <w:tcW w:w="7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tcPr>
          <w:p>
            <w:pPr>
              <w:jc w:val="right"/>
              <w:ind w:right="46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84"/>
              </w:rPr>
              <w:t>Constant</w:t>
            </w:r>
          </w:p>
        </w:tc>
        <w:tc>
          <w:tcPr>
            <w:tcW w:w="380" w:type="dxa"/>
            <w:vAlign w:val="bottom"/>
          </w:tcPr>
          <w:p>
            <w:pPr>
              <w:spacing w:after="0"/>
              <w:rPr>
                <w:sz w:val="9"/>
                <w:szCs w:val="9"/>
                <w:color w:val="auto"/>
              </w:rPr>
            </w:pPr>
          </w:p>
        </w:tc>
      </w:tr>
      <w:tr>
        <w:trPr>
          <w:trHeight w:val="140"/>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4"/>
              <w:spacing w:after="0"/>
              <w:rPr>
                <w:sz w:val="20"/>
                <w:szCs w:val="20"/>
                <w:color w:val="auto"/>
              </w:rPr>
            </w:pPr>
            <w:r>
              <w:rPr>
                <w:rFonts w:ascii="Arial" w:cs="Arial" w:eastAsia="Arial" w:hAnsi="Arial"/>
                <w:sz w:val="12"/>
                <w:szCs w:val="12"/>
                <w:b w:val="1"/>
                <w:bCs w:val="1"/>
                <w:color w:val="auto"/>
              </w:rPr>
              <w:t>2006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rPr>
                <w:sz w:val="20"/>
                <w:szCs w:val="20"/>
                <w:color w:val="auto"/>
              </w:rPr>
            </w:pPr>
            <w:r>
              <w:rPr>
                <w:rFonts w:ascii="Arial" w:cs="Arial" w:eastAsia="Arial" w:hAnsi="Arial"/>
                <w:sz w:val="12"/>
                <w:szCs w:val="12"/>
                <w:b w:val="1"/>
                <w:bCs w:val="1"/>
                <w:color w:val="auto"/>
              </w:rPr>
              <w:t>2005</w:t>
            </w:r>
          </w:p>
        </w:tc>
        <w:tc>
          <w:tcPr>
            <w:tcW w:w="38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83"/>
              </w:rPr>
              <w:t>Reported</w:t>
            </w: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7"/>
              </w:rPr>
              <w:t>Currency</w:t>
            </w: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21"/>
        </w:trPr>
        <w:tc>
          <w:tcPr>
            <w:tcW w:w="7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4"/>
          </w:tcPr>
          <w:p>
            <w:pPr>
              <w:jc w:val="right"/>
              <w:ind w:right="9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88"/>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United States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1,587.0</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1,514.1</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4.8%</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4.8%</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4,430.1</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4,114.3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8.6%</w:t>
            </w: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4,691.0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4,173.8</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12.4%</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13.8%</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288.2</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290.1</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-0.6%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-0.6%</w:t>
            </w: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291.3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308.5</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-5.6%</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-5.1%</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1,727.1</w:t>
            </w:r>
          </w:p>
        </w:tc>
        <w:tc>
          <w:tcPr>
            <w:tcW w:w="3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1,556.4</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13.9%</w:t>
            </w:r>
          </w:p>
        </w:tc>
      </w:tr>
      <w:tr>
        <w:trPr>
          <w:trHeight w:val="191"/>
        </w:trPr>
        <w:tc>
          <w:tcPr>
            <w:tcW w:w="77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13,014.7</w:t>
            </w:r>
          </w:p>
        </w:tc>
        <w:tc>
          <w:tcPr>
            <w:tcW w:w="4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8"/>
              </w:rPr>
              <w:t>11,957.2</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8.8%</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10.0%</w:t>
            </w: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Operating Unit Profit: (a)</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60.6</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45.5</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33.3%</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33.3%</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142.1</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121.0</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17.4%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17.2%</w:t>
            </w: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145.1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98.2</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47.7%</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46.6%</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-11.2%</w:t>
            </w: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21.2</w:t>
            </w:r>
          </w:p>
        </w:tc>
        <w:tc>
          <w:tcPr>
            <w:tcW w:w="1280" w:type="dxa"/>
            <w:vAlign w:val="bottom"/>
            <w:gridSpan w:val="3"/>
          </w:tcPr>
          <w:p>
            <w:pPr>
              <w:jc w:val="right"/>
              <w:ind w:right="320"/>
              <w:spacing w:after="0"/>
              <w:rPr>
                <w:sz w:val="20"/>
                <w:szCs w:val="20"/>
                <w:color w:val="auto"/>
              </w:rPr>
            </w:pPr>
            <w:r>
              <w:rPr>
                <w:rFonts w:ascii="Arial" w:cs="Arial" w:eastAsia="Arial" w:hAnsi="Arial"/>
                <w:sz w:val="15"/>
                <w:szCs w:val="15"/>
                <w:color w:val="auto"/>
              </w:rPr>
              <w:t>-18.8%</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-20.3%</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3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17.1%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22.1%</w:t>
            </w:r>
          </w:p>
        </w:tc>
      </w:tr>
      <w:tr>
        <w:trPr>
          <w:trHeight w:val="191"/>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440.1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357.1</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9"/>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367.7</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304.2</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20.9%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21.1%</w:t>
            </w:r>
          </w:p>
        </w:tc>
      </w:tr>
      <w:tr>
        <w:trPr>
          <w:trHeight w:val="192"/>
        </w:trPr>
        <w:tc>
          <w:tcPr>
            <w:tcW w:w="770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99" w:lineRule="exact"/>
        <w:rPr>
          <w:sz w:val="20"/>
          <w:szCs w:val="20"/>
          <w:color w:val="auto"/>
        </w:rPr>
      </w:pPr>
    </w:p>
    <w:p>
      <w:pPr>
        <w:ind w:left="386" w:right="720" w:hanging="386"/>
        <w:spacing w:after="0" w:line="291" w:lineRule="auto"/>
        <w:tabs>
          <w:tab w:leader="none" w:pos="332"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Eastern European countries previously reported in France are now reported in EMEA due to a change in management structure. All previously reported results for France and EMEA have been restated to conform to the current presentation.</w:t>
      </w:r>
    </w:p>
    <w:p>
      <w:pPr>
        <w:spacing w:after="0" w:line="52" w:lineRule="exact"/>
        <w:rPr>
          <w:rFonts w:ascii="Arial" w:cs="Arial" w:eastAsia="Arial" w:hAnsi="Arial"/>
          <w:sz w:val="15"/>
          <w:szCs w:val="15"/>
          <w:color w:val="auto"/>
        </w:rPr>
      </w:pPr>
    </w:p>
    <w:p>
      <w:pPr>
        <w:ind w:left="326" w:hanging="326"/>
        <w:spacing w:after="0"/>
        <w:tabs>
          <w:tab w:leader="none" w:pos="32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$17.9 million and $18.4 million for the nine months ended</w:t>
      </w:r>
    </w:p>
    <w:p>
      <w:pPr>
        <w:spacing w:after="0" w:line="22" w:lineRule="exact"/>
        <w:rPr>
          <w:sz w:val="20"/>
          <w:szCs w:val="20"/>
          <w:color w:val="auto"/>
        </w:rPr>
      </w:pPr>
    </w:p>
    <w:p>
      <w:pPr>
        <w:ind w:left="386" w:right="480"/>
        <w:spacing w:after="0" w:line="283" w:lineRule="auto"/>
        <w:rPr>
          <w:sz w:val="20"/>
          <w:szCs w:val="20"/>
          <w:color w:val="auto"/>
        </w:rPr>
      </w:pPr>
      <w:r>
        <w:rPr>
          <w:rFonts w:ascii="Arial" w:cs="Arial" w:eastAsia="Arial" w:hAnsi="Arial"/>
          <w:sz w:val="15"/>
          <w:szCs w:val="15"/>
          <w:color w:val="auto"/>
        </w:rPr>
        <w:t>September 30, 2006 and 2005, respectively. These fees are primarily based on revenues generated by the franchise offices, which were $860.1 million and $885.1 million for the nine months ended September 30, 2006 and 2005, respectively.</w:t>
      </w:r>
    </w:p>
    <w:p>
      <w:pPr>
        <w:spacing w:after="0" w:line="57"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The components of interest and other (income) expenses were:</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2140" w:type="dxa"/>
            <w:vAlign w:val="bottom"/>
            <w:shd w:val="clear" w:color="auto" w:fill="CCEEFF"/>
          </w:tcPr>
          <w:p>
            <w:pPr>
              <w:spacing w:after="0"/>
              <w:rPr>
                <w:sz w:val="16"/>
                <w:szCs w:val="16"/>
                <w:color w:val="auto"/>
              </w:rPr>
            </w:pPr>
          </w:p>
        </w:tc>
      </w:tr>
      <w:tr>
        <w:trPr>
          <w:trHeight w:val="188"/>
        </w:trPr>
        <w:tc>
          <w:tcPr>
            <w:tcW w:w="7700" w:type="dxa"/>
            <w:vAlign w:val="bottom"/>
          </w:tcPr>
          <w:p>
            <w:pPr>
              <w:ind w:left="38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(11.5)</w:t>
            </w:r>
          </w:p>
        </w:tc>
        <w:tc>
          <w:tcPr>
            <w:tcW w:w="220" w:type="dxa"/>
            <w:vAlign w:val="bottom"/>
          </w:tcPr>
          <w:p>
            <w:pPr>
              <w:spacing w:after="0"/>
              <w:rPr>
                <w:sz w:val="16"/>
                <w:szCs w:val="16"/>
                <w:color w:val="auto"/>
              </w:rPr>
            </w:pPr>
          </w:p>
        </w:tc>
        <w:tc>
          <w:tcPr>
            <w:tcW w:w="2540" w:type="dxa"/>
            <w:vAlign w:val="bottom"/>
            <w:gridSpan w:val="2"/>
          </w:tcPr>
          <w:p>
            <w:pPr>
              <w:jc w:val="right"/>
              <w:ind w:right="2080"/>
              <w:spacing w:after="0"/>
              <w:rPr>
                <w:sz w:val="20"/>
                <w:szCs w:val="20"/>
                <w:color w:val="auto"/>
              </w:rPr>
            </w:pPr>
            <w:r>
              <w:rPr>
                <w:rFonts w:ascii="Arial" w:cs="Arial" w:eastAsia="Arial" w:hAnsi="Arial"/>
                <w:sz w:val="15"/>
                <w:szCs w:val="15"/>
                <w:color w:val="auto"/>
              </w:rPr>
              <w:t>(6.4)</w:t>
            </w:r>
          </w:p>
        </w:tc>
      </w:tr>
      <w:tr>
        <w:trPr>
          <w:trHeight w:val="18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Foreign exchange losses</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jc w:val="right"/>
              <w:ind w:right="2220"/>
              <w:spacing w:after="0"/>
              <w:rPr>
                <w:sz w:val="20"/>
                <w:szCs w:val="20"/>
                <w:color w:val="auto"/>
              </w:rPr>
            </w:pPr>
            <w:r>
              <w:rPr>
                <w:rFonts w:ascii="Arial" w:cs="Arial" w:eastAsia="Arial" w:hAnsi="Arial"/>
                <w:sz w:val="15"/>
                <w:szCs w:val="15"/>
                <w:color w:val="auto"/>
              </w:rPr>
              <w:t>—</w:t>
            </w:r>
          </w:p>
        </w:tc>
      </w:tr>
      <w:tr>
        <w:trPr>
          <w:trHeight w:val="192"/>
        </w:trPr>
        <w:tc>
          <w:tcPr>
            <w:tcW w:w="7700" w:type="dxa"/>
            <w:vAlign w:val="bottom"/>
          </w:tcPr>
          <w:p>
            <w:pPr>
              <w:ind w:left="380"/>
              <w:spacing w:after="0"/>
              <w:rPr>
                <w:sz w:val="20"/>
                <w:szCs w:val="20"/>
                <w:color w:val="auto"/>
              </w:rPr>
            </w:pPr>
            <w:r>
              <w:rPr>
                <w:rFonts w:ascii="Arial" w:cs="Arial" w:eastAsia="Arial" w:hAnsi="Arial"/>
                <w:sz w:val="15"/>
                <w:szCs w:val="15"/>
                <w:color w:val="auto"/>
              </w:rPr>
              <w:t>Miscellaneous (income) expense, net</w:t>
            </w:r>
          </w:p>
        </w:tc>
        <w:tc>
          <w:tcPr>
            <w:tcW w:w="18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rPr>
              <w:t>(23.3)</w:t>
            </w: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6.5</w:t>
            </w:r>
          </w:p>
        </w:tc>
        <w:tc>
          <w:tcPr>
            <w:tcW w:w="2140" w:type="dxa"/>
            <w:vAlign w:val="bottom"/>
          </w:tcPr>
          <w:p>
            <w:pPr>
              <w:spacing w:after="0"/>
              <w:rPr>
                <w:sz w:val="16"/>
                <w:szCs w:val="16"/>
                <w:color w:val="auto"/>
              </w:rPr>
            </w:pPr>
          </w:p>
        </w:tc>
      </w:tr>
      <w:tr>
        <w:trPr>
          <w:trHeight w:val="188"/>
        </w:trPr>
        <w:tc>
          <w:tcPr>
            <w:tcW w:w="770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36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2140" w:type="dxa"/>
            <w:vAlign w:val="bottom"/>
            <w:shd w:val="clear" w:color="auto" w:fill="CCEEFF"/>
          </w:tcPr>
          <w:p>
            <w:pPr>
              <w:spacing w:after="0"/>
              <w:rPr>
                <w:sz w:val="16"/>
                <w:szCs w:val="16"/>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0"/>
              </w:rPr>
              <w:t>Sep. 30</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Dec. 31</w:t>
            </w:r>
          </w:p>
        </w:tc>
      </w:tr>
      <w:tr>
        <w:trPr>
          <w:trHeight w:val="140"/>
        </w:trPr>
        <w:tc>
          <w:tcPr>
            <w:tcW w:w="10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21"/>
        </w:trPr>
        <w:tc>
          <w:tcPr>
            <w:tcW w:w="10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right"/>
              <w:ind w:right="440"/>
              <w:spacing w:after="0" w:line="121" w:lineRule="exact"/>
              <w:rPr>
                <w:sz w:val="20"/>
                <w:szCs w:val="20"/>
                <w:color w:val="auto"/>
              </w:rPr>
            </w:pPr>
            <w:r>
              <w:rPr>
                <w:rFonts w:ascii="Arial" w:cs="Arial" w:eastAsia="Arial" w:hAnsi="Arial"/>
                <w:sz w:val="12"/>
                <w:szCs w:val="12"/>
                <w:b w:val="1"/>
                <w:bCs w:val="1"/>
                <w:color w:val="auto"/>
              </w:rPr>
              <w:t>(Unaudited)</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454.9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3,772.1</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3,208.2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104.4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95.5</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4,456.5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3,841.7</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1,279.9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1,256.5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308.5</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273.8</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1,588.4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1,530.3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686.0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642.4</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194.6</w:t>
            </w: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6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6,239.5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883.6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175.3</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150.6</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598.0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629.6</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607.2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524.4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441.9</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2,839.3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2,580.5</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759.9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475.0</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399.6</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366.3</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1,159.5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841.3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2,397.8</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2,346.7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479.8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Accumulated other comprehensive income (loss)</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47.8</w:t>
            </w:r>
          </w:p>
        </w:tc>
        <w:tc>
          <w:tcPr>
            <w:tcW w:w="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(11.0)</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(685.7)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(460.0)</w:t>
            </w:r>
          </w:p>
        </w:tc>
      </w:tr>
      <w:tr>
        <w:trPr>
          <w:trHeight w:val="195"/>
        </w:trPr>
        <w:tc>
          <w:tcPr>
            <w:tcW w:w="10020" w:type="dxa"/>
            <w:vAlign w:val="bottom"/>
          </w:tcPr>
          <w:p>
            <w:pPr>
              <w:ind w:left="740"/>
              <w:spacing w:after="0"/>
              <w:rPr>
                <w:sz w:val="20"/>
                <w:szCs w:val="20"/>
                <w:color w:val="auto"/>
              </w:rPr>
            </w:pPr>
            <w:r>
              <w:rPr>
                <w:rFonts w:ascii="Arial" w:cs="Arial" w:eastAsia="Arial" w:hAnsi="Arial"/>
                <w:sz w:val="15"/>
                <w:szCs w:val="15"/>
                <w:color w:val="auto"/>
              </w:rPr>
              <w:t>Total shareholders’ equity</w:t>
            </w: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2,240.7</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2,146.6</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6,239.5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9"/>
              </w:rPr>
              <w:t>Nine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8"/>
              </w:rPr>
              <w:t>September 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2006</w:t>
            </w:r>
          </w:p>
        </w:tc>
        <w:tc>
          <w:tcPr>
            <w:tcW w:w="40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44"/>
              <w:spacing w:after="0" w:line="121" w:lineRule="exact"/>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79"/>
              </w:rPr>
              <w:t>(Unaudited)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w w:val="91"/>
              </w:rPr>
              <w:t>$ 233.6</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$ 171.0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65.8</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67.7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discount on convertible debentures</w:t>
            </w:r>
          </w:p>
        </w:tc>
        <w:tc>
          <w:tcPr>
            <w:tcW w:w="880" w:type="dxa"/>
            <w:vAlign w:val="bottom"/>
            <w:gridSpan w:val="2"/>
            <w:shd w:val="clear" w:color="auto" w:fill="CCEEFF"/>
          </w:tcPr>
          <w:p>
            <w:pPr>
              <w:jc w:val="right"/>
              <w:ind w:right="433"/>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(27.6)</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Provision for doubtful accounts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18.6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Stock based compensation</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15.9</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(1.6)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Other non-operating gains</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(29.3)</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Accounts receivable</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(396.2)</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(307.1)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Other assets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22.7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Other liabilities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329.6</w:t>
            </w:r>
          </w:p>
        </w:tc>
        <w:tc>
          <w:tcPr>
            <w:tcW w:w="4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provided by operating activities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231.5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175.0</w:t>
            </w: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Capital expenditures</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(47.3)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(7.8)</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sale of business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29.6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sale of an equity interest</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8.8</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0" w:type="dxa"/>
            <w:vAlign w:val="bottom"/>
          </w:tcPr>
          <w:p>
            <w:pPr>
              <w:ind w:left="1480"/>
              <w:spacing w:after="0"/>
              <w:rPr>
                <w:sz w:val="20"/>
                <w:szCs w:val="20"/>
                <w:color w:val="auto"/>
              </w:rPr>
            </w:pPr>
            <w:r>
              <w:rPr>
                <w:rFonts w:ascii="Arial" w:cs="Arial" w:eastAsia="Arial" w:hAnsi="Arial"/>
                <w:sz w:val="15"/>
                <w:szCs w:val="15"/>
                <w:color w:val="auto"/>
              </w:rPr>
              <w:t>Cash used by investing activities</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(13.1)</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(54.9)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(0.6)</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paid to settle convertible debentures</w:t>
            </w:r>
          </w:p>
        </w:tc>
        <w:tc>
          <w:tcPr>
            <w:tcW w:w="880" w:type="dxa"/>
            <w:vAlign w:val="bottom"/>
            <w:gridSpan w:val="2"/>
            <w:shd w:val="clear" w:color="auto" w:fill="CCEEFF"/>
          </w:tcPr>
          <w:p>
            <w:pPr>
              <w:jc w:val="right"/>
              <w:ind w:right="433"/>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settlement of swap agreements</w:t>
            </w:r>
          </w:p>
        </w:tc>
        <w:tc>
          <w:tcPr>
            <w:tcW w:w="880" w:type="dxa"/>
            <w:vAlign w:val="bottom"/>
            <w:gridSpan w:val="2"/>
          </w:tcPr>
          <w:p>
            <w:pPr>
              <w:jc w:val="right"/>
              <w:ind w:right="433"/>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rPr>
              <w:t>45.2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tcPr>
          <w:p>
            <w:pPr>
              <w:jc w:val="right"/>
              <w:ind w:right="353"/>
              <w:spacing w:after="0"/>
              <w:rPr>
                <w:sz w:val="20"/>
                <w:szCs w:val="20"/>
                <w:color w:val="auto"/>
              </w:rPr>
            </w:pPr>
            <w:r>
              <w:rPr>
                <w:rFonts w:ascii="Arial" w:cs="Arial" w:eastAsia="Arial" w:hAnsi="Arial"/>
                <w:sz w:val="15"/>
                <w:szCs w:val="15"/>
                <w:color w:val="auto"/>
              </w:rPr>
              <w:t>1.6</w:t>
            </w:r>
          </w:p>
        </w:tc>
        <w:tc>
          <w:tcPr>
            <w:tcW w:w="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Repurchases of common stock</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(235.9)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Dividends paid</w:t>
            </w:r>
          </w:p>
        </w:tc>
        <w:tc>
          <w:tcPr>
            <w:tcW w:w="880" w:type="dxa"/>
            <w:vAlign w:val="bottom"/>
            <w:gridSpan w:val="2"/>
          </w:tcPr>
          <w:p>
            <w:pPr>
              <w:jc w:val="right"/>
              <w:ind w:right="313"/>
              <w:spacing w:after="0"/>
              <w:rPr>
                <w:sz w:val="20"/>
                <w:szCs w:val="20"/>
                <w:color w:val="auto"/>
              </w:rPr>
            </w:pPr>
            <w:r>
              <w:rPr>
                <w:rFonts w:ascii="Arial" w:cs="Arial" w:eastAsia="Arial" w:hAnsi="Arial"/>
                <w:sz w:val="15"/>
                <w:szCs w:val="15"/>
                <w:color w:val="auto"/>
              </w:rPr>
              <w:t>(23.7)</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used by financing activities</w:t>
            </w: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5"/>
                <w:szCs w:val="15"/>
                <w:color w:val="auto"/>
              </w:rPr>
              <w:t>(213.4)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(178.3)</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5"/>
                <w:szCs w:val="15"/>
                <w:color w:val="auto"/>
              </w:rPr>
              <w:t>Effect of exchange rate changes on cash</w:t>
            </w: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20" w:type="dxa"/>
            <w:vAlign w:val="bottom"/>
            <w:gridSpan w:val="2"/>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24.6</w:t>
            </w:r>
          </w:p>
        </w:tc>
        <w:tc>
          <w:tcPr>
            <w:tcW w:w="4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(41.9)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4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4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5"/>
                <w:szCs w:val="15"/>
                <w:color w:val="auto"/>
                <w:w w:val="91"/>
              </w:rPr>
              <w:t>$ 484.5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$ 431.7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0" w:name="page11"/>
    <w:bookmarkEnd w:id="10"/>
    <w:p>
      <w:pPr>
        <w:spacing w:after="0"/>
        <w:rPr>
          <w:sz w:val="20"/>
          <w:szCs w:val="20"/>
          <w:color w:val="auto"/>
        </w:rPr>
      </w:pPr>
      <w:r>
        <w:rPr>
          <w:rFonts w:ascii="Arial" w:cs="Arial" w:eastAsia="Arial" w:hAnsi="Arial"/>
          <w:sz w:val="28"/>
          <w:szCs w:val="28"/>
          <w:b w:val="1"/>
          <w:bCs w:val="1"/>
          <w:color w:val="6698C2"/>
        </w:rPr>
        <w:t>Manpower Inc.</w:t>
      </w:r>
    </w:p>
    <w:p>
      <w:pPr>
        <w:ind w:left="840"/>
        <w:spacing w:after="0" w:line="180" w:lineRule="auto"/>
        <w:rPr>
          <w:sz w:val="20"/>
          <w:szCs w:val="20"/>
          <w:color w:val="auto"/>
        </w:rPr>
      </w:pPr>
      <w:r>
        <w:rPr>
          <w:rFonts w:ascii="Arial" w:cs="Arial" w:eastAsia="Arial" w:hAnsi="Arial"/>
          <w:sz w:val="17"/>
          <w:szCs w:val="17"/>
          <w:b w:val="1"/>
          <w:bCs w:val="1"/>
          <w:color w:val="6698C2"/>
        </w:rPr>
        <w:t>rd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4"/>
          <w:szCs w:val="24"/>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205740</wp:posOffset>
            </wp:positionV>
            <wp:extent cx="4128770" cy="431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6920" w:space="720"/>
            <w:col w:w="2459"/>
          </w:cols>
          <w:pgMar w:left="360" w:top="129" w:right="1440"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color w:val="auto"/>
        </w:rPr>
        <w:t>October 17, 2006</w:t>
      </w:r>
    </w:p>
    <w:p>
      <w:pPr>
        <w:sectPr>
          <w:pgSz w:w="11900" w:h="16838" w:orient="portrait"/>
          <w:cols w:equalWidth="0" w:num="1">
            <w:col w:w="10099"/>
          </w:cols>
          <w:pgMar w:left="360" w:top="1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0"/>
        <w:spacing w:after="0"/>
        <w:rPr>
          <w:sz w:val="20"/>
          <w:szCs w:val="20"/>
          <w:color w:val="auto"/>
        </w:rPr>
      </w:pPr>
      <w:r>
        <w:rPr>
          <w:rFonts w:ascii="Arial" w:cs="Arial" w:eastAsia="Arial" w:hAnsi="Arial"/>
          <w:sz w:val="79"/>
          <w:szCs w:val="79"/>
          <w:color w:val="auto"/>
        </w:rPr>
        <w:t>Now</w:t>
      </w:r>
    </w:p>
    <w:p>
      <w:pPr>
        <w:ind w:left="5060"/>
        <w:spacing w:after="0"/>
        <w:rPr>
          <w:sz w:val="20"/>
          <w:szCs w:val="20"/>
          <w:color w:val="auto"/>
        </w:rPr>
      </w:pPr>
      <w:r>
        <w:rPr>
          <w:rFonts w:ascii="Arial" w:cs="Arial" w:eastAsia="Arial" w:hAnsi="Arial"/>
          <w:sz w:val="117"/>
          <w:szCs w:val="117"/>
          <w:color w:val="auto"/>
        </w:rPr>
        <w:t>Next</w:t>
      </w:r>
    </w:p>
    <w:p>
      <w:pPr>
        <w:sectPr>
          <w:pgSz w:w="11900" w:h="16838" w:orient="portrait"/>
          <w:cols w:equalWidth="0" w:num="1">
            <w:col w:w="10099"/>
          </w:cols>
          <w:pgMar w:left="360" w:top="129" w:right="1440" w:bottom="1440" w:gutter="0" w:footer="0" w:header="0"/>
          <w:type w:val="continuous"/>
        </w:sectPr>
      </w:pPr>
    </w:p>
    <w:bookmarkStart w:id="11" w:name="page12"/>
    <w:bookmarkEnd w:id="11"/>
    <w:tbl>
      <w:tblPr>
        <w:tblLayout w:type="fixed"/>
        <w:tblInd w:w="2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2005, which information is incorporated herein by reference, and such other factors as may be described from time to time in the Company’s SEC filings.</w:t>
      </w:r>
    </w:p>
    <w:p>
      <w:pPr>
        <w:sectPr>
          <w:pgSz w:w="11900" w:h="16838" w:orient="portrait"/>
          <w:cols w:equalWidth="0" w:num="1">
            <w:col w:w="9880"/>
          </w:cols>
          <w:pgMar w:left="1200" w:top="447" w:right="819" w:bottom="1440" w:gutter="0" w:footer="0" w:header="0"/>
        </w:sectPr>
      </w:pPr>
    </w:p>
    <w:bookmarkStart w:id="12" w:name="page13"/>
    <w:bookmarkEnd w:id="12"/>
    <w:tbl>
      <w:tblPr>
        <w:tblLayout w:type="fixed"/>
        <w:tblInd w:w="12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47"/>
          <w:szCs w:val="47"/>
          <w:color w:val="6698C2"/>
        </w:rPr>
        <w:t>Consolidated Financial Highlights</w:t>
      </w:r>
    </w:p>
    <w:p>
      <w:pPr>
        <w:spacing w:after="0" w:line="168" w:lineRule="exact"/>
        <w:rPr>
          <w:sz w:val="20"/>
          <w:szCs w:val="20"/>
          <w:color w:val="auto"/>
        </w:rPr>
      </w:pPr>
    </w:p>
    <w:tbl>
      <w:tblPr>
        <w:tblLayout w:type="fixed"/>
        <w:tblInd w:w="2200" w:type="dxa"/>
        <w:tblCellMar>
          <w:top w:w="0" w:type="dxa"/>
          <w:left w:w="0" w:type="dxa"/>
          <w:bottom w:w="0" w:type="dxa"/>
          <w:right w:w="0" w:type="dxa"/>
        </w:tblCellMar>
      </w:tblPr>
      <w:tr>
        <w:trPr>
          <w:trHeight w:val="548"/>
        </w:trPr>
        <w:tc>
          <w:tcPr>
            <w:tcW w:w="1540" w:type="dxa"/>
            <w:vAlign w:val="bottom"/>
          </w:tcPr>
          <w:p>
            <w:pPr>
              <w:spacing w:after="0"/>
              <w:rPr>
                <w:sz w:val="24"/>
                <w:szCs w:val="24"/>
                <w:color w:val="auto"/>
              </w:rPr>
            </w:pPr>
          </w:p>
        </w:tc>
        <w:tc>
          <w:tcPr>
            <w:tcW w:w="4880" w:type="dxa"/>
            <w:vAlign w:val="bottom"/>
          </w:tcPr>
          <w:p>
            <w:pPr>
              <w:ind w:left="140"/>
              <w:spacing w:after="0"/>
              <w:rPr>
                <w:sz w:val="20"/>
                <w:szCs w:val="20"/>
                <w:color w:val="auto"/>
              </w:rPr>
            </w:pPr>
            <w:r>
              <w:rPr>
                <w:rFonts w:ascii="Arial" w:cs="Arial" w:eastAsia="Arial" w:hAnsi="Arial"/>
                <w:sz w:val="41"/>
                <w:szCs w:val="41"/>
                <w:b w:val="1"/>
                <w:bCs w:val="1"/>
                <w:color w:val="auto"/>
              </w:rPr>
              <w:t>Q3 Highlights</w:t>
            </w:r>
          </w:p>
        </w:tc>
        <w:tc>
          <w:tcPr>
            <w:tcW w:w="0" w:type="dxa"/>
            <w:vAlign w:val="bottom"/>
          </w:tcPr>
          <w:p>
            <w:pPr>
              <w:spacing w:after="0"/>
              <w:rPr>
                <w:sz w:val="1"/>
                <w:szCs w:val="1"/>
                <w:color w:val="auto"/>
              </w:rPr>
            </w:pPr>
          </w:p>
        </w:tc>
      </w:tr>
      <w:tr>
        <w:trPr>
          <w:trHeight w:val="582"/>
        </w:trPr>
        <w:tc>
          <w:tcPr>
            <w:tcW w:w="1540" w:type="dxa"/>
            <w:vAlign w:val="bottom"/>
          </w:tcPr>
          <w:p>
            <w:pPr>
              <w:jc w:val="center"/>
              <w:spacing w:after="0"/>
              <w:rPr>
                <w:sz w:val="20"/>
                <w:szCs w:val="20"/>
                <w:color w:val="auto"/>
              </w:rPr>
            </w:pPr>
            <w:r>
              <w:rPr>
                <w:rFonts w:ascii="Arial" w:cs="Arial" w:eastAsia="Arial" w:hAnsi="Arial"/>
                <w:sz w:val="38"/>
                <w:szCs w:val="38"/>
                <w:color w:val="auto"/>
                <w:w w:val="99"/>
              </w:rPr>
              <w:t>12%</w:t>
            </w:r>
          </w:p>
        </w:tc>
        <w:tc>
          <w:tcPr>
            <w:tcW w:w="4880" w:type="dxa"/>
            <w:vAlign w:val="bottom"/>
            <w:vMerge w:val="restart"/>
          </w:tcPr>
          <w:p>
            <w:pPr>
              <w:ind w:left="12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6698C2"/>
              </w:rPr>
              <w:t>$4.6B</w:t>
            </w:r>
          </w:p>
        </w:tc>
        <w:tc>
          <w:tcPr>
            <w:tcW w:w="0" w:type="dxa"/>
            <w:vAlign w:val="bottom"/>
          </w:tcPr>
          <w:p>
            <w:pPr>
              <w:spacing w:after="0"/>
              <w:rPr>
                <w:sz w:val="1"/>
                <w:szCs w:val="1"/>
                <w:color w:val="auto"/>
              </w:rPr>
            </w:pPr>
          </w:p>
        </w:tc>
      </w:tr>
      <w:tr>
        <w:trPr>
          <w:trHeight w:val="452"/>
        </w:trPr>
        <w:tc>
          <w:tcPr>
            <w:tcW w:w="1540" w:type="dxa"/>
            <w:vAlign w:val="bottom"/>
          </w:tcPr>
          <w:p>
            <w:pPr>
              <w:ind w:left="100"/>
              <w:spacing w:after="0"/>
              <w:rPr>
                <w:sz w:val="20"/>
                <w:szCs w:val="20"/>
                <w:color w:val="auto"/>
              </w:rPr>
            </w:pPr>
            <w:r>
              <w:rPr>
                <w:rFonts w:ascii="Arial" w:cs="Arial" w:eastAsia="Arial" w:hAnsi="Arial"/>
                <w:sz w:val="38"/>
                <w:szCs w:val="38"/>
                <w:color w:val="auto"/>
              </w:rPr>
              <w:t>9% CC</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1540" w:type="dxa"/>
            <w:vAlign w:val="bottom"/>
          </w:tcPr>
          <w:p>
            <w:pPr>
              <w:jc w:val="center"/>
              <w:spacing w:after="0"/>
              <w:rPr>
                <w:sz w:val="20"/>
                <w:szCs w:val="20"/>
                <w:color w:val="auto"/>
              </w:rPr>
            </w:pPr>
            <w:r>
              <w:rPr>
                <w:rFonts w:ascii="Arial" w:cs="Arial" w:eastAsia="Arial" w:hAnsi="Arial"/>
                <w:sz w:val="38"/>
                <w:szCs w:val="38"/>
                <w:color w:val="auto"/>
                <w:w w:val="99"/>
              </w:rPr>
              <w:t>10 bps</w:t>
            </w:r>
          </w:p>
        </w:tc>
        <w:tc>
          <w:tcPr>
            <w:tcW w:w="4880" w:type="dxa"/>
            <w:vAlign w:val="bottom"/>
          </w:tcPr>
          <w:p>
            <w:pPr>
              <w:ind w:left="160"/>
              <w:spacing w:after="0"/>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3"/>
                <w:szCs w:val="43"/>
                <w:b w:val="1"/>
                <w:bCs w:val="1"/>
                <w:color w:val="6698C2"/>
              </w:rPr>
              <w:t>18.2%</w:t>
            </w:r>
          </w:p>
        </w:tc>
        <w:tc>
          <w:tcPr>
            <w:tcW w:w="0" w:type="dxa"/>
            <w:vAlign w:val="bottom"/>
          </w:tcPr>
          <w:p>
            <w:pPr>
              <w:spacing w:after="0"/>
              <w:rPr>
                <w:sz w:val="1"/>
                <w:szCs w:val="1"/>
                <w:color w:val="auto"/>
              </w:rPr>
            </w:pPr>
          </w:p>
        </w:tc>
      </w:tr>
      <w:tr>
        <w:trPr>
          <w:trHeight w:val="641"/>
        </w:trPr>
        <w:tc>
          <w:tcPr>
            <w:tcW w:w="1540" w:type="dxa"/>
            <w:vAlign w:val="bottom"/>
          </w:tcPr>
          <w:p>
            <w:pPr>
              <w:jc w:val="center"/>
              <w:spacing w:after="0"/>
              <w:rPr>
                <w:sz w:val="20"/>
                <w:szCs w:val="20"/>
                <w:color w:val="auto"/>
              </w:rPr>
            </w:pPr>
            <w:r>
              <w:rPr>
                <w:rFonts w:ascii="Arial" w:cs="Arial" w:eastAsia="Arial" w:hAnsi="Arial"/>
                <w:sz w:val="38"/>
                <w:szCs w:val="38"/>
                <w:color w:val="auto"/>
                <w:w w:val="99"/>
              </w:rPr>
              <w:t>28%</w:t>
            </w:r>
          </w:p>
        </w:tc>
        <w:tc>
          <w:tcPr>
            <w:tcW w:w="48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Operating Profit </w:t>
            </w:r>
            <w:r>
              <w:rPr>
                <w:rFonts w:ascii="Arial" w:cs="Arial" w:eastAsia="Arial" w:hAnsi="Arial"/>
                <w:sz w:val="43"/>
                <w:szCs w:val="43"/>
                <w:b w:val="1"/>
                <w:bCs w:val="1"/>
                <w:color w:val="6698C2"/>
              </w:rPr>
              <w:t>$169M</w:t>
            </w:r>
          </w:p>
        </w:tc>
        <w:tc>
          <w:tcPr>
            <w:tcW w:w="0" w:type="dxa"/>
            <w:vAlign w:val="bottom"/>
          </w:tcPr>
          <w:p>
            <w:pPr>
              <w:spacing w:after="0"/>
              <w:rPr>
                <w:sz w:val="1"/>
                <w:szCs w:val="1"/>
                <w:color w:val="auto"/>
              </w:rPr>
            </w:pPr>
          </w:p>
        </w:tc>
      </w:tr>
      <w:tr>
        <w:trPr>
          <w:trHeight w:val="452"/>
        </w:trPr>
        <w:tc>
          <w:tcPr>
            <w:tcW w:w="1540" w:type="dxa"/>
            <w:vAlign w:val="bottom"/>
          </w:tcPr>
          <w:p>
            <w:pPr>
              <w:jc w:val="center"/>
              <w:spacing w:after="0"/>
              <w:rPr>
                <w:sz w:val="20"/>
                <w:szCs w:val="20"/>
                <w:color w:val="auto"/>
              </w:rPr>
            </w:pPr>
            <w:r>
              <w:rPr>
                <w:rFonts w:ascii="Arial" w:cs="Arial" w:eastAsia="Arial" w:hAnsi="Arial"/>
                <w:sz w:val="38"/>
                <w:szCs w:val="38"/>
                <w:color w:val="auto"/>
                <w:w w:val="98"/>
              </w:rPr>
              <w:t>24% CC</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1540" w:type="dxa"/>
            <w:vAlign w:val="bottom"/>
          </w:tcPr>
          <w:p>
            <w:pPr>
              <w:jc w:val="center"/>
              <w:spacing w:after="0"/>
              <w:rPr>
                <w:sz w:val="20"/>
                <w:szCs w:val="20"/>
                <w:color w:val="auto"/>
              </w:rPr>
            </w:pPr>
            <w:r>
              <w:rPr>
                <w:rFonts w:ascii="Arial" w:cs="Arial" w:eastAsia="Arial" w:hAnsi="Arial"/>
                <w:sz w:val="38"/>
                <w:szCs w:val="38"/>
                <w:color w:val="auto"/>
                <w:w w:val="98"/>
              </w:rPr>
              <w:t>40 bps</w:t>
            </w:r>
          </w:p>
        </w:tc>
        <w:tc>
          <w:tcPr>
            <w:tcW w:w="4880" w:type="dxa"/>
            <w:vAlign w:val="bottom"/>
          </w:tcPr>
          <w:p>
            <w:pPr>
              <w:ind w:left="200"/>
              <w:spacing w:after="0"/>
              <w:rPr>
                <w:sz w:val="20"/>
                <w:szCs w:val="20"/>
                <w:color w:val="auto"/>
              </w:rPr>
            </w:pPr>
            <w:r>
              <w:rPr>
                <w:rFonts w:ascii="Arial" w:cs="Arial" w:eastAsia="Arial" w:hAnsi="Arial"/>
                <w:sz w:val="41"/>
                <w:szCs w:val="41"/>
                <w:b w:val="1"/>
                <w:bCs w:val="1"/>
                <w:color w:val="auto"/>
              </w:rPr>
              <w:t xml:space="preserve">OP Margin </w:t>
            </w:r>
            <w:r>
              <w:rPr>
                <w:rFonts w:ascii="Arial" w:cs="Arial" w:eastAsia="Arial" w:hAnsi="Arial"/>
                <w:sz w:val="43"/>
                <w:szCs w:val="43"/>
                <w:b w:val="1"/>
                <w:bCs w:val="1"/>
                <w:color w:val="6698C2"/>
              </w:rPr>
              <w:t>3.6%</w:t>
            </w:r>
          </w:p>
        </w:tc>
        <w:tc>
          <w:tcPr>
            <w:tcW w:w="0" w:type="dxa"/>
            <w:vAlign w:val="bottom"/>
          </w:tcPr>
          <w:p>
            <w:pPr>
              <w:spacing w:after="0"/>
              <w:rPr>
                <w:sz w:val="1"/>
                <w:szCs w:val="1"/>
                <w:color w:val="auto"/>
              </w:rPr>
            </w:pPr>
          </w:p>
        </w:tc>
      </w:tr>
      <w:tr>
        <w:trPr>
          <w:trHeight w:val="711"/>
        </w:trPr>
        <w:tc>
          <w:tcPr>
            <w:tcW w:w="1540" w:type="dxa"/>
            <w:vAlign w:val="bottom"/>
          </w:tcPr>
          <w:p>
            <w:pPr>
              <w:jc w:val="center"/>
              <w:spacing w:after="0"/>
              <w:rPr>
                <w:sz w:val="20"/>
                <w:szCs w:val="20"/>
                <w:color w:val="auto"/>
              </w:rPr>
            </w:pPr>
            <w:r>
              <w:rPr>
                <w:rFonts w:ascii="Arial" w:cs="Arial" w:eastAsia="Arial" w:hAnsi="Arial"/>
                <w:sz w:val="38"/>
                <w:szCs w:val="38"/>
                <w:color w:val="auto"/>
                <w:w w:val="99"/>
              </w:rPr>
              <w:t>33%</w:t>
            </w:r>
          </w:p>
        </w:tc>
        <w:tc>
          <w:tcPr>
            <w:tcW w:w="48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EPS </w:t>
            </w:r>
            <w:r>
              <w:rPr>
                <w:rFonts w:ascii="Arial" w:cs="Arial" w:eastAsia="Arial" w:hAnsi="Arial"/>
                <w:sz w:val="43"/>
                <w:szCs w:val="43"/>
                <w:b w:val="1"/>
                <w:bCs w:val="1"/>
                <w:color w:val="6698C2"/>
              </w:rPr>
              <w:t>$1.16</w:t>
            </w:r>
          </w:p>
        </w:tc>
        <w:tc>
          <w:tcPr>
            <w:tcW w:w="0" w:type="dxa"/>
            <w:vAlign w:val="bottom"/>
          </w:tcPr>
          <w:p>
            <w:pPr>
              <w:spacing w:after="0"/>
              <w:rPr>
                <w:sz w:val="1"/>
                <w:szCs w:val="1"/>
                <w:color w:val="auto"/>
              </w:rPr>
            </w:pPr>
          </w:p>
        </w:tc>
      </w:tr>
      <w:tr>
        <w:trPr>
          <w:trHeight w:val="452"/>
        </w:trPr>
        <w:tc>
          <w:tcPr>
            <w:tcW w:w="1540" w:type="dxa"/>
            <w:vAlign w:val="bottom"/>
          </w:tcPr>
          <w:p>
            <w:pPr>
              <w:jc w:val="center"/>
              <w:spacing w:after="0"/>
              <w:rPr>
                <w:sz w:val="20"/>
                <w:szCs w:val="20"/>
                <w:color w:val="auto"/>
              </w:rPr>
            </w:pPr>
            <w:r>
              <w:rPr>
                <w:rFonts w:ascii="Arial" w:cs="Arial" w:eastAsia="Arial" w:hAnsi="Arial"/>
                <w:sz w:val="38"/>
                <w:szCs w:val="38"/>
                <w:color w:val="auto"/>
                <w:w w:val="98"/>
              </w:rPr>
              <w:t>29% CC</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Throughout this presentation, the difference between reported variances and Constant Currency</w:t>
      </w:r>
    </w:p>
    <w:p>
      <w:pPr>
        <w:spacing w:after="0" w:line="29" w:lineRule="exact"/>
        <w:rPr>
          <w:sz w:val="20"/>
          <w:szCs w:val="20"/>
          <w:color w:val="auto"/>
        </w:rPr>
      </w:pPr>
    </w:p>
    <w:p>
      <w:pPr>
        <w:ind w:right="1440" w:firstLine="4"/>
        <w:spacing w:after="0" w:line="266" w:lineRule="auto"/>
        <w:tabs>
          <w:tab w:leader="none" w:pos="449"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variances represents the impact of currency on our financial results. Constant Currency is further explained on our Web site.</w:t>
      </w:r>
    </w:p>
    <w:p>
      <w:pPr>
        <w:sectPr>
          <w:pgSz w:w="11900" w:h="16838" w:orient="portrait"/>
          <w:cols w:equalWidth="0" w:num="1">
            <w:col w:w="9980"/>
          </w:cols>
          <w:pgMar w:left="1100" w:top="447" w:right="819" w:bottom="1440" w:gutter="0" w:footer="0" w:header="0"/>
        </w:sectPr>
      </w:pPr>
    </w:p>
    <w:bookmarkStart w:id="13" w:name="page14"/>
    <w:bookmarkEnd w:id="13"/>
    <w:tbl>
      <w:tblPr>
        <w:tblLayout w:type="fixed"/>
        <w:tblInd w:w="16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840" w:type="dxa"/>
            <w:vAlign w:val="bottom"/>
          </w:tcPr>
          <w:p>
            <w:pPr>
              <w:jc w:val="right"/>
              <w:ind w:right="217"/>
              <w:spacing w:after="0"/>
              <w:rPr>
                <w:sz w:val="20"/>
                <w:szCs w:val="20"/>
                <w:color w:val="auto"/>
              </w:rPr>
            </w:pPr>
            <w:r>
              <w:rPr>
                <w:rFonts w:ascii="Arial" w:cs="Arial" w:eastAsia="Arial" w:hAnsi="Arial"/>
                <w:sz w:val="25"/>
                <w:szCs w:val="25"/>
                <w:b w:val="1"/>
                <w:bCs w:val="1"/>
                <w:color w:val="auto"/>
                <w:w w:val="95"/>
              </w:rPr>
              <w:t>19%</w:t>
            </w:r>
          </w:p>
        </w:tc>
        <w:tc>
          <w:tcPr>
            <w:tcW w:w="3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840" w:type="dxa"/>
            <w:vAlign w:val="bottom"/>
          </w:tcPr>
          <w:p>
            <w:pPr>
              <w:spacing w:after="0"/>
              <w:rPr>
                <w:sz w:val="24"/>
                <w:szCs w:val="24"/>
                <w:color w:val="auto"/>
              </w:rPr>
            </w:pPr>
          </w:p>
        </w:tc>
        <w:tc>
          <w:tcPr>
            <w:tcW w:w="3580" w:type="dxa"/>
            <w:vAlign w:val="bottom"/>
          </w:tcPr>
          <w:p>
            <w:pPr>
              <w:jc w:val="right"/>
              <w:ind w:right="357"/>
              <w:spacing w:after="0"/>
              <w:rPr>
                <w:sz w:val="20"/>
                <w:szCs w:val="20"/>
                <w:color w:val="auto"/>
              </w:rPr>
            </w:pPr>
            <w:r>
              <w:rPr>
                <w:rFonts w:ascii="Arial" w:cs="Arial" w:eastAsia="Arial" w:hAnsi="Arial"/>
                <w:sz w:val="25"/>
                <w:szCs w:val="25"/>
                <w:b w:val="1"/>
                <w:bCs w:val="1"/>
                <w:color w:val="auto"/>
              </w:rPr>
              <w:t>+ 0.12%</w:t>
            </w:r>
          </w:p>
        </w:tc>
        <w:tc>
          <w:tcPr>
            <w:tcW w:w="1900" w:type="dxa"/>
            <w:vAlign w:val="bottom"/>
          </w:tcPr>
          <w:p>
            <w:pPr>
              <w:jc w:val="right"/>
              <w:ind w:right="377"/>
              <w:spacing w:after="0"/>
              <w:rPr>
                <w:sz w:val="20"/>
                <w:szCs w:val="20"/>
                <w:color w:val="auto"/>
              </w:rPr>
            </w:pPr>
            <w:r>
              <w:rPr>
                <w:rFonts w:ascii="Arial" w:cs="Arial" w:eastAsia="Arial" w:hAnsi="Arial"/>
                <w:sz w:val="25"/>
                <w:szCs w:val="25"/>
                <w:b w:val="1"/>
                <w:bCs w:val="1"/>
                <w:color w:val="auto"/>
              </w:rPr>
              <w:t>+ 0.25%</w:t>
            </w:r>
          </w:p>
        </w:tc>
        <w:tc>
          <w:tcPr>
            <w:tcW w:w="3240" w:type="dxa"/>
            <w:vAlign w:val="bottom"/>
            <w:vMerge w:val="restart"/>
          </w:tcPr>
          <w:p>
            <w:pPr>
              <w:jc w:val="right"/>
              <w:ind w:right="1757"/>
              <w:spacing w:after="0"/>
              <w:rPr>
                <w:sz w:val="20"/>
                <w:szCs w:val="20"/>
                <w:color w:val="auto"/>
              </w:rPr>
            </w:pPr>
            <w:r>
              <w:rPr>
                <w:rFonts w:ascii="Arial" w:cs="Arial" w:eastAsia="Arial" w:hAnsi="Arial"/>
                <w:sz w:val="25"/>
                <w:szCs w:val="25"/>
                <w:b w:val="1"/>
                <w:bCs w:val="1"/>
                <w:color w:val="auto"/>
              </w:rPr>
              <w:t>- 0.44%</w:t>
            </w: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5"/>
        </w:trPr>
        <w:tc>
          <w:tcPr>
            <w:tcW w:w="840" w:type="dxa"/>
            <w:vAlign w:val="bottom"/>
            <w:vMerge w:val="restart"/>
          </w:tcPr>
          <w:p>
            <w:pPr>
              <w:jc w:val="right"/>
              <w:ind w:right="217"/>
              <w:spacing w:after="0"/>
              <w:rPr>
                <w:sz w:val="20"/>
                <w:szCs w:val="20"/>
                <w:color w:val="auto"/>
              </w:rPr>
            </w:pPr>
            <w:r>
              <w:rPr>
                <w:rFonts w:ascii="Arial" w:cs="Arial" w:eastAsia="Arial" w:hAnsi="Arial"/>
                <w:sz w:val="25"/>
                <w:szCs w:val="25"/>
                <w:b w:val="1"/>
                <w:bCs w:val="1"/>
                <w:color w:val="auto"/>
                <w:w w:val="95"/>
              </w:rPr>
              <w:t>18%</w:t>
            </w:r>
          </w:p>
        </w:tc>
        <w:tc>
          <w:tcPr>
            <w:tcW w:w="3580" w:type="dxa"/>
            <w:vAlign w:val="bottom"/>
          </w:tcPr>
          <w:p>
            <w:pPr>
              <w:jc w:val="right"/>
              <w:ind w:right="2277"/>
              <w:spacing w:after="0"/>
              <w:rPr>
                <w:sz w:val="20"/>
                <w:szCs w:val="20"/>
                <w:color w:val="auto"/>
              </w:rPr>
            </w:pPr>
            <w:r>
              <w:rPr>
                <w:rFonts w:ascii="Arial" w:cs="Arial" w:eastAsia="Arial" w:hAnsi="Arial"/>
                <w:sz w:val="25"/>
                <w:szCs w:val="25"/>
                <w:b w:val="1"/>
                <w:bCs w:val="1"/>
                <w:color w:val="FFFFFF"/>
              </w:rPr>
              <w:t>18.25%</w:t>
            </w:r>
          </w:p>
        </w:tc>
        <w:tc>
          <w:tcPr>
            <w:tcW w:w="1900" w:type="dxa"/>
            <w:vAlign w:val="bottom"/>
          </w:tcPr>
          <w:p>
            <w:pPr>
              <w:spacing w:after="0"/>
              <w:rPr>
                <w:sz w:val="24"/>
                <w:szCs w:val="24"/>
                <w:color w:val="auto"/>
              </w:rPr>
            </w:pPr>
          </w:p>
        </w:tc>
        <w:tc>
          <w:tcPr>
            <w:tcW w:w="3240" w:type="dxa"/>
            <w:vAlign w:val="bottom"/>
            <w:vMerge w:val="restart"/>
          </w:tcPr>
          <w:p>
            <w:pPr>
              <w:jc w:val="right"/>
              <w:spacing w:after="0"/>
              <w:rPr>
                <w:sz w:val="20"/>
                <w:szCs w:val="20"/>
                <w:color w:val="auto"/>
              </w:rPr>
            </w:pPr>
            <w:r>
              <w:rPr>
                <w:rFonts w:ascii="Arial" w:cs="Arial" w:eastAsia="Arial" w:hAnsi="Arial"/>
                <w:sz w:val="25"/>
                <w:szCs w:val="25"/>
                <w:b w:val="1"/>
                <w:bCs w:val="1"/>
                <w:color w:val="FFFFFF"/>
              </w:rPr>
              <w:t>18.18%</w:t>
            </w:r>
          </w:p>
        </w:tc>
        <w:tc>
          <w:tcPr>
            <w:tcW w:w="0" w:type="dxa"/>
            <w:vAlign w:val="bottom"/>
          </w:tcPr>
          <w:p>
            <w:pPr>
              <w:spacing w:after="0"/>
              <w:rPr>
                <w:sz w:val="1"/>
                <w:szCs w:val="1"/>
                <w:color w:val="auto"/>
              </w:rPr>
            </w:pPr>
          </w:p>
        </w:tc>
      </w:tr>
      <w:tr>
        <w:trPr>
          <w:trHeight w:val="94"/>
        </w:trPr>
        <w:tc>
          <w:tcPr>
            <w:tcW w:w="840" w:type="dxa"/>
            <w:vAlign w:val="bottom"/>
            <w:vMerge w:val="continue"/>
          </w:tcPr>
          <w:p>
            <w:pPr>
              <w:spacing w:after="0"/>
              <w:rPr>
                <w:sz w:val="8"/>
                <w:szCs w:val="8"/>
                <w:color w:val="auto"/>
              </w:rPr>
            </w:pPr>
          </w:p>
        </w:tc>
        <w:tc>
          <w:tcPr>
            <w:tcW w:w="3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w:t>
      </w:r>
    </w:p>
    <w:p>
      <w:pPr>
        <w:spacing w:after="0" w:line="35" w:lineRule="exact"/>
        <w:rPr>
          <w:sz w:val="20"/>
          <w:szCs w:val="20"/>
          <w:color w:val="auto"/>
        </w:rPr>
      </w:pPr>
    </w:p>
    <w:tbl>
      <w:tblPr>
        <w:tblLayout w:type="fixed"/>
        <w:tblInd w:w="1180" w:type="dxa"/>
        <w:tblCellMar>
          <w:top w:w="0" w:type="dxa"/>
          <w:left w:w="0" w:type="dxa"/>
          <w:bottom w:w="0" w:type="dxa"/>
          <w:right w:w="0" w:type="dxa"/>
        </w:tblCellMar>
      </w:tblPr>
      <w:tr>
        <w:trPr>
          <w:trHeight w:val="218"/>
        </w:trPr>
        <w:tc>
          <w:tcPr>
            <w:tcW w:w="1260" w:type="dxa"/>
            <w:vAlign w:val="bottom"/>
          </w:tcPr>
          <w:p>
            <w:pPr>
              <w:spacing w:after="0"/>
              <w:rPr>
                <w:sz w:val="20"/>
                <w:szCs w:val="20"/>
                <w:color w:val="auto"/>
              </w:rPr>
            </w:pPr>
            <w:r>
              <w:rPr>
                <w:rFonts w:ascii="Arial" w:cs="Arial" w:eastAsia="Arial" w:hAnsi="Arial"/>
                <w:sz w:val="19"/>
                <w:szCs w:val="19"/>
                <w:b w:val="1"/>
                <w:bCs w:val="1"/>
                <w:color w:val="auto"/>
              </w:rPr>
              <w:t>Q3 2005</w:t>
            </w:r>
          </w:p>
        </w:tc>
        <w:tc>
          <w:tcPr>
            <w:tcW w:w="2020" w:type="dxa"/>
            <w:vAlign w:val="bottom"/>
          </w:tcPr>
          <w:p>
            <w:pPr>
              <w:jc w:val="center"/>
              <w:ind w:left="46"/>
              <w:spacing w:after="0"/>
              <w:rPr>
                <w:sz w:val="20"/>
                <w:szCs w:val="20"/>
                <w:color w:val="auto"/>
              </w:rPr>
            </w:pPr>
            <w:r>
              <w:rPr>
                <w:rFonts w:ascii="Arial" w:cs="Arial" w:eastAsia="Arial" w:hAnsi="Arial"/>
                <w:sz w:val="19"/>
                <w:szCs w:val="19"/>
                <w:b w:val="1"/>
                <w:bCs w:val="1"/>
                <w:color w:val="auto"/>
                <w:w w:val="97"/>
              </w:rPr>
              <w:t>Temporary</w:t>
            </w:r>
          </w:p>
        </w:tc>
        <w:tc>
          <w:tcPr>
            <w:tcW w:w="1840" w:type="dxa"/>
            <w:vAlign w:val="bottom"/>
          </w:tcPr>
          <w:p>
            <w:pPr>
              <w:jc w:val="center"/>
              <w:spacing w:after="0"/>
              <w:rPr>
                <w:sz w:val="20"/>
                <w:szCs w:val="20"/>
                <w:color w:val="auto"/>
              </w:rPr>
            </w:pPr>
            <w:r>
              <w:rPr>
                <w:rFonts w:ascii="Arial" w:cs="Arial" w:eastAsia="Arial" w:hAnsi="Arial"/>
                <w:sz w:val="19"/>
                <w:szCs w:val="19"/>
                <w:b w:val="1"/>
                <w:bCs w:val="1"/>
                <w:color w:val="auto"/>
                <w:w w:val="97"/>
              </w:rPr>
              <w:t>Permanent</w:t>
            </w:r>
          </w:p>
        </w:tc>
        <w:tc>
          <w:tcPr>
            <w:tcW w:w="2060" w:type="dxa"/>
            <w:vAlign w:val="bottom"/>
          </w:tcPr>
          <w:p>
            <w:pPr>
              <w:ind w:left="340"/>
              <w:spacing w:after="0"/>
              <w:rPr>
                <w:sz w:val="20"/>
                <w:szCs w:val="20"/>
                <w:color w:val="auto"/>
              </w:rPr>
            </w:pPr>
            <w:r>
              <w:rPr>
                <w:rFonts w:ascii="Arial" w:cs="Arial" w:eastAsia="Arial" w:hAnsi="Arial"/>
                <w:sz w:val="19"/>
                <w:szCs w:val="19"/>
                <w:b w:val="1"/>
                <w:bCs w:val="1"/>
                <w:color w:val="auto"/>
              </w:rPr>
              <w:t>Mix - Specialty</w:t>
            </w:r>
          </w:p>
        </w:tc>
        <w:tc>
          <w:tcPr>
            <w:tcW w:w="1160" w:type="dxa"/>
            <w:vAlign w:val="bottom"/>
          </w:tcPr>
          <w:p>
            <w:pPr>
              <w:ind w:left="440"/>
              <w:spacing w:after="0"/>
              <w:rPr>
                <w:sz w:val="20"/>
                <w:szCs w:val="20"/>
                <w:color w:val="auto"/>
              </w:rPr>
            </w:pPr>
            <w:r>
              <w:rPr>
                <w:rFonts w:ascii="Arial" w:cs="Arial" w:eastAsia="Arial" w:hAnsi="Arial"/>
                <w:sz w:val="19"/>
                <w:szCs w:val="19"/>
                <w:b w:val="1"/>
                <w:bCs w:val="1"/>
                <w:color w:val="auto"/>
                <w:w w:val="95"/>
              </w:rPr>
              <w:t>Q3 2006</w:t>
            </w:r>
          </w:p>
        </w:tc>
      </w:tr>
      <w:tr>
        <w:trPr>
          <w:trHeight w:val="250"/>
        </w:trPr>
        <w:tc>
          <w:tcPr>
            <w:tcW w:w="1260" w:type="dxa"/>
            <w:vAlign w:val="bottom"/>
          </w:tcPr>
          <w:p>
            <w:pPr>
              <w:spacing w:after="0"/>
              <w:rPr>
                <w:sz w:val="21"/>
                <w:szCs w:val="21"/>
                <w:color w:val="auto"/>
              </w:rPr>
            </w:pPr>
          </w:p>
        </w:tc>
        <w:tc>
          <w:tcPr>
            <w:tcW w:w="2020" w:type="dxa"/>
            <w:vAlign w:val="bottom"/>
          </w:tcPr>
          <w:p>
            <w:pPr>
              <w:jc w:val="center"/>
              <w:ind w:left="46"/>
              <w:spacing w:after="0"/>
              <w:rPr>
                <w:sz w:val="20"/>
                <w:szCs w:val="20"/>
                <w:color w:val="auto"/>
              </w:rPr>
            </w:pPr>
            <w:r>
              <w:rPr>
                <w:rFonts w:ascii="Arial" w:cs="Arial" w:eastAsia="Arial" w:hAnsi="Arial"/>
                <w:sz w:val="19"/>
                <w:szCs w:val="19"/>
                <w:b w:val="1"/>
                <w:bCs w:val="1"/>
                <w:color w:val="auto"/>
                <w:w w:val="97"/>
              </w:rPr>
              <w:t>Recruitment</w:t>
            </w:r>
          </w:p>
        </w:tc>
        <w:tc>
          <w:tcPr>
            <w:tcW w:w="1840" w:type="dxa"/>
            <w:vAlign w:val="bottom"/>
          </w:tcPr>
          <w:p>
            <w:pPr>
              <w:jc w:val="center"/>
              <w:spacing w:after="0"/>
              <w:rPr>
                <w:sz w:val="20"/>
                <w:szCs w:val="20"/>
                <w:color w:val="auto"/>
              </w:rPr>
            </w:pPr>
            <w:r>
              <w:rPr>
                <w:rFonts w:ascii="Arial" w:cs="Arial" w:eastAsia="Arial" w:hAnsi="Arial"/>
                <w:sz w:val="19"/>
                <w:szCs w:val="19"/>
                <w:b w:val="1"/>
                <w:bCs w:val="1"/>
                <w:color w:val="auto"/>
                <w:w w:val="99"/>
              </w:rPr>
              <w:t>Recruitment</w:t>
            </w:r>
          </w:p>
        </w:tc>
        <w:tc>
          <w:tcPr>
            <w:tcW w:w="206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ectPr>
          <w:pgSz w:w="11900" w:h="16838" w:orient="portrait"/>
          <w:cols w:equalWidth="0" w:num="1">
            <w:col w:w="10020"/>
          </w:cols>
          <w:pgMar w:left="1060" w:top="447" w:right="8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Q3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2%</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$542M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27%</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$29M</w:t>
      </w:r>
    </w:p>
    <w:p>
      <w:pPr>
        <w:spacing w:after="0" w:line="200" w:lineRule="exact"/>
        <w:rPr>
          <w:sz w:val="20"/>
          <w:szCs w:val="20"/>
          <w:color w:val="auto"/>
        </w:rPr>
      </w:pPr>
    </w:p>
    <w:p>
      <w:pPr>
        <w:spacing w:after="0" w:line="399"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100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1200"/>
        <w:spacing w:after="0" w:line="265"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headquartersoperatingcosts.</w:t>
      </w:r>
    </w:p>
    <w:p>
      <w:pPr>
        <w:sectPr>
          <w:pgSz w:w="11900" w:h="16838" w:orient="portrait"/>
          <w:cols w:equalWidth="0" w:num="1">
            <w:col w:w="9860"/>
          </w:cols>
          <w:pgMar w:left="1220" w:top="447" w:right="8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Q3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center"/>
              <w:spacing w:after="0"/>
              <w:rPr>
                <w:sz w:val="20"/>
                <w:szCs w:val="20"/>
                <w:color w:val="auto"/>
              </w:rPr>
            </w:pPr>
            <w:r>
              <w:rPr>
                <w:rFonts w:ascii="Arial" w:cs="Arial" w:eastAsia="Arial" w:hAnsi="Arial"/>
                <w:sz w:val="38"/>
                <w:szCs w:val="38"/>
                <w:color w:val="auto"/>
                <w:w w:val="97"/>
              </w:rPr>
              <w:t>12%</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$1.7B</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9"/>
              </w:rPr>
              <w:t>7%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560" w:type="dxa"/>
            <w:vAlign w:val="bottom"/>
            <w:vMerge w:val="restart"/>
          </w:tcPr>
          <w:p>
            <w:pPr>
              <w:jc w:val="center"/>
              <w:spacing w:after="0"/>
              <w:rPr>
                <w:sz w:val="20"/>
                <w:szCs w:val="20"/>
                <w:color w:val="auto"/>
              </w:rPr>
            </w:pPr>
            <w:r>
              <w:rPr>
                <w:rFonts w:ascii="Arial" w:cs="Arial" w:eastAsia="Arial" w:hAnsi="Arial"/>
                <w:sz w:val="38"/>
                <w:szCs w:val="38"/>
                <w:color w:val="auto"/>
                <w:w w:val="99"/>
              </w:rPr>
              <w:t>22%</w:t>
            </w:r>
          </w:p>
        </w:tc>
        <w:tc>
          <w:tcPr>
            <w:tcW w:w="4780" w:type="dxa"/>
            <w:vAlign w:val="bottom"/>
          </w:tcPr>
          <w:p>
            <w:pPr>
              <w:ind w:left="200"/>
              <w:spacing w:after="0"/>
              <w:rPr>
                <w:sz w:val="20"/>
                <w:szCs w:val="20"/>
                <w:color w:val="auto"/>
              </w:rPr>
            </w:pPr>
            <w:r>
              <w:rPr>
                <w:rFonts w:ascii="Arial" w:cs="Arial" w:eastAsia="Arial" w:hAnsi="Arial"/>
                <w:sz w:val="32"/>
                <w:szCs w:val="32"/>
                <w:color w:val="auto"/>
              </w:rPr>
              <w:t>contemporary working</w:t>
            </w:r>
          </w:p>
        </w:tc>
        <w:tc>
          <w:tcPr>
            <w:tcW w:w="0" w:type="dxa"/>
            <w:vAlign w:val="bottom"/>
          </w:tcPr>
          <w:p>
            <w:pPr>
              <w:spacing w:after="0"/>
              <w:rPr>
                <w:sz w:val="1"/>
                <w:szCs w:val="1"/>
                <w:color w:val="auto"/>
              </w:rPr>
            </w:pPr>
          </w:p>
        </w:tc>
      </w:tr>
      <w:tr>
        <w:trPr>
          <w:trHeight w:val="247"/>
        </w:trPr>
        <w:tc>
          <w:tcPr>
            <w:tcW w:w="1560" w:type="dxa"/>
            <w:vAlign w:val="bottom"/>
            <w:vMerge w:val="continue"/>
          </w:tcPr>
          <w:p>
            <w:pPr>
              <w:spacing w:after="0"/>
              <w:rPr>
                <w:sz w:val="21"/>
                <w:szCs w:val="21"/>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$62M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17%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30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3.7%</w:t>
            </w:r>
          </w:p>
        </w:tc>
        <w:tc>
          <w:tcPr>
            <w:tcW w:w="0" w:type="dxa"/>
            <w:vAlign w:val="bottom"/>
          </w:tcPr>
          <w:p>
            <w:pPr>
              <w:spacing w:after="0"/>
              <w:rPr>
                <w:sz w:val="1"/>
                <w:szCs w:val="1"/>
                <w:color w:val="auto"/>
              </w:rPr>
            </w:pPr>
          </w:p>
        </w:tc>
      </w:tr>
    </w:tbl>
    <w:p>
      <w:pPr>
        <w:sectPr>
          <w:pgSz w:w="11900" w:h="16838" w:orient="portrait"/>
          <w:cols w:equalWidth="0" w:num="1">
            <w:col w:w="9860"/>
          </w:cols>
          <w:pgMar w:left="1220" w:top="447" w:right="8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7"/>
          <w:szCs w:val="47"/>
          <w:color w:val="5F81AA"/>
        </w:rPr>
        <w:t>EMEA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Q3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center"/>
              <w:spacing w:after="0"/>
              <w:rPr>
                <w:sz w:val="20"/>
                <w:szCs w:val="20"/>
                <w:color w:val="auto"/>
              </w:rPr>
            </w:pPr>
            <w:r>
              <w:rPr>
                <w:rFonts w:ascii="Arial" w:cs="Arial" w:eastAsia="Arial" w:hAnsi="Arial"/>
                <w:sz w:val="38"/>
                <w:szCs w:val="38"/>
                <w:color w:val="auto"/>
                <w:w w:val="99"/>
              </w:rPr>
              <w:t>19%</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$1.7B</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14%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60" w:type="dxa"/>
            <w:vAlign w:val="bottom"/>
            <w:vMerge w:val="restart"/>
          </w:tcPr>
          <w:p>
            <w:pPr>
              <w:jc w:val="right"/>
              <w:ind w:right="192"/>
              <w:spacing w:after="0"/>
              <w:rPr>
                <w:sz w:val="20"/>
                <w:szCs w:val="20"/>
                <w:color w:val="auto"/>
              </w:rPr>
            </w:pPr>
            <w:r>
              <w:rPr>
                <w:rFonts w:ascii="Arial" w:cs="Arial" w:eastAsia="Arial" w:hAnsi="Arial"/>
                <w:sz w:val="38"/>
                <w:szCs w:val="38"/>
                <w:color w:val="auto"/>
              </w:rPr>
              <w:t>54%</w:t>
            </w:r>
          </w:p>
        </w:tc>
        <w:tc>
          <w:tcPr>
            <w:tcW w:w="4780" w:type="dxa"/>
            <w:vAlign w:val="bottom"/>
          </w:tcPr>
          <w:p>
            <w:pPr>
              <w:ind w:left="200"/>
              <w:spacing w:after="0"/>
              <w:rPr>
                <w:sz w:val="20"/>
                <w:szCs w:val="20"/>
                <w:color w:val="auto"/>
              </w:rPr>
            </w:pPr>
            <w:r>
              <w:rPr>
                <w:rFonts w:ascii="Arial" w:cs="Arial" w:eastAsia="Arial" w:hAnsi="Arial"/>
                <w:sz w:val="32"/>
                <w:szCs w:val="32"/>
                <w:color w:val="auto"/>
              </w:rPr>
              <w:t>contemporary working</w:t>
            </w:r>
          </w:p>
        </w:tc>
        <w:tc>
          <w:tcPr>
            <w:tcW w:w="0" w:type="dxa"/>
            <w:vAlign w:val="bottom"/>
          </w:tcPr>
          <w:p>
            <w:pPr>
              <w:spacing w:after="0"/>
              <w:rPr>
                <w:sz w:val="1"/>
                <w:szCs w:val="1"/>
                <w:color w:val="auto"/>
              </w:rPr>
            </w:pPr>
          </w:p>
        </w:tc>
      </w:tr>
      <w:tr>
        <w:trPr>
          <w:trHeight w:val="259"/>
        </w:trPr>
        <w:tc>
          <w:tcPr>
            <w:tcW w:w="1560" w:type="dxa"/>
            <w:vAlign w:val="bottom"/>
            <w:vMerge w:val="continue"/>
          </w:tcPr>
          <w:p>
            <w:pPr>
              <w:spacing w:after="0"/>
              <w:rPr>
                <w:sz w:val="22"/>
                <w:szCs w:val="22"/>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5F81AA"/>
              </w:rPr>
              <w:t>$71M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47%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100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4.3%</w:t>
            </w:r>
          </w:p>
        </w:tc>
        <w:tc>
          <w:tcPr>
            <w:tcW w:w="0" w:type="dxa"/>
            <w:vAlign w:val="bottom"/>
          </w:tcPr>
          <w:p>
            <w:pPr>
              <w:spacing w:after="0"/>
              <w:rPr>
                <w:sz w:val="1"/>
                <w:szCs w:val="1"/>
                <w:color w:val="auto"/>
              </w:rPr>
            </w:pPr>
          </w:p>
        </w:tc>
      </w:tr>
    </w:tbl>
    <w:p>
      <w:pPr>
        <w:sectPr>
          <w:pgSz w:w="11900" w:h="16838" w:orient="portrait"/>
          <w:cols w:equalWidth="0" w:num="1">
            <w:col w:w="9860"/>
          </w:cols>
          <w:pgMar w:left="1220" w:top="447" w:right="8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70"/>
        </w:trPr>
        <w:tc>
          <w:tcPr>
            <w:tcW w:w="682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
        <w:spacing w:after="0"/>
        <w:rPr>
          <w:sz w:val="20"/>
          <w:szCs w:val="20"/>
          <w:color w:val="auto"/>
        </w:rPr>
      </w:pPr>
      <w:r>
        <w:rPr>
          <w:rFonts w:ascii="Arial" w:cs="Arial" w:eastAsia="Arial" w:hAnsi="Arial"/>
          <w:sz w:val="47"/>
          <w:szCs w:val="47"/>
          <w:color w:val="6698C2"/>
        </w:rPr>
        <w:t>EMEA – Q3 Revenue Growth YoY</w:t>
      </w:r>
    </w:p>
    <w:p>
      <w:pPr>
        <w:sectPr>
          <w:pgSz w:w="11900" w:h="16838" w:orient="portrait"/>
          <w:cols w:equalWidth="0" w:num="1">
            <w:col w:w="9870"/>
          </w:cols>
          <w:pgMar w:left="1210" w:top="447" w:right="819" w:bottom="1440" w:gutter="0" w:footer="0" w:header="0"/>
        </w:sectPr>
      </w:pPr>
    </w:p>
    <w:p>
      <w:pPr>
        <w:spacing w:after="0" w:line="397" w:lineRule="exact"/>
        <w:rPr>
          <w:sz w:val="20"/>
          <w:szCs w:val="20"/>
          <w:color w:val="auto"/>
        </w:rPr>
      </w:pPr>
    </w:p>
    <w:p>
      <w:pPr>
        <w:ind w:left="10" w:right="1360" w:hanging="10"/>
        <w:spacing w:after="0" w:line="312" w:lineRule="auto"/>
        <w:tabs>
          <w:tab w:leader="none" w:pos="28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ind w:left="50"/>
        <w:spacing w:after="0"/>
        <w:tabs>
          <w:tab w:leader="none" w:pos="1850" w:val="left"/>
        </w:tabs>
        <w:rPr>
          <w:sz w:val="20"/>
          <w:szCs w:val="20"/>
          <w:color w:val="auto"/>
        </w:rPr>
      </w:pPr>
      <w:r>
        <w:rPr>
          <w:rFonts w:ascii="Arial" w:cs="Arial" w:eastAsia="Arial" w:hAnsi="Arial"/>
          <w:sz w:val="28"/>
          <w:szCs w:val="28"/>
          <w:b w:val="1"/>
          <w:bCs w:val="1"/>
          <w:color w:val="D47C18"/>
        </w:rPr>
        <w:t>18%</w:t>
      </w:r>
      <w:r>
        <w:rPr>
          <w:sz w:val="20"/>
          <w:szCs w:val="20"/>
          <w:color w:val="auto"/>
        </w:rPr>
        <w:tab/>
      </w:r>
      <w:r>
        <w:rPr>
          <w:rFonts w:ascii="Arial" w:cs="Arial" w:eastAsia="Arial" w:hAnsi="Arial"/>
          <w:sz w:val="27"/>
          <w:szCs w:val="27"/>
          <w:b w:val="1"/>
          <w:bCs w:val="1"/>
          <w:color w:val="auto"/>
        </w:rPr>
        <w:t>Nordics</w:t>
      </w:r>
    </w:p>
    <w:p>
      <w:pPr>
        <w:spacing w:after="0" w:line="265" w:lineRule="exact"/>
        <w:rPr>
          <w:sz w:val="20"/>
          <w:szCs w:val="20"/>
          <w:color w:val="auto"/>
        </w:rPr>
      </w:pPr>
    </w:p>
    <w:p>
      <w:pPr>
        <w:ind w:left="50"/>
        <w:spacing w:after="0"/>
        <w:tabs>
          <w:tab w:leader="none" w:pos="2350" w:val="left"/>
        </w:tabs>
        <w:rPr>
          <w:sz w:val="20"/>
          <w:szCs w:val="20"/>
          <w:color w:val="auto"/>
        </w:rPr>
      </w:pPr>
      <w:r>
        <w:rPr>
          <w:rFonts w:ascii="Arial" w:cs="Arial" w:eastAsia="Arial" w:hAnsi="Arial"/>
          <w:sz w:val="27"/>
          <w:szCs w:val="27"/>
          <w:b w:val="1"/>
          <w:bCs w:val="1"/>
          <w:color w:val="D47C18"/>
        </w:rPr>
        <w:t>17%</w:t>
      </w:r>
      <w:r>
        <w:rPr>
          <w:sz w:val="20"/>
          <w:szCs w:val="20"/>
          <w:color w:val="auto"/>
        </w:rPr>
        <w:tab/>
      </w:r>
      <w:r>
        <w:rPr>
          <w:rFonts w:ascii="Arial" w:cs="Arial" w:eastAsia="Arial" w:hAnsi="Arial"/>
          <w:sz w:val="26"/>
          <w:szCs w:val="26"/>
          <w:b w:val="1"/>
          <w:bCs w:val="1"/>
          <w:color w:val="auto"/>
        </w:rPr>
        <w:t>Italy</w:t>
      </w:r>
    </w:p>
    <w:p>
      <w:pPr>
        <w:spacing w:after="0" w:line="289" w:lineRule="exact"/>
        <w:rPr>
          <w:sz w:val="20"/>
          <w:szCs w:val="20"/>
          <w:color w:val="auto"/>
        </w:rPr>
      </w:pPr>
    </w:p>
    <w:p>
      <w:pPr>
        <w:ind w:left="50"/>
        <w:spacing w:after="0"/>
        <w:tabs>
          <w:tab w:leader="none" w:pos="870" w:val="left"/>
        </w:tabs>
        <w:rPr>
          <w:sz w:val="20"/>
          <w:szCs w:val="20"/>
          <w:color w:val="auto"/>
        </w:rPr>
      </w:pPr>
      <w:r>
        <w:rPr>
          <w:rFonts w:ascii="Arial" w:cs="Arial" w:eastAsia="Arial" w:hAnsi="Arial"/>
          <w:sz w:val="28"/>
          <w:szCs w:val="28"/>
          <w:b w:val="1"/>
          <w:bCs w:val="1"/>
          <w:color w:val="D47C18"/>
        </w:rPr>
        <w:t>15%</w:t>
      </w:r>
      <w:r>
        <w:rPr>
          <w:sz w:val="20"/>
          <w:szCs w:val="20"/>
          <w:color w:val="auto"/>
        </w:rPr>
        <w:tab/>
      </w:r>
      <w:r>
        <w:rPr>
          <w:rFonts w:ascii="Arial" w:cs="Arial" w:eastAsia="Arial" w:hAnsi="Arial"/>
          <w:sz w:val="26"/>
          <w:szCs w:val="26"/>
          <w:b w:val="1"/>
          <w:bCs w:val="1"/>
          <w:color w:val="auto"/>
        </w:rPr>
        <w:t>UK - Manpower</w:t>
      </w:r>
    </w:p>
    <w:p>
      <w:pPr>
        <w:spacing w:after="0" w:line="278" w:lineRule="exact"/>
        <w:rPr>
          <w:sz w:val="20"/>
          <w:szCs w:val="20"/>
          <w:color w:val="auto"/>
        </w:rPr>
      </w:pPr>
    </w:p>
    <w:p>
      <w:pPr>
        <w:ind w:left="70"/>
        <w:spacing w:after="0"/>
        <w:tabs>
          <w:tab w:leader="none" w:pos="2290" w:val="left"/>
        </w:tabs>
        <w:rPr>
          <w:sz w:val="20"/>
          <w:szCs w:val="20"/>
          <w:color w:val="auto"/>
        </w:rPr>
      </w:pPr>
      <w:r>
        <w:rPr>
          <w:rFonts w:ascii="Arial" w:cs="Arial" w:eastAsia="Arial" w:hAnsi="Arial"/>
          <w:sz w:val="28"/>
          <w:szCs w:val="28"/>
          <w:b w:val="1"/>
          <w:bCs w:val="1"/>
          <w:color w:val="D47C18"/>
        </w:rPr>
        <w:t>12%</w:t>
      </w:r>
      <w:r>
        <w:rPr>
          <w:sz w:val="20"/>
          <w:szCs w:val="20"/>
          <w:color w:val="auto"/>
        </w:rPr>
        <w:tab/>
      </w:r>
      <w:r>
        <w:rPr>
          <w:rFonts w:ascii="Arial" w:cs="Arial" w:eastAsia="Arial" w:hAnsi="Arial"/>
          <w:sz w:val="27"/>
          <w:szCs w:val="27"/>
          <w:b w:val="1"/>
          <w:bCs w:val="1"/>
          <w:color w:val="auto"/>
        </w:rPr>
        <w:t>Elan</w:t>
      </w:r>
    </w:p>
    <w:p>
      <w:pPr>
        <w:spacing w:after="0" w:line="290" w:lineRule="exact"/>
        <w:rPr>
          <w:sz w:val="20"/>
          <w:szCs w:val="20"/>
          <w:color w:val="auto"/>
        </w:rPr>
      </w:pPr>
    </w:p>
    <w:p>
      <w:pPr>
        <w:ind w:left="230"/>
        <w:spacing w:after="0"/>
        <w:tabs>
          <w:tab w:leader="none" w:pos="1730" w:val="left"/>
        </w:tabs>
        <w:rPr>
          <w:sz w:val="20"/>
          <w:szCs w:val="20"/>
          <w:color w:val="auto"/>
        </w:rPr>
      </w:pPr>
      <w:r>
        <w:rPr>
          <w:rFonts w:ascii="Arial" w:cs="Arial" w:eastAsia="Arial" w:hAnsi="Arial"/>
          <w:sz w:val="27"/>
          <w:szCs w:val="27"/>
          <w:b w:val="1"/>
          <w:bCs w:val="1"/>
          <w:color w:val="D47C18"/>
        </w:rPr>
        <w:t>8%</w:t>
      </w:r>
      <w:r>
        <w:rPr>
          <w:sz w:val="20"/>
          <w:szCs w:val="20"/>
          <w:color w:val="auto"/>
        </w:rPr>
        <w:tab/>
      </w:r>
      <w:r>
        <w:rPr>
          <w:rFonts w:ascii="Arial" w:cs="Arial" w:eastAsia="Arial" w:hAnsi="Arial"/>
          <w:sz w:val="26"/>
          <w:szCs w:val="26"/>
          <w:b w:val="1"/>
          <w:bCs w:val="1"/>
          <w:color w:val="auto"/>
        </w:rPr>
        <w:t>Germany</w:t>
      </w:r>
    </w:p>
    <w:p>
      <w:pPr>
        <w:spacing w:after="0" w:line="277" w:lineRule="exact"/>
        <w:rPr>
          <w:sz w:val="20"/>
          <w:szCs w:val="20"/>
          <w:color w:val="auto"/>
        </w:rPr>
      </w:pPr>
    </w:p>
    <w:p>
      <w:pPr>
        <w:ind w:left="230"/>
        <w:spacing w:after="0"/>
        <w:tabs>
          <w:tab w:leader="none" w:pos="211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Spain</w:t>
      </w:r>
    </w:p>
    <w:p>
      <w:pPr>
        <w:spacing w:after="0" w:line="289" w:lineRule="exact"/>
        <w:rPr>
          <w:sz w:val="20"/>
          <w:szCs w:val="20"/>
          <w:color w:val="auto"/>
        </w:rPr>
      </w:pPr>
    </w:p>
    <w:p>
      <w:pPr>
        <w:ind w:left="230"/>
        <w:spacing w:after="0"/>
        <w:tabs>
          <w:tab w:leader="none" w:pos="129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Netherlands</w:t>
      </w:r>
    </w:p>
    <w:p>
      <w:pPr>
        <w:spacing w:after="0" w:line="278" w:lineRule="exact"/>
        <w:rPr>
          <w:sz w:val="20"/>
          <w:szCs w:val="20"/>
          <w:color w:val="auto"/>
        </w:rPr>
      </w:pPr>
    </w:p>
    <w:p>
      <w:pPr>
        <w:ind w:left="70"/>
        <w:spacing w:after="0"/>
        <w:tabs>
          <w:tab w:leader="none" w:pos="2130" w:val="left"/>
        </w:tabs>
        <w:rPr>
          <w:sz w:val="20"/>
          <w:szCs w:val="20"/>
          <w:color w:val="auto"/>
        </w:rPr>
      </w:pPr>
      <w:r>
        <w:rPr>
          <w:rFonts w:ascii="Arial" w:cs="Arial" w:eastAsia="Arial" w:hAnsi="Arial"/>
          <w:sz w:val="28"/>
          <w:szCs w:val="28"/>
          <w:b w:val="1"/>
          <w:bCs w:val="1"/>
          <w:color w:val="D47C18"/>
        </w:rPr>
        <w:t>16%</w:t>
      </w:r>
      <w:r>
        <w:rPr>
          <w:sz w:val="20"/>
          <w:szCs w:val="20"/>
          <w:color w:val="auto"/>
        </w:rPr>
        <w:tab/>
      </w:r>
      <w:r>
        <w:rPr>
          <w:rFonts w:ascii="Arial" w:cs="Arial" w:eastAsia="Arial" w:hAnsi="Arial"/>
          <w:sz w:val="27"/>
          <w:szCs w:val="27"/>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FFFFFF"/>
        </w:rPr>
        <w:t>26%</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24"/>
          <w:szCs w:val="24"/>
          <w:b w:val="1"/>
          <w:bCs w:val="1"/>
          <w:color w:val="FFFFFF"/>
        </w:rPr>
        <w:t>21%</w:t>
      </w:r>
    </w:p>
    <w:p>
      <w:pPr>
        <w:spacing w:after="0" w:line="36" w:lineRule="exact"/>
        <w:rPr>
          <w:sz w:val="20"/>
          <w:szCs w:val="20"/>
          <w:color w:val="auto"/>
        </w:rPr>
      </w:pPr>
    </w:p>
    <w:p>
      <w:pPr>
        <w:jc w:val="right"/>
        <w:ind w:right="480"/>
        <w:spacing w:after="0"/>
        <w:rPr>
          <w:sz w:val="20"/>
          <w:szCs w:val="20"/>
          <w:color w:val="auto"/>
        </w:rPr>
      </w:pPr>
      <w:r>
        <w:rPr>
          <w:rFonts w:ascii="Arial" w:cs="Arial" w:eastAsia="Arial" w:hAnsi="Arial"/>
          <w:sz w:val="24"/>
          <w:szCs w:val="24"/>
          <w:b w:val="1"/>
          <w:bCs w:val="1"/>
          <w:color w:val="FFFFFF"/>
        </w:rPr>
        <w:t>31%</w:t>
      </w:r>
    </w:p>
    <w:p>
      <w:pPr>
        <w:ind w:left="4780"/>
        <w:spacing w:after="0"/>
        <w:rPr>
          <w:sz w:val="20"/>
          <w:szCs w:val="20"/>
          <w:color w:val="auto"/>
        </w:rPr>
      </w:pPr>
      <w:r>
        <w:rPr>
          <w:rFonts w:ascii="Arial" w:cs="Arial" w:eastAsia="Arial" w:hAnsi="Arial"/>
          <w:sz w:val="24"/>
          <w:szCs w:val="24"/>
          <w:b w:val="1"/>
          <w:bCs w:val="1"/>
          <w:color w:val="FFFFFF"/>
        </w:rPr>
        <w:t>25%</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24"/>
          <w:szCs w:val="24"/>
          <w:b w:val="1"/>
          <w:bCs w:val="1"/>
          <w:color w:val="FFFFFF"/>
        </w:rPr>
        <w:t>4%</w:t>
      </w:r>
    </w:p>
    <w:p>
      <w:pPr>
        <w:ind w:left="1060"/>
        <w:spacing w:after="0"/>
        <w:rPr>
          <w:sz w:val="20"/>
          <w:szCs w:val="20"/>
          <w:color w:val="auto"/>
        </w:rPr>
      </w:pPr>
      <w:r>
        <w:rPr>
          <w:rFonts w:ascii="Arial" w:cs="Arial" w:eastAsia="Arial" w:hAnsi="Arial"/>
          <w:sz w:val="24"/>
          <w:szCs w:val="24"/>
          <w:b w:val="1"/>
          <w:bCs w:val="1"/>
          <w:color w:val="auto"/>
        </w:rPr>
        <w:t>-1%</w:t>
      </w:r>
    </w:p>
    <w:p>
      <w:pPr>
        <w:spacing w:after="0" w:line="59" w:lineRule="exact"/>
        <w:rPr>
          <w:sz w:val="20"/>
          <w:szCs w:val="20"/>
          <w:color w:val="auto"/>
        </w:rPr>
      </w:pPr>
    </w:p>
    <w:p>
      <w:pPr>
        <w:ind w:left="4180"/>
        <w:spacing w:after="0"/>
        <w:rPr>
          <w:sz w:val="20"/>
          <w:szCs w:val="20"/>
          <w:color w:val="auto"/>
        </w:rPr>
      </w:pPr>
      <w:r>
        <w:rPr>
          <w:rFonts w:ascii="Arial" w:cs="Arial" w:eastAsia="Arial" w:hAnsi="Arial"/>
          <w:sz w:val="24"/>
          <w:szCs w:val="24"/>
          <w:b w:val="1"/>
          <w:bCs w:val="1"/>
          <w:color w:val="FFFFFF"/>
        </w:rPr>
        <w:t>21%</w:t>
      </w:r>
    </w:p>
    <w:p>
      <w:pPr>
        <w:ind w:left="3480"/>
        <w:spacing w:after="0"/>
        <w:rPr>
          <w:sz w:val="20"/>
          <w:szCs w:val="20"/>
          <w:color w:val="auto"/>
        </w:rPr>
      </w:pPr>
      <w:r>
        <w:rPr>
          <w:rFonts w:ascii="Arial" w:cs="Arial" w:eastAsia="Arial" w:hAnsi="Arial"/>
          <w:sz w:val="24"/>
          <w:szCs w:val="24"/>
          <w:b w:val="1"/>
          <w:bCs w:val="1"/>
          <w:color w:val="FFFFFF"/>
        </w:rPr>
        <w:t>16%</w:t>
      </w:r>
    </w:p>
    <w:p>
      <w:pPr>
        <w:spacing w:after="0" w:line="58" w:lineRule="exact"/>
        <w:rPr>
          <w:sz w:val="20"/>
          <w:szCs w:val="20"/>
          <w:color w:val="auto"/>
        </w:rPr>
      </w:pPr>
    </w:p>
    <w:p>
      <w:pPr>
        <w:ind w:left="3040"/>
        <w:spacing w:after="0"/>
        <w:rPr>
          <w:sz w:val="20"/>
          <w:szCs w:val="20"/>
          <w:color w:val="auto"/>
        </w:rPr>
      </w:pPr>
      <w:r>
        <w:rPr>
          <w:rFonts w:ascii="Arial" w:cs="Arial" w:eastAsia="Arial" w:hAnsi="Arial"/>
          <w:sz w:val="24"/>
          <w:szCs w:val="24"/>
          <w:b w:val="1"/>
          <w:bCs w:val="1"/>
          <w:color w:val="FFFFFF"/>
        </w:rPr>
        <w:t>13%</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4"/>
          <w:szCs w:val="24"/>
          <w:b w:val="1"/>
          <w:bCs w:val="1"/>
          <w:color w:val="FFFFFF"/>
        </w:rPr>
        <w:t>8%</w:t>
      </w:r>
    </w:p>
    <w:p>
      <w:pPr>
        <w:spacing w:after="0" w:line="59" w:lineRule="exact"/>
        <w:rPr>
          <w:sz w:val="20"/>
          <w:szCs w:val="20"/>
          <w:color w:val="auto"/>
        </w:rPr>
      </w:pPr>
    </w:p>
    <w:p>
      <w:pPr>
        <w:ind w:left="3080"/>
        <w:spacing w:after="0"/>
        <w:rPr>
          <w:sz w:val="20"/>
          <w:szCs w:val="20"/>
          <w:color w:val="auto"/>
        </w:rPr>
      </w:pPr>
      <w:r>
        <w:rPr>
          <w:rFonts w:ascii="Arial" w:cs="Arial" w:eastAsia="Arial" w:hAnsi="Arial"/>
          <w:sz w:val="24"/>
          <w:szCs w:val="24"/>
          <w:b w:val="1"/>
          <w:bCs w:val="1"/>
          <w:color w:val="FFFFFF"/>
        </w:rPr>
        <w:t>13%</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24"/>
          <w:szCs w:val="24"/>
          <w:b w:val="1"/>
          <w:bCs w:val="1"/>
          <w:color w:val="FFFFFF"/>
        </w:rPr>
        <w:t>8%</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24"/>
          <w:szCs w:val="24"/>
          <w:b w:val="1"/>
          <w:bCs w:val="1"/>
          <w:color w:val="FFFFFF"/>
        </w:rPr>
        <w:t>30%</w:t>
      </w:r>
    </w:p>
    <w:p>
      <w:pPr>
        <w:ind w:left="4780"/>
        <w:spacing w:after="0"/>
        <w:rPr>
          <w:sz w:val="20"/>
          <w:szCs w:val="20"/>
          <w:color w:val="auto"/>
        </w:rPr>
      </w:pPr>
      <w:r>
        <w:rPr>
          <w:rFonts w:ascii="Arial" w:cs="Arial" w:eastAsia="Arial" w:hAnsi="Arial"/>
          <w:sz w:val="24"/>
          <w:szCs w:val="24"/>
          <w:b w:val="1"/>
          <w:bCs w:val="1"/>
          <w:color w:val="FFFFFF"/>
        </w:rPr>
        <w:t>25%</w:t>
      </w:r>
    </w:p>
    <w:p>
      <w:pPr>
        <w:spacing w:after="0" w:line="48"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FFFFFF"/>
        </w:rPr>
        <w:t>26%</w:t>
      </w:r>
    </w:p>
    <w:p>
      <w:pPr>
        <w:ind w:left="4200"/>
        <w:spacing w:after="0"/>
        <w:rPr>
          <w:sz w:val="20"/>
          <w:szCs w:val="20"/>
          <w:color w:val="auto"/>
        </w:rPr>
      </w:pPr>
      <w:r>
        <w:rPr>
          <w:rFonts w:ascii="Arial" w:cs="Arial" w:eastAsia="Arial" w:hAnsi="Arial"/>
          <w:sz w:val="24"/>
          <w:szCs w:val="24"/>
          <w:b w:val="1"/>
          <w:bCs w:val="1"/>
          <w:color w:val="FFFFFF"/>
        </w:rPr>
        <w:t>21%</w:t>
      </w:r>
    </w:p>
    <w:p>
      <w:pPr>
        <w:spacing w:after="0" w:line="236"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2">
            <w:col w:w="2910" w:space="380"/>
            <w:col w:w="6580"/>
          </w:cols>
          <w:pgMar w:left="1210" w:top="447" w:right="819" w:bottom="1440" w:gutter="0" w:footer="0" w:header="0"/>
          <w:type w:val="continuous"/>
        </w:sectPr>
      </w:pPr>
    </w:p>
    <w:bookmarkStart w:id="18" w:name="page19"/>
    <w:bookmarkEnd w:id="18"/>
    <w:p>
      <w:pPr>
        <w:spacing w:after="0"/>
        <w:tabs>
          <w:tab w:leader="none" w:pos="972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1"/>
          <w:szCs w:val="21"/>
          <w:color w:val="FFFFFF"/>
        </w:rPr>
        <w:t>9</w:t>
      </w:r>
    </w:p>
    <w:p>
      <w:pPr>
        <w:sectPr>
          <w:pgSz w:w="11900" w:h="16838" w:orient="portrait"/>
          <w:cols w:equalWidth="0" w:num="1">
            <w:col w:w="9860"/>
          </w:cols>
          <w:pgMar w:left="1220" w:top="44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47"/>
          <w:szCs w:val="47"/>
          <w:color w:val="7EA190"/>
        </w:rPr>
        <w:t>Jefferson Wells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Q3 Financial Highlights</w:t>
      </w:r>
    </w:p>
    <w:p>
      <w:pPr>
        <w:spacing w:after="0" w:line="200" w:lineRule="exact"/>
        <w:rPr>
          <w:sz w:val="20"/>
          <w:szCs w:val="20"/>
          <w:color w:val="auto"/>
        </w:rPr>
      </w:pPr>
    </w:p>
    <w:p>
      <w:pPr>
        <w:spacing w:after="0" w:line="255" w:lineRule="exact"/>
        <w:rPr>
          <w:sz w:val="20"/>
          <w:szCs w:val="20"/>
          <w:color w:val="auto"/>
        </w:rPr>
      </w:pPr>
    </w:p>
    <w:p>
      <w:pPr>
        <w:ind w:left="2080"/>
        <w:spacing w:after="0"/>
        <w:tabs>
          <w:tab w:leader="none" w:pos="3400" w:val="left"/>
        </w:tabs>
        <w:rPr>
          <w:sz w:val="20"/>
          <w:szCs w:val="20"/>
          <w:color w:val="auto"/>
        </w:rPr>
      </w:pPr>
      <w:r>
        <w:rPr>
          <w:rFonts w:ascii="Arial" w:cs="Arial" w:eastAsia="Arial" w:hAnsi="Arial"/>
          <w:sz w:val="38"/>
          <w:szCs w:val="38"/>
          <w:color w:val="auto"/>
        </w:rPr>
        <w:t>10%</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7EA190"/>
        </w:rPr>
        <w:t>$94M</w:t>
      </w:r>
    </w:p>
    <w:p>
      <w:pPr>
        <w:spacing w:after="0" w:line="311" w:lineRule="exact"/>
        <w:rPr>
          <w:sz w:val="20"/>
          <w:szCs w:val="20"/>
          <w:color w:val="auto"/>
        </w:rPr>
      </w:pPr>
    </w:p>
    <w:p>
      <w:pPr>
        <w:ind w:left="3460"/>
        <w:spacing w:after="0"/>
        <w:rPr>
          <w:sz w:val="20"/>
          <w:szCs w:val="20"/>
          <w:color w:val="auto"/>
        </w:rPr>
      </w:pPr>
      <w:r>
        <w:rPr>
          <w:rFonts w:ascii="Arial" w:cs="Arial" w:eastAsia="Arial" w:hAnsi="Arial"/>
          <w:sz w:val="32"/>
          <w:szCs w:val="32"/>
          <w:color w:val="auto"/>
        </w:rPr>
        <w:t>contemporary working</w:t>
      </w:r>
    </w:p>
    <w:p>
      <w:pPr>
        <w:ind w:left="2100"/>
        <w:spacing w:after="0"/>
        <w:tabs>
          <w:tab w:leader="none" w:pos="3440" w:val="left"/>
        </w:tabs>
        <w:rPr>
          <w:sz w:val="20"/>
          <w:szCs w:val="20"/>
          <w:color w:val="auto"/>
        </w:rPr>
      </w:pPr>
      <w:r>
        <w:rPr>
          <w:rFonts w:ascii="Arial" w:cs="Arial" w:eastAsia="Arial" w:hAnsi="Arial"/>
          <w:sz w:val="38"/>
          <w:szCs w:val="38"/>
          <w:color w:val="auto"/>
        </w:rPr>
        <w:t>14%</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7EA190"/>
        </w:rPr>
        <w:t>$10M</w:t>
      </w:r>
    </w:p>
    <w:p>
      <w:pPr>
        <w:spacing w:after="0" w:line="200" w:lineRule="exact"/>
        <w:rPr>
          <w:sz w:val="20"/>
          <w:szCs w:val="20"/>
          <w:color w:val="auto"/>
        </w:rPr>
      </w:pPr>
    </w:p>
    <w:p>
      <w:pPr>
        <w:spacing w:after="0" w:line="345"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50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10.6%</w:t>
      </w:r>
    </w:p>
    <w:p>
      <w:pPr>
        <w:sectPr>
          <w:pgSz w:w="11900" w:h="16838" w:orient="portrait"/>
          <w:cols w:equalWidth="0" w:num="1">
            <w:col w:w="9860"/>
          </w:cols>
          <w:pgMar w:left="1220" w:top="447" w:right="819" w:bottom="1440" w:gutter="0" w:footer="0" w:header="0"/>
          <w:type w:val="continuous"/>
        </w:sectPr>
      </w:pPr>
    </w:p>
    <w:bookmarkStart w:id="19" w:name="page20"/>
    <w:bookmarkEnd w:id="19"/>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4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47"/>
          <w:szCs w:val="47"/>
          <w:color w:val="C8504F"/>
        </w:rPr>
        <w:t>Right Management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Q3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right"/>
              <w:ind w:right="272"/>
              <w:spacing w:after="0"/>
              <w:rPr>
                <w:sz w:val="20"/>
                <w:szCs w:val="20"/>
                <w:color w:val="auto"/>
              </w:rPr>
            </w:pPr>
            <w:r>
              <w:rPr>
                <w:rFonts w:ascii="Arial" w:cs="Arial" w:eastAsia="Arial" w:hAnsi="Arial"/>
                <w:sz w:val="38"/>
                <w:szCs w:val="38"/>
                <w:color w:val="auto"/>
              </w:rPr>
              <w:t>5%</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$91M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9"/>
              </w:rPr>
              <w:t>7%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560" w:type="dxa"/>
            <w:vAlign w:val="bottom"/>
            <w:vMerge w:val="restart"/>
          </w:tcPr>
          <w:p>
            <w:pPr>
              <w:jc w:val="right"/>
              <w:ind w:right="192"/>
              <w:spacing w:after="0"/>
              <w:rPr>
                <w:sz w:val="20"/>
                <w:szCs w:val="20"/>
                <w:color w:val="auto"/>
              </w:rPr>
            </w:pPr>
            <w:r>
              <w:rPr>
                <w:rFonts w:ascii="Arial" w:cs="Arial" w:eastAsia="Arial" w:hAnsi="Arial"/>
                <w:sz w:val="38"/>
                <w:szCs w:val="38"/>
                <w:color w:val="auto"/>
              </w:rPr>
              <w:t>12%</w:t>
            </w:r>
          </w:p>
        </w:tc>
        <w:tc>
          <w:tcPr>
            <w:tcW w:w="4780" w:type="dxa"/>
            <w:vAlign w:val="bottom"/>
          </w:tcPr>
          <w:p>
            <w:pPr>
              <w:ind w:left="200"/>
              <w:spacing w:after="0"/>
              <w:rPr>
                <w:sz w:val="20"/>
                <w:szCs w:val="20"/>
                <w:color w:val="auto"/>
              </w:rPr>
            </w:pPr>
            <w:r>
              <w:rPr>
                <w:rFonts w:ascii="Arial" w:cs="Arial" w:eastAsia="Arial" w:hAnsi="Arial"/>
                <w:sz w:val="32"/>
                <w:szCs w:val="32"/>
                <w:color w:val="auto"/>
              </w:rPr>
              <w:t>contemporary working</w:t>
            </w:r>
          </w:p>
        </w:tc>
        <w:tc>
          <w:tcPr>
            <w:tcW w:w="0" w:type="dxa"/>
            <w:vAlign w:val="bottom"/>
          </w:tcPr>
          <w:p>
            <w:pPr>
              <w:spacing w:after="0"/>
              <w:rPr>
                <w:sz w:val="1"/>
                <w:szCs w:val="1"/>
                <w:color w:val="auto"/>
              </w:rPr>
            </w:pPr>
          </w:p>
        </w:tc>
      </w:tr>
      <w:tr>
        <w:trPr>
          <w:trHeight w:val="247"/>
        </w:trPr>
        <w:tc>
          <w:tcPr>
            <w:tcW w:w="1560" w:type="dxa"/>
            <w:vAlign w:val="bottom"/>
            <w:vMerge w:val="continue"/>
          </w:tcPr>
          <w:p>
            <w:pPr>
              <w:spacing w:after="0"/>
              <w:rPr>
                <w:sz w:val="21"/>
                <w:szCs w:val="21"/>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17%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8"/>
              </w:rPr>
              <w:t>20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2.0%</w:t>
            </w:r>
          </w:p>
        </w:tc>
        <w:tc>
          <w:tcPr>
            <w:tcW w:w="0" w:type="dxa"/>
            <w:vAlign w:val="bottom"/>
          </w:tcPr>
          <w:p>
            <w:pPr>
              <w:spacing w:after="0"/>
              <w:rPr>
                <w:sz w:val="1"/>
                <w:szCs w:val="1"/>
                <w:color w:val="auto"/>
              </w:rPr>
            </w:pPr>
          </w:p>
        </w:tc>
      </w:tr>
    </w:tbl>
    <w:p>
      <w:pPr>
        <w:sectPr>
          <w:pgSz w:w="11900" w:h="16838" w:orient="portrait"/>
          <w:cols w:equalWidth="0" w:num="1">
            <w:col w:w="9860"/>
          </w:cols>
          <w:pgMar w:left="1220" w:top="447" w:right="819" w:bottom="1440" w:gutter="0" w:footer="0" w:header="0"/>
          <w:type w:val="continuous"/>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0"/>
        </w:trPr>
        <w:tc>
          <w:tcPr>
            <w:tcW w:w="674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120" w:type="dxa"/>
            <w:vAlign w:val="bottom"/>
          </w:tcPr>
          <w:p>
            <w:pPr>
              <w:jc w:val="right"/>
              <w:spacing w:after="0"/>
              <w:rPr>
                <w:sz w:val="20"/>
                <w:szCs w:val="20"/>
                <w:color w:val="auto"/>
              </w:rPr>
            </w:pPr>
            <w:r>
              <w:rPr>
                <w:rFonts w:ascii="Arial" w:cs="Arial" w:eastAsia="Arial" w:hAnsi="Arial"/>
                <w:sz w:val="22"/>
                <w:szCs w:val="22"/>
                <w:color w:val="FFFFFF"/>
              </w:rPr>
              <w:t>11</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D47C18"/>
        </w:rPr>
        <w:t>Other Operations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Q3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right"/>
              <w:ind w:right="172"/>
              <w:spacing w:after="0"/>
              <w:rPr>
                <w:sz w:val="20"/>
                <w:szCs w:val="20"/>
                <w:color w:val="auto"/>
              </w:rPr>
            </w:pPr>
            <w:r>
              <w:rPr>
                <w:rFonts w:ascii="Arial" w:cs="Arial" w:eastAsia="Arial" w:hAnsi="Arial"/>
                <w:sz w:val="38"/>
                <w:szCs w:val="38"/>
                <w:color w:val="auto"/>
              </w:rPr>
              <w:t>12%</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$595M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13%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560" w:type="dxa"/>
            <w:vAlign w:val="bottom"/>
            <w:vMerge w:val="restart"/>
          </w:tcPr>
          <w:p>
            <w:pPr>
              <w:jc w:val="right"/>
              <w:ind w:right="312"/>
              <w:spacing w:after="0"/>
              <w:rPr>
                <w:sz w:val="20"/>
                <w:szCs w:val="20"/>
                <w:color w:val="auto"/>
              </w:rPr>
            </w:pPr>
            <w:r>
              <w:rPr>
                <w:rFonts w:ascii="Arial" w:cs="Arial" w:eastAsia="Arial" w:hAnsi="Arial"/>
                <w:sz w:val="38"/>
                <w:szCs w:val="38"/>
                <w:color w:val="auto"/>
              </w:rPr>
              <w:t>1%</w:t>
            </w:r>
          </w:p>
        </w:tc>
        <w:tc>
          <w:tcPr>
            <w:tcW w:w="4780" w:type="dxa"/>
            <w:vAlign w:val="bottom"/>
          </w:tcPr>
          <w:p>
            <w:pPr>
              <w:ind w:left="200"/>
              <w:spacing w:after="0"/>
              <w:rPr>
                <w:sz w:val="20"/>
                <w:szCs w:val="20"/>
                <w:color w:val="auto"/>
              </w:rPr>
            </w:pPr>
            <w:r>
              <w:rPr>
                <w:rFonts w:ascii="Arial" w:cs="Arial" w:eastAsia="Arial" w:hAnsi="Arial"/>
                <w:sz w:val="32"/>
                <w:szCs w:val="32"/>
                <w:color w:val="auto"/>
              </w:rPr>
              <w:t>contemporary working</w:t>
            </w:r>
          </w:p>
        </w:tc>
        <w:tc>
          <w:tcPr>
            <w:tcW w:w="0" w:type="dxa"/>
            <w:vAlign w:val="bottom"/>
          </w:tcPr>
          <w:p>
            <w:pPr>
              <w:spacing w:after="0"/>
              <w:rPr>
                <w:sz w:val="1"/>
                <w:szCs w:val="1"/>
                <w:color w:val="auto"/>
              </w:rPr>
            </w:pPr>
          </w:p>
        </w:tc>
      </w:tr>
      <w:tr>
        <w:trPr>
          <w:trHeight w:val="247"/>
        </w:trPr>
        <w:tc>
          <w:tcPr>
            <w:tcW w:w="1560" w:type="dxa"/>
            <w:vAlign w:val="bottom"/>
            <w:vMerge w:val="continue"/>
          </w:tcPr>
          <w:p>
            <w:pPr>
              <w:spacing w:after="0"/>
              <w:rPr>
                <w:sz w:val="21"/>
                <w:szCs w:val="21"/>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$17M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9"/>
              </w:rPr>
              <w:t>3%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30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2.8%</w:t>
            </w:r>
          </w:p>
        </w:tc>
        <w:tc>
          <w:tcPr>
            <w:tcW w:w="0" w:type="dxa"/>
            <w:vAlign w:val="bottom"/>
          </w:tcPr>
          <w:p>
            <w:pPr>
              <w:spacing w:after="0"/>
              <w:rPr>
                <w:sz w:val="1"/>
                <w:szCs w:val="1"/>
                <w:color w:val="auto"/>
              </w:rPr>
            </w:pPr>
          </w:p>
        </w:tc>
      </w:tr>
    </w:tbl>
    <w:p>
      <w:pPr>
        <w:sectPr>
          <w:pgSz w:w="11900" w:h="16838" w:orient="portrait"/>
          <w:cols w:equalWidth="0" w:num="1">
            <w:col w:w="9860"/>
          </w:cols>
          <w:pgMar w:left="1220" w:top="447" w:right="8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370"/>
        </w:trPr>
        <w:tc>
          <w:tcPr>
            <w:tcW w:w="674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12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Other Operations – Q3 Revenue Growth YoY</w:t>
      </w:r>
    </w:p>
    <w:p>
      <w:pPr>
        <w:spacing w:after="0" w:line="200" w:lineRule="exact"/>
        <w:rPr>
          <w:sz w:val="20"/>
          <w:szCs w:val="20"/>
          <w:color w:val="auto"/>
        </w:rPr>
      </w:pPr>
    </w:p>
    <w:p>
      <w:pPr>
        <w:spacing w:after="0" w:line="279" w:lineRule="exact"/>
        <w:rPr>
          <w:sz w:val="20"/>
          <w:szCs w:val="20"/>
          <w:color w:val="auto"/>
        </w:rPr>
      </w:pPr>
    </w:p>
    <w:p>
      <w:pPr>
        <w:ind w:left="20" w:right="8320" w:hanging="10"/>
        <w:spacing w:after="0" w:line="296" w:lineRule="auto"/>
        <w:tabs>
          <w:tab w:leader="none" w:pos="294"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tbl>
      <w:tblPr>
        <w:tblLayout w:type="fixed"/>
        <w:tblInd w:w="0" w:type="dxa"/>
        <w:tblCellMar>
          <w:top w:w="0" w:type="dxa"/>
          <w:left w:w="0" w:type="dxa"/>
          <w:bottom w:w="0" w:type="dxa"/>
          <w:right w:w="0" w:type="dxa"/>
        </w:tblCellMar>
      </w:tblPr>
      <w:tr>
        <w:trPr>
          <w:trHeight w:val="296"/>
        </w:trPr>
        <w:tc>
          <w:tcPr>
            <w:tcW w:w="720" w:type="dxa"/>
            <w:vAlign w:val="bottom"/>
            <w:vMerge w:val="restart"/>
          </w:tcPr>
          <w:p>
            <w:pPr>
              <w:spacing w:after="0"/>
              <w:rPr>
                <w:sz w:val="20"/>
                <w:szCs w:val="20"/>
                <w:color w:val="auto"/>
              </w:rPr>
            </w:pPr>
            <w:r>
              <w:rPr>
                <w:rFonts w:ascii="Arial" w:cs="Arial" w:eastAsia="Arial" w:hAnsi="Arial"/>
                <w:sz w:val="28"/>
                <w:szCs w:val="28"/>
                <w:b w:val="1"/>
                <w:bCs w:val="1"/>
                <w:color w:val="D47C18"/>
              </w:rPr>
              <w:t>35%</w:t>
            </w:r>
          </w:p>
        </w:tc>
        <w:tc>
          <w:tcPr>
            <w:tcW w:w="1960" w:type="dxa"/>
            <w:vAlign w:val="bottom"/>
            <w:vMerge w:val="restart"/>
          </w:tcPr>
          <w:p>
            <w:pPr>
              <w:jc w:val="right"/>
              <w:ind w:right="59"/>
              <w:spacing w:after="0"/>
              <w:rPr>
                <w:sz w:val="20"/>
                <w:szCs w:val="20"/>
                <w:color w:val="auto"/>
              </w:rPr>
            </w:pPr>
            <w:r>
              <w:rPr>
                <w:rFonts w:ascii="Arial" w:cs="Arial" w:eastAsia="Arial" w:hAnsi="Arial"/>
                <w:sz w:val="28"/>
                <w:szCs w:val="28"/>
                <w:b w:val="1"/>
                <w:bCs w:val="1"/>
                <w:color w:val="auto"/>
              </w:rPr>
              <w:t>Japan</w:t>
            </w:r>
          </w:p>
        </w:tc>
        <w:tc>
          <w:tcPr>
            <w:tcW w:w="6360" w:type="dxa"/>
            <w:vAlign w:val="bottom"/>
          </w:tcPr>
          <w:p>
            <w:pPr>
              <w:jc w:val="right"/>
              <w:ind w:right="5708"/>
              <w:spacing w:after="0"/>
              <w:rPr>
                <w:sz w:val="20"/>
                <w:szCs w:val="20"/>
                <w:color w:val="auto"/>
              </w:rPr>
            </w:pPr>
            <w:r>
              <w:rPr>
                <w:rFonts w:ascii="Arial" w:cs="Arial" w:eastAsia="Arial" w:hAnsi="Arial"/>
                <w:sz w:val="22"/>
                <w:szCs w:val="22"/>
                <w:b w:val="1"/>
                <w:bCs w:val="1"/>
                <w:color w:val="auto"/>
              </w:rPr>
              <w:t>-1%</w:t>
            </w:r>
          </w:p>
        </w:tc>
        <w:tc>
          <w:tcPr>
            <w:tcW w:w="0" w:type="dxa"/>
            <w:vAlign w:val="bottom"/>
          </w:tcPr>
          <w:p>
            <w:pPr>
              <w:spacing w:after="0"/>
              <w:rPr>
                <w:sz w:val="1"/>
                <w:szCs w:val="1"/>
                <w:color w:val="auto"/>
              </w:rPr>
            </w:pPr>
          </w:p>
        </w:tc>
      </w:tr>
      <w:tr>
        <w:trPr>
          <w:trHeight w:val="194"/>
        </w:trPr>
        <w:tc>
          <w:tcPr>
            <w:tcW w:w="7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6360" w:type="dxa"/>
            <w:vAlign w:val="bottom"/>
            <w:vMerge w:val="restart"/>
          </w:tcPr>
          <w:p>
            <w:pPr>
              <w:jc w:val="right"/>
              <w:ind w:right="4908"/>
              <w:spacing w:after="0"/>
              <w:rPr>
                <w:sz w:val="20"/>
                <w:szCs w:val="20"/>
                <w:color w:val="auto"/>
              </w:rPr>
            </w:pPr>
            <w:r>
              <w:rPr>
                <w:rFonts w:ascii="Arial" w:cs="Arial" w:eastAsia="Arial" w:hAnsi="Arial"/>
                <w:sz w:val="22"/>
                <w:szCs w:val="22"/>
                <w:b w:val="1"/>
                <w:bCs w:val="1"/>
                <w:color w:val="FFFFFF"/>
              </w:rPr>
              <w:t>3%</w:t>
            </w:r>
          </w:p>
        </w:tc>
        <w:tc>
          <w:tcPr>
            <w:tcW w:w="0" w:type="dxa"/>
            <w:vAlign w:val="bottom"/>
          </w:tcPr>
          <w:p>
            <w:pPr>
              <w:spacing w:after="0"/>
              <w:rPr>
                <w:sz w:val="1"/>
                <w:szCs w:val="1"/>
                <w:color w:val="auto"/>
              </w:rPr>
            </w:pPr>
          </w:p>
        </w:tc>
      </w:tr>
      <w:tr>
        <w:trPr>
          <w:trHeight w:val="111"/>
        </w:trPr>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6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2"/>
        </w:trPr>
        <w:tc>
          <w:tcPr>
            <w:tcW w:w="72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60" w:type="dxa"/>
            <w:vAlign w:val="bottom"/>
            <w:vMerge w:val="restart"/>
          </w:tcPr>
          <w:p>
            <w:pPr>
              <w:jc w:val="right"/>
              <w:ind w:right="59"/>
              <w:spacing w:after="0"/>
              <w:rPr>
                <w:sz w:val="20"/>
                <w:szCs w:val="20"/>
                <w:color w:val="auto"/>
              </w:rPr>
            </w:pPr>
            <w:r>
              <w:rPr>
                <w:rFonts w:ascii="Arial" w:cs="Arial" w:eastAsia="Arial" w:hAnsi="Arial"/>
                <w:sz w:val="28"/>
                <w:szCs w:val="28"/>
                <w:b w:val="1"/>
                <w:bCs w:val="1"/>
                <w:color w:val="auto"/>
              </w:rPr>
              <w:t>Mexico</w:t>
            </w:r>
          </w:p>
        </w:tc>
        <w:tc>
          <w:tcPr>
            <w:tcW w:w="6360" w:type="dxa"/>
            <w:vAlign w:val="bottom"/>
          </w:tcPr>
          <w:p>
            <w:pPr>
              <w:jc w:val="right"/>
              <w:ind w:right="1708"/>
              <w:spacing w:after="0"/>
              <w:rPr>
                <w:sz w:val="20"/>
                <w:szCs w:val="20"/>
                <w:color w:val="auto"/>
              </w:rPr>
            </w:pPr>
            <w:r>
              <w:rPr>
                <w:rFonts w:ascii="Arial" w:cs="Arial" w:eastAsia="Arial" w:hAnsi="Arial"/>
                <w:sz w:val="22"/>
                <w:szCs w:val="22"/>
                <w:b w:val="1"/>
                <w:bCs w:val="1"/>
                <w:color w:val="FFFFFF"/>
              </w:rPr>
              <w:t>20%</w:t>
            </w:r>
          </w:p>
        </w:tc>
        <w:tc>
          <w:tcPr>
            <w:tcW w:w="0" w:type="dxa"/>
            <w:vAlign w:val="bottom"/>
          </w:tcPr>
          <w:p>
            <w:pPr>
              <w:spacing w:after="0"/>
              <w:rPr>
                <w:sz w:val="1"/>
                <w:szCs w:val="1"/>
                <w:color w:val="auto"/>
              </w:rPr>
            </w:pPr>
          </w:p>
        </w:tc>
      </w:tr>
      <w:tr>
        <w:trPr>
          <w:trHeight w:val="183"/>
        </w:trPr>
        <w:tc>
          <w:tcPr>
            <w:tcW w:w="72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6360" w:type="dxa"/>
            <w:vAlign w:val="bottom"/>
            <w:vMerge w:val="restart"/>
          </w:tcPr>
          <w:p>
            <w:pPr>
              <w:jc w:val="right"/>
              <w:ind w:right="1188"/>
              <w:spacing w:after="0"/>
              <w:rPr>
                <w:sz w:val="20"/>
                <w:szCs w:val="20"/>
                <w:color w:val="auto"/>
              </w:rPr>
            </w:pPr>
            <w:r>
              <w:rPr>
                <w:rFonts w:ascii="Arial" w:cs="Arial" w:eastAsia="Arial" w:hAnsi="Arial"/>
                <w:sz w:val="22"/>
                <w:szCs w:val="22"/>
                <w:b w:val="1"/>
                <w:bCs w:val="1"/>
                <w:color w:val="FFFFFF"/>
              </w:rPr>
              <w:t>23%</w:t>
            </w:r>
          </w:p>
        </w:tc>
        <w:tc>
          <w:tcPr>
            <w:tcW w:w="0" w:type="dxa"/>
            <w:vAlign w:val="bottom"/>
          </w:tcPr>
          <w:p>
            <w:pPr>
              <w:spacing w:after="0"/>
              <w:rPr>
                <w:sz w:val="1"/>
                <w:szCs w:val="1"/>
                <w:color w:val="auto"/>
              </w:rPr>
            </w:pPr>
          </w:p>
        </w:tc>
      </w:tr>
      <w:tr>
        <w:trPr>
          <w:trHeight w:val="123"/>
        </w:trPr>
        <w:tc>
          <w:tcPr>
            <w:tcW w:w="7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1"/>
        </w:trPr>
        <w:tc>
          <w:tcPr>
            <w:tcW w:w="72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60" w:type="dxa"/>
            <w:vAlign w:val="bottom"/>
            <w:vMerge w:val="restart"/>
          </w:tcPr>
          <w:p>
            <w:pPr>
              <w:jc w:val="right"/>
              <w:ind w:right="19"/>
              <w:spacing w:after="0"/>
              <w:rPr>
                <w:sz w:val="20"/>
                <w:szCs w:val="20"/>
                <w:color w:val="auto"/>
              </w:rPr>
            </w:pPr>
            <w:r>
              <w:rPr>
                <w:rFonts w:ascii="Arial" w:cs="Arial" w:eastAsia="Arial" w:hAnsi="Arial"/>
                <w:sz w:val="28"/>
                <w:szCs w:val="28"/>
                <w:b w:val="1"/>
                <w:bCs w:val="1"/>
                <w:color w:val="auto"/>
              </w:rPr>
              <w:t>Australia/NZ</w:t>
            </w:r>
          </w:p>
        </w:tc>
        <w:tc>
          <w:tcPr>
            <w:tcW w:w="6360" w:type="dxa"/>
            <w:vAlign w:val="bottom"/>
          </w:tcPr>
          <w:p>
            <w:pPr>
              <w:jc w:val="right"/>
              <w:ind w:right="4788"/>
              <w:spacing w:after="0"/>
              <w:rPr>
                <w:sz w:val="20"/>
                <w:szCs w:val="20"/>
                <w:color w:val="auto"/>
              </w:rPr>
            </w:pPr>
            <w:r>
              <w:rPr>
                <w:rFonts w:ascii="Arial" w:cs="Arial" w:eastAsia="Arial" w:hAnsi="Arial"/>
                <w:sz w:val="22"/>
                <w:szCs w:val="22"/>
                <w:b w:val="1"/>
                <w:bCs w:val="1"/>
                <w:color w:val="auto"/>
              </w:rPr>
              <w:t>1%</w:t>
            </w:r>
          </w:p>
        </w:tc>
        <w:tc>
          <w:tcPr>
            <w:tcW w:w="0" w:type="dxa"/>
            <w:vAlign w:val="bottom"/>
          </w:tcPr>
          <w:p>
            <w:pPr>
              <w:spacing w:after="0"/>
              <w:rPr>
                <w:sz w:val="1"/>
                <w:szCs w:val="1"/>
                <w:color w:val="auto"/>
              </w:rPr>
            </w:pPr>
          </w:p>
        </w:tc>
      </w:tr>
      <w:tr>
        <w:trPr>
          <w:trHeight w:val="183"/>
        </w:trPr>
        <w:tc>
          <w:tcPr>
            <w:tcW w:w="72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6360" w:type="dxa"/>
            <w:vAlign w:val="bottom"/>
            <w:vMerge w:val="restart"/>
          </w:tcPr>
          <w:p>
            <w:pPr>
              <w:jc w:val="right"/>
              <w:ind w:right="5028"/>
              <w:spacing w:after="0"/>
              <w:rPr>
                <w:sz w:val="20"/>
                <w:szCs w:val="20"/>
                <w:color w:val="auto"/>
              </w:rPr>
            </w:pPr>
            <w:r>
              <w:rPr>
                <w:rFonts w:ascii="Arial" w:cs="Arial" w:eastAsia="Arial" w:hAnsi="Arial"/>
                <w:sz w:val="22"/>
                <w:szCs w:val="22"/>
                <w:b w:val="1"/>
                <w:bCs w:val="1"/>
                <w:color w:val="FFFFFF"/>
              </w:rPr>
              <w:t>2%</w:t>
            </w:r>
          </w:p>
        </w:tc>
        <w:tc>
          <w:tcPr>
            <w:tcW w:w="0" w:type="dxa"/>
            <w:vAlign w:val="bottom"/>
          </w:tcPr>
          <w:p>
            <w:pPr>
              <w:spacing w:after="0"/>
              <w:rPr>
                <w:sz w:val="1"/>
                <w:szCs w:val="1"/>
                <w:color w:val="auto"/>
              </w:rPr>
            </w:pPr>
          </w:p>
        </w:tc>
      </w:tr>
      <w:tr>
        <w:trPr>
          <w:trHeight w:val="123"/>
        </w:trPr>
        <w:tc>
          <w:tcPr>
            <w:tcW w:w="7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72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35%</w:t>
            </w:r>
          </w:p>
        </w:tc>
        <w:tc>
          <w:tcPr>
            <w:tcW w:w="1960" w:type="dxa"/>
            <w:vAlign w:val="bottom"/>
            <w:vMerge w:val="restart"/>
          </w:tcPr>
          <w:p>
            <w:pPr>
              <w:jc w:val="right"/>
              <w:ind w:right="79"/>
              <w:spacing w:after="0"/>
              <w:rPr>
                <w:sz w:val="20"/>
                <w:szCs w:val="20"/>
                <w:color w:val="auto"/>
              </w:rPr>
            </w:pPr>
            <w:r>
              <w:rPr>
                <w:rFonts w:ascii="Arial" w:cs="Arial" w:eastAsia="Arial" w:hAnsi="Arial"/>
                <w:sz w:val="28"/>
                <w:szCs w:val="28"/>
                <w:b w:val="1"/>
                <w:bCs w:val="1"/>
                <w:color w:val="auto"/>
              </w:rPr>
              <w:t>Other</w:t>
            </w:r>
          </w:p>
        </w:tc>
        <w:tc>
          <w:tcPr>
            <w:tcW w:w="6360" w:type="dxa"/>
            <w:vAlign w:val="bottom"/>
          </w:tcPr>
          <w:p>
            <w:pPr>
              <w:jc w:val="right"/>
              <w:spacing w:after="0"/>
              <w:rPr>
                <w:sz w:val="20"/>
                <w:szCs w:val="20"/>
                <w:color w:val="auto"/>
              </w:rPr>
            </w:pPr>
            <w:r>
              <w:rPr>
                <w:rFonts w:ascii="Arial" w:cs="Arial" w:eastAsia="Arial" w:hAnsi="Arial"/>
                <w:sz w:val="22"/>
                <w:szCs w:val="22"/>
                <w:b w:val="1"/>
                <w:bCs w:val="1"/>
                <w:color w:val="FFFFFF"/>
              </w:rPr>
              <w:t>30%</w:t>
            </w:r>
          </w:p>
        </w:tc>
        <w:tc>
          <w:tcPr>
            <w:tcW w:w="0" w:type="dxa"/>
            <w:vAlign w:val="bottom"/>
          </w:tcPr>
          <w:p>
            <w:pPr>
              <w:spacing w:after="0"/>
              <w:rPr>
                <w:sz w:val="1"/>
                <w:szCs w:val="1"/>
                <w:color w:val="auto"/>
              </w:rPr>
            </w:pPr>
          </w:p>
        </w:tc>
      </w:tr>
      <w:tr>
        <w:trPr>
          <w:trHeight w:val="194"/>
        </w:trPr>
        <w:tc>
          <w:tcPr>
            <w:tcW w:w="7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6360" w:type="dxa"/>
            <w:vAlign w:val="bottom"/>
            <w:vMerge w:val="restart"/>
          </w:tcPr>
          <w:p>
            <w:pPr>
              <w:jc w:val="right"/>
              <w:ind w:right="68"/>
              <w:spacing w:after="0"/>
              <w:rPr>
                <w:sz w:val="20"/>
                <w:szCs w:val="20"/>
                <w:color w:val="auto"/>
              </w:rPr>
            </w:pPr>
            <w:r>
              <w:rPr>
                <w:rFonts w:ascii="Arial" w:cs="Arial" w:eastAsia="Arial" w:hAnsi="Arial"/>
                <w:sz w:val="22"/>
                <w:szCs w:val="22"/>
                <w:b w:val="1"/>
                <w:bCs w:val="1"/>
                <w:color w:val="FFFFFF"/>
              </w:rPr>
              <w:t>29%</w:t>
            </w:r>
          </w:p>
        </w:tc>
        <w:tc>
          <w:tcPr>
            <w:tcW w:w="0" w:type="dxa"/>
            <w:vAlign w:val="bottom"/>
          </w:tcPr>
          <w:p>
            <w:pPr>
              <w:spacing w:after="0"/>
              <w:rPr>
                <w:sz w:val="1"/>
                <w:szCs w:val="1"/>
                <w:color w:val="auto"/>
              </w:rPr>
            </w:pPr>
          </w:p>
        </w:tc>
      </w:tr>
      <w:tr>
        <w:trPr>
          <w:trHeight w:val="123"/>
        </w:trPr>
        <w:tc>
          <w:tcPr>
            <w:tcW w:w="7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00"/>
        <w:spacing w:after="0"/>
        <w:tabs>
          <w:tab w:leader="none" w:pos="554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80"/>
          </w:cols>
          <w:pgMar w:left="1200" w:top="447" w:right="819" w:bottom="1440" w:gutter="0" w:footer="0" w:header="0"/>
        </w:sectPr>
      </w:pPr>
    </w:p>
    <w:bookmarkStart w:id="22" w:name="page23"/>
    <w:bookmarkEnd w:id="22"/>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13</w:t>
      </w:r>
    </w:p>
    <w:p>
      <w:pPr>
        <w:sectPr>
          <w:pgSz w:w="11900" w:h="16838" w:orient="portrait"/>
          <w:cols w:equalWidth="0" w:num="1">
            <w:col w:w="9860"/>
          </w:cols>
          <w:pgMar w:left="1220" w:top="44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380"/>
        <w:spacing w:after="0"/>
        <w:rPr>
          <w:sz w:val="20"/>
          <w:szCs w:val="20"/>
          <w:color w:val="auto"/>
        </w:rPr>
      </w:pPr>
      <w:r>
        <w:rPr>
          <w:rFonts w:ascii="Arial" w:cs="Arial" w:eastAsia="Arial" w:hAnsi="Arial"/>
          <w:sz w:val="85"/>
          <w:szCs w:val="85"/>
          <w:color w:val="6698C2"/>
        </w:rPr>
        <w:t>Financial Highlights</w:t>
      </w:r>
    </w:p>
    <w:p>
      <w:pPr>
        <w:sectPr>
          <w:pgSz w:w="11900" w:h="16838" w:orient="portrait"/>
          <w:cols w:equalWidth="0" w:num="1">
            <w:col w:w="9860"/>
          </w:cols>
          <w:pgMar w:left="1220" w:top="447" w:right="819" w:bottom="1440" w:gutter="0" w:footer="0" w:header="0"/>
          <w:type w:val="continuous"/>
        </w:sectPr>
      </w:pPr>
    </w:p>
    <w:bookmarkStart w:id="23" w:name="page24"/>
    <w:bookmarkEnd w:id="23"/>
    <w:tbl>
      <w:tblPr>
        <w:tblLayout w:type="fixed"/>
        <w:tblInd w:w="440" w:type="dxa"/>
        <w:tblCellMar>
          <w:top w:w="0" w:type="dxa"/>
          <w:left w:w="0" w:type="dxa"/>
          <w:bottom w:w="0" w:type="dxa"/>
          <w:right w:w="0" w:type="dxa"/>
        </w:tblCellMar>
      </w:tblPr>
      <w:tr>
        <w:trPr>
          <w:trHeight w:val="370"/>
        </w:trPr>
        <w:tc>
          <w:tcPr>
            <w:tcW w:w="674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120" w:type="dxa"/>
            <w:vAlign w:val="bottom"/>
          </w:tcPr>
          <w:p>
            <w:pPr>
              <w:jc w:val="right"/>
              <w:spacing w:after="0"/>
              <w:rPr>
                <w:sz w:val="20"/>
                <w:szCs w:val="20"/>
                <w:color w:val="auto"/>
              </w:rPr>
            </w:pPr>
            <w:r>
              <w:rPr>
                <w:rFonts w:ascii="Arial" w:cs="Arial" w:eastAsia="Arial" w:hAnsi="Arial"/>
                <w:sz w:val="22"/>
                <w:szCs w:val="22"/>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47"/>
          <w:szCs w:val="47"/>
          <w:color w:val="7EA190"/>
        </w:rPr>
        <w:t>Balance Sheet Highlights</w:t>
      </w:r>
    </w:p>
    <w:p>
      <w:pPr>
        <w:sectPr>
          <w:pgSz w:w="11900" w:h="16838" w:orient="portrait"/>
          <w:cols w:equalWidth="0" w:num="1">
            <w:col w:w="10300"/>
          </w:cols>
          <w:pgMar w:left="780" w:top="447" w:right="81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1360" w:type="dxa"/>
            <w:vAlign w:val="bottom"/>
          </w:tcPr>
          <w:p>
            <w:pPr>
              <w:spacing w:after="0"/>
              <w:rPr>
                <w:sz w:val="20"/>
                <w:szCs w:val="20"/>
                <w:color w:val="auto"/>
              </w:rPr>
            </w:pPr>
            <w:r>
              <w:rPr>
                <w:rFonts w:ascii="Arial" w:cs="Arial" w:eastAsia="Arial" w:hAnsi="Arial"/>
                <w:sz w:val="22"/>
                <w:szCs w:val="22"/>
                <w:b w:val="1"/>
                <w:bCs w:val="1"/>
                <w:color w:val="auto"/>
              </w:rPr>
              <w:t>Total Debt</w:t>
            </w:r>
          </w:p>
        </w:tc>
        <w:tc>
          <w:tcPr>
            <w:tcW w:w="880" w:type="dxa"/>
            <w:vAlign w:val="bottom"/>
          </w:tcPr>
          <w:p>
            <w:pPr>
              <w:jc w:val="right"/>
              <w:spacing w:after="0"/>
              <w:rPr>
                <w:sz w:val="20"/>
                <w:szCs w:val="20"/>
                <w:color w:val="auto"/>
              </w:rPr>
            </w:pPr>
            <w:r>
              <w:rPr>
                <w:rFonts w:ascii="Arial" w:cs="Arial" w:eastAsia="Arial" w:hAnsi="Arial"/>
                <w:sz w:val="24"/>
                <w:szCs w:val="24"/>
                <w:color w:val="auto"/>
              </w:rPr>
              <w:t>1,200</w:t>
            </w: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1380" w:type="dxa"/>
            <w:vAlign w:val="bottom"/>
          </w:tcPr>
          <w:p>
            <w:pPr>
              <w:spacing w:after="0"/>
              <w:rPr>
                <w:sz w:val="20"/>
                <w:szCs w:val="20"/>
                <w:color w:val="auto"/>
              </w:rPr>
            </w:pPr>
            <w:r>
              <w:rPr>
                <w:rFonts w:ascii="Arial" w:cs="Arial" w:eastAsia="Arial" w:hAnsi="Arial"/>
                <w:sz w:val="19"/>
                <w:szCs w:val="19"/>
                <w:color w:val="auto"/>
              </w:rPr>
              <w:t>($ in millions)</w:t>
            </w:r>
          </w:p>
        </w:tc>
        <w:tc>
          <w:tcPr>
            <w:tcW w:w="880" w:type="dxa"/>
            <w:vAlign w:val="bottom"/>
            <w:vMerge w:val="restart"/>
          </w:tcPr>
          <w:p>
            <w:pPr>
              <w:jc w:val="right"/>
              <w:spacing w:after="0"/>
              <w:rPr>
                <w:sz w:val="20"/>
                <w:szCs w:val="20"/>
                <w:color w:val="auto"/>
              </w:rPr>
            </w:pPr>
            <w:r>
              <w:rPr>
                <w:rFonts w:ascii="Arial" w:cs="Arial" w:eastAsia="Arial" w:hAnsi="Arial"/>
                <w:sz w:val="24"/>
                <w:szCs w:val="24"/>
                <w:color w:val="auto"/>
              </w:rPr>
              <w:t>1,000</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4"/>
                <w:szCs w:val="24"/>
                <w:color w:val="auto"/>
              </w:rPr>
              <w:t>800</w:t>
            </w:r>
          </w:p>
        </w:tc>
        <w:tc>
          <w:tcPr>
            <w:tcW w:w="0" w:type="dxa"/>
            <w:vAlign w:val="bottom"/>
          </w:tcPr>
          <w:p>
            <w:pPr>
              <w:spacing w:after="0"/>
              <w:rPr>
                <w:sz w:val="1"/>
                <w:szCs w:val="1"/>
                <w:color w:val="auto"/>
              </w:rPr>
            </w:pPr>
          </w:p>
        </w:tc>
      </w:tr>
      <w:tr>
        <w:trPr>
          <w:trHeight w:val="329"/>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4"/>
                <w:szCs w:val="24"/>
                <w:color w:val="auto"/>
              </w:rPr>
              <w:t>600</w:t>
            </w:r>
          </w:p>
        </w:tc>
        <w:tc>
          <w:tcPr>
            <w:tcW w:w="0" w:type="dxa"/>
            <w:vAlign w:val="bottom"/>
          </w:tcPr>
          <w:p>
            <w:pPr>
              <w:spacing w:after="0"/>
              <w:rPr>
                <w:sz w:val="1"/>
                <w:szCs w:val="1"/>
                <w:color w:val="auto"/>
              </w:rPr>
            </w:pPr>
          </w:p>
        </w:tc>
      </w:tr>
      <w:tr>
        <w:trPr>
          <w:trHeight w:val="329"/>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4"/>
                <w:szCs w:val="24"/>
                <w:color w:val="auto"/>
              </w:rPr>
              <w:t>400</w:t>
            </w:r>
          </w:p>
        </w:tc>
        <w:tc>
          <w:tcPr>
            <w:tcW w:w="0" w:type="dxa"/>
            <w:vAlign w:val="bottom"/>
          </w:tcPr>
          <w:p>
            <w:pPr>
              <w:spacing w:after="0"/>
              <w:rPr>
                <w:sz w:val="1"/>
                <w:szCs w:val="1"/>
                <w:color w:val="auto"/>
              </w:rPr>
            </w:pPr>
          </w:p>
        </w:tc>
      </w:tr>
      <w:tr>
        <w:trPr>
          <w:trHeight w:val="329"/>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4"/>
                <w:szCs w:val="24"/>
                <w:color w:val="auto"/>
              </w:rPr>
              <w:t>200</w:t>
            </w:r>
          </w:p>
        </w:tc>
        <w:tc>
          <w:tcPr>
            <w:tcW w:w="0" w:type="dxa"/>
            <w:vAlign w:val="bottom"/>
          </w:tcPr>
          <w:p>
            <w:pPr>
              <w:spacing w:after="0"/>
              <w:rPr>
                <w:sz w:val="1"/>
                <w:szCs w:val="1"/>
                <w:color w:val="auto"/>
              </w:rPr>
            </w:pPr>
          </w:p>
        </w:tc>
      </w:tr>
      <w:tr>
        <w:trPr>
          <w:trHeight w:val="317"/>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4"/>
                <w:szCs w:val="24"/>
                <w:color w:val="auto"/>
              </w:rPr>
              <w:t>0</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Total Debt to</w:t>
      </w:r>
    </w:p>
    <w:p>
      <w:pPr>
        <w:spacing w:after="0" w:line="189" w:lineRule="auto"/>
        <w:rPr>
          <w:sz w:val="20"/>
          <w:szCs w:val="20"/>
          <w:color w:val="auto"/>
        </w:rPr>
      </w:pPr>
      <w:r>
        <w:rPr>
          <w:rFonts w:ascii="Arial" w:cs="Arial" w:eastAsia="Arial" w:hAnsi="Arial"/>
          <w:sz w:val="21"/>
          <w:szCs w:val="21"/>
          <w:b w:val="1"/>
          <w:bCs w:val="1"/>
          <w:color w:val="auto"/>
        </w:rPr>
        <w:t xml:space="preserve">Total Capitalization </w:t>
      </w:r>
      <w:r>
        <w:rPr>
          <w:rFonts w:ascii="Arial" w:cs="Arial" w:eastAsia="Arial" w:hAnsi="Arial"/>
          <w:sz w:val="44"/>
          <w:szCs w:val="44"/>
          <w:color w:val="auto"/>
          <w:vertAlign w:val="subscript"/>
        </w:rPr>
        <w:t>40%</w:t>
      </w:r>
    </w:p>
    <w:p>
      <w:pPr>
        <w:spacing w:after="0" w:line="177" w:lineRule="exact"/>
        <w:rPr>
          <w:sz w:val="20"/>
          <w:szCs w:val="20"/>
          <w:color w:val="auto"/>
        </w:rPr>
      </w:pPr>
    </w:p>
    <w:p>
      <w:pPr>
        <w:jc w:val="right"/>
        <w:ind w:right="40"/>
        <w:spacing w:after="0"/>
        <w:rPr>
          <w:sz w:val="20"/>
          <w:szCs w:val="20"/>
          <w:color w:val="auto"/>
        </w:rPr>
      </w:pPr>
      <w:r>
        <w:rPr>
          <w:rFonts w:ascii="Arial" w:cs="Arial" w:eastAsia="Arial" w:hAnsi="Arial"/>
          <w:sz w:val="24"/>
          <w:szCs w:val="24"/>
          <w:color w:val="auto"/>
        </w:rPr>
        <w:t>30%</w:t>
      </w:r>
    </w:p>
    <w:p>
      <w:pPr>
        <w:spacing w:after="0" w:line="183" w:lineRule="exact"/>
        <w:rPr>
          <w:sz w:val="20"/>
          <w:szCs w:val="20"/>
          <w:color w:val="auto"/>
        </w:rPr>
      </w:pPr>
    </w:p>
    <w:p>
      <w:pPr>
        <w:jc w:val="right"/>
        <w:ind w:right="40"/>
        <w:spacing w:after="0"/>
        <w:rPr>
          <w:sz w:val="20"/>
          <w:szCs w:val="20"/>
          <w:color w:val="auto"/>
        </w:rPr>
      </w:pPr>
      <w:r>
        <w:rPr>
          <w:rFonts w:ascii="Arial" w:cs="Arial" w:eastAsia="Arial" w:hAnsi="Arial"/>
          <w:sz w:val="24"/>
          <w:szCs w:val="24"/>
          <w:color w:val="auto"/>
        </w:rPr>
        <w:t>20%</w:t>
      </w:r>
    </w:p>
    <w:p>
      <w:pPr>
        <w:spacing w:after="0" w:line="194" w:lineRule="exact"/>
        <w:rPr>
          <w:sz w:val="20"/>
          <w:szCs w:val="20"/>
          <w:color w:val="auto"/>
        </w:rPr>
      </w:pPr>
    </w:p>
    <w:p>
      <w:pPr>
        <w:jc w:val="right"/>
        <w:ind w:right="40"/>
        <w:spacing w:after="0"/>
        <w:rPr>
          <w:sz w:val="20"/>
          <w:szCs w:val="20"/>
          <w:color w:val="auto"/>
        </w:rPr>
      </w:pPr>
      <w:r>
        <w:rPr>
          <w:rFonts w:ascii="Arial" w:cs="Arial" w:eastAsia="Arial" w:hAnsi="Arial"/>
          <w:sz w:val="24"/>
          <w:szCs w:val="24"/>
          <w:color w:val="auto"/>
        </w:rPr>
        <w:t>10%</w:t>
      </w:r>
    </w:p>
    <w:p>
      <w:pPr>
        <w:spacing w:after="0" w:line="183" w:lineRule="exact"/>
        <w:rPr>
          <w:sz w:val="20"/>
          <w:szCs w:val="20"/>
          <w:color w:val="auto"/>
        </w:rPr>
      </w:pPr>
    </w:p>
    <w:p>
      <w:pPr>
        <w:jc w:val="right"/>
        <w:ind w:right="20"/>
        <w:spacing w:after="0"/>
        <w:rPr>
          <w:sz w:val="20"/>
          <w:szCs w:val="20"/>
          <w:color w:val="auto"/>
        </w:rPr>
      </w:pPr>
      <w:r>
        <w:rPr>
          <w:rFonts w:ascii="Arial" w:cs="Arial" w:eastAsia="Arial" w:hAnsi="Arial"/>
          <w:sz w:val="24"/>
          <w:szCs w:val="2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4"/>
        </w:trPr>
        <w:tc>
          <w:tcPr>
            <w:tcW w:w="960" w:type="dxa"/>
            <w:vAlign w:val="bottom"/>
            <w:vMerge w:val="restart"/>
          </w:tcPr>
          <w:p>
            <w:pPr>
              <w:ind w:left="60"/>
              <w:spacing w:after="0"/>
              <w:rPr>
                <w:sz w:val="20"/>
                <w:szCs w:val="20"/>
                <w:color w:val="auto"/>
              </w:rPr>
            </w:pPr>
            <w:r>
              <w:rPr>
                <w:rFonts w:ascii="Arial" w:cs="Arial" w:eastAsia="Arial" w:hAnsi="Arial"/>
                <w:sz w:val="26"/>
                <w:szCs w:val="26"/>
                <w:b w:val="1"/>
                <w:bCs w:val="1"/>
                <w:color w:val="FFFFFF"/>
              </w:rPr>
              <w:t>842</w:t>
            </w:r>
          </w:p>
        </w:tc>
        <w:tc>
          <w:tcPr>
            <w:tcW w:w="1360" w:type="dxa"/>
            <w:vAlign w:val="bottom"/>
          </w:tcPr>
          <w:p>
            <w:pPr>
              <w:jc w:val="right"/>
              <w:ind w:right="331"/>
              <w:spacing w:after="0"/>
              <w:rPr>
                <w:sz w:val="20"/>
                <w:szCs w:val="20"/>
                <w:color w:val="auto"/>
              </w:rPr>
            </w:pPr>
            <w:r>
              <w:rPr>
                <w:rFonts w:ascii="Arial" w:cs="Arial" w:eastAsia="Arial" w:hAnsi="Arial"/>
                <w:sz w:val="26"/>
                <w:szCs w:val="26"/>
                <w:b w:val="1"/>
                <w:bCs w:val="1"/>
                <w:color w:val="FFFFFF"/>
              </w:rPr>
              <w:t>902</w:t>
            </w:r>
          </w:p>
        </w:tc>
        <w:tc>
          <w:tcPr>
            <w:tcW w:w="1260" w:type="dxa"/>
            <w:vAlign w:val="bottom"/>
            <w:vMerge w:val="restart"/>
          </w:tcPr>
          <w:p>
            <w:pPr>
              <w:ind w:left="440"/>
              <w:spacing w:after="0"/>
              <w:rPr>
                <w:sz w:val="20"/>
                <w:szCs w:val="20"/>
                <w:color w:val="auto"/>
              </w:rPr>
            </w:pPr>
            <w:r>
              <w:rPr>
                <w:rFonts w:ascii="Arial" w:cs="Arial" w:eastAsia="Arial" w:hAnsi="Arial"/>
                <w:sz w:val="26"/>
                <w:szCs w:val="26"/>
                <w:b w:val="1"/>
                <w:bCs w:val="1"/>
                <w:color w:val="FFFFFF"/>
              </w:rPr>
              <w:t>735</w:t>
            </w:r>
          </w:p>
        </w:tc>
        <w:tc>
          <w:tcPr>
            <w:tcW w:w="1380" w:type="dxa"/>
            <w:vAlign w:val="bottom"/>
            <w:vMerge w:val="restart"/>
          </w:tcPr>
          <w:p>
            <w:pPr>
              <w:jc w:val="right"/>
              <w:ind w:right="291"/>
              <w:spacing w:after="0"/>
              <w:rPr>
                <w:sz w:val="20"/>
                <w:szCs w:val="20"/>
                <w:color w:val="auto"/>
              </w:rPr>
            </w:pPr>
            <w:r>
              <w:rPr>
                <w:rFonts w:ascii="Arial" w:cs="Arial" w:eastAsia="Arial" w:hAnsi="Arial"/>
                <w:sz w:val="26"/>
                <w:szCs w:val="26"/>
                <w:b w:val="1"/>
                <w:bCs w:val="1"/>
                <w:color w:val="FFFFFF"/>
              </w:rPr>
              <w:t>788</w:t>
            </w:r>
          </w:p>
        </w:tc>
        <w:tc>
          <w:tcPr>
            <w:tcW w:w="0" w:type="dxa"/>
            <w:vAlign w:val="bottom"/>
          </w:tcPr>
          <w:p>
            <w:pPr>
              <w:spacing w:after="0"/>
              <w:rPr>
                <w:sz w:val="1"/>
                <w:szCs w:val="1"/>
                <w:color w:val="auto"/>
              </w:rPr>
            </w:pPr>
          </w:p>
        </w:tc>
      </w:tr>
      <w:tr>
        <w:trPr>
          <w:trHeight w:val="94"/>
        </w:trPr>
        <w:tc>
          <w:tcPr>
            <w:tcW w:w="9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960" w:type="dxa"/>
            <w:vAlign w:val="bottom"/>
          </w:tcPr>
          <w:p>
            <w:pPr>
              <w:jc w:val="center"/>
              <w:ind w:right="271"/>
              <w:spacing w:after="0"/>
              <w:rPr>
                <w:sz w:val="20"/>
                <w:szCs w:val="20"/>
                <w:color w:val="auto"/>
              </w:rPr>
            </w:pPr>
            <w:r>
              <w:rPr>
                <w:rFonts w:ascii="Arial" w:cs="Arial" w:eastAsia="Arial" w:hAnsi="Arial"/>
                <w:sz w:val="26"/>
                <w:szCs w:val="26"/>
                <w:b w:val="1"/>
                <w:bCs w:val="1"/>
                <w:color w:val="FFFFFF"/>
              </w:rPr>
              <w:t>416</w:t>
            </w:r>
          </w:p>
        </w:tc>
        <w:tc>
          <w:tcPr>
            <w:tcW w:w="1360" w:type="dxa"/>
            <w:vAlign w:val="bottom"/>
          </w:tcPr>
          <w:p>
            <w:pPr>
              <w:ind w:left="440"/>
              <w:spacing w:after="0"/>
              <w:rPr>
                <w:sz w:val="20"/>
                <w:szCs w:val="20"/>
                <w:color w:val="auto"/>
              </w:rPr>
            </w:pPr>
            <w:r>
              <w:rPr>
                <w:rFonts w:ascii="Arial" w:cs="Arial" w:eastAsia="Arial" w:hAnsi="Arial"/>
                <w:sz w:val="26"/>
                <w:szCs w:val="26"/>
                <w:b w:val="1"/>
                <w:bCs w:val="1"/>
                <w:color w:val="FFFFFF"/>
              </w:rPr>
              <w:t>370</w:t>
            </w:r>
          </w:p>
        </w:tc>
        <w:tc>
          <w:tcPr>
            <w:tcW w:w="1260" w:type="dxa"/>
            <w:vAlign w:val="bottom"/>
            <w:vMerge w:val="restart"/>
          </w:tcPr>
          <w:p>
            <w:pPr>
              <w:ind w:left="440"/>
              <w:spacing w:after="0"/>
              <w:rPr>
                <w:sz w:val="20"/>
                <w:szCs w:val="20"/>
                <w:color w:val="auto"/>
              </w:rPr>
            </w:pPr>
            <w:r>
              <w:rPr>
                <w:rFonts w:ascii="Arial" w:cs="Arial" w:eastAsia="Arial" w:hAnsi="Arial"/>
                <w:sz w:val="26"/>
                <w:szCs w:val="26"/>
                <w:b w:val="1"/>
                <w:bCs w:val="1"/>
                <w:color w:val="FFFFFF"/>
              </w:rPr>
              <w:t>280</w:t>
            </w:r>
          </w:p>
        </w:tc>
        <w:tc>
          <w:tcPr>
            <w:tcW w:w="1380" w:type="dxa"/>
            <w:vAlign w:val="bottom"/>
            <w:vMerge w:val="restart"/>
          </w:tcPr>
          <w:p>
            <w:pPr>
              <w:jc w:val="right"/>
              <w:ind w:right="291"/>
              <w:spacing w:after="0"/>
              <w:rPr>
                <w:sz w:val="20"/>
                <w:szCs w:val="20"/>
                <w:color w:val="auto"/>
              </w:rPr>
            </w:pPr>
            <w:r>
              <w:rPr>
                <w:rFonts w:ascii="Arial" w:cs="Arial" w:eastAsia="Arial" w:hAnsi="Arial"/>
                <w:sz w:val="26"/>
                <w:szCs w:val="26"/>
                <w:b w:val="1"/>
                <w:bCs w:val="1"/>
                <w:color w:val="FFFFFF"/>
              </w:rPr>
              <w:t>303</w:t>
            </w: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17"/>
        </w:trPr>
        <w:tc>
          <w:tcPr>
            <w:tcW w:w="960" w:type="dxa"/>
            <w:vAlign w:val="bottom"/>
          </w:tcPr>
          <w:p>
            <w:pPr>
              <w:jc w:val="center"/>
              <w:ind w:right="251"/>
              <w:spacing w:after="0"/>
              <w:rPr>
                <w:sz w:val="20"/>
                <w:szCs w:val="20"/>
                <w:color w:val="auto"/>
              </w:rPr>
            </w:pPr>
            <w:r>
              <w:rPr>
                <w:rFonts w:ascii="Arial" w:cs="Arial" w:eastAsia="Arial" w:hAnsi="Arial"/>
                <w:sz w:val="26"/>
                <w:szCs w:val="26"/>
                <w:color w:val="auto"/>
              </w:rPr>
              <w:t>2003</w:t>
            </w:r>
          </w:p>
        </w:tc>
        <w:tc>
          <w:tcPr>
            <w:tcW w:w="1360" w:type="dxa"/>
            <w:vAlign w:val="bottom"/>
          </w:tcPr>
          <w:p>
            <w:pPr>
              <w:jc w:val="right"/>
              <w:ind w:right="271"/>
              <w:spacing w:after="0"/>
              <w:rPr>
                <w:sz w:val="20"/>
                <w:szCs w:val="20"/>
                <w:color w:val="auto"/>
              </w:rPr>
            </w:pPr>
            <w:r>
              <w:rPr>
                <w:rFonts w:ascii="Arial" w:cs="Arial" w:eastAsia="Arial" w:hAnsi="Arial"/>
                <w:sz w:val="26"/>
                <w:szCs w:val="26"/>
                <w:color w:val="auto"/>
              </w:rPr>
              <w:t>2004</w:t>
            </w:r>
          </w:p>
        </w:tc>
        <w:tc>
          <w:tcPr>
            <w:tcW w:w="1260" w:type="dxa"/>
            <w:vAlign w:val="bottom"/>
          </w:tcPr>
          <w:p>
            <w:pPr>
              <w:jc w:val="right"/>
              <w:ind w:right="191"/>
              <w:spacing w:after="0"/>
              <w:rPr>
                <w:sz w:val="20"/>
                <w:szCs w:val="20"/>
                <w:color w:val="auto"/>
              </w:rPr>
            </w:pPr>
            <w:r>
              <w:rPr>
                <w:rFonts w:ascii="Arial" w:cs="Arial" w:eastAsia="Arial" w:hAnsi="Arial"/>
                <w:sz w:val="26"/>
                <w:szCs w:val="26"/>
                <w:color w:val="auto"/>
              </w:rPr>
              <w:t>2005</w:t>
            </w:r>
          </w:p>
        </w:tc>
        <w:tc>
          <w:tcPr>
            <w:tcW w:w="1380" w:type="dxa"/>
            <w:vAlign w:val="bottom"/>
          </w:tcPr>
          <w:p>
            <w:pPr>
              <w:jc w:val="center"/>
              <w:spacing w:after="0"/>
              <w:rPr>
                <w:sz w:val="20"/>
                <w:szCs w:val="20"/>
                <w:color w:val="auto"/>
              </w:rPr>
            </w:pPr>
            <w:r>
              <w:rPr>
                <w:rFonts w:ascii="Arial" w:cs="Arial" w:eastAsia="Arial" w:hAnsi="Arial"/>
                <w:sz w:val="26"/>
                <w:szCs w:val="26"/>
                <w:color w:val="auto"/>
                <w:w w:val="98"/>
              </w:rPr>
              <w:t>Q3 2006</w:t>
            </w:r>
          </w:p>
        </w:tc>
        <w:tc>
          <w:tcPr>
            <w:tcW w:w="0" w:type="dxa"/>
            <w:vAlign w:val="bottom"/>
          </w:tcPr>
          <w:p>
            <w:pPr>
              <w:spacing w:after="0"/>
              <w:rPr>
                <w:sz w:val="1"/>
                <w:szCs w:val="1"/>
                <w:color w:val="auto"/>
              </w:rPr>
            </w:pPr>
          </w:p>
        </w:tc>
      </w:tr>
      <w:tr>
        <w:trPr>
          <w:trHeight w:val="976"/>
        </w:trPr>
        <w:tc>
          <w:tcPr>
            <w:tcW w:w="960" w:type="dxa"/>
            <w:vAlign w:val="bottom"/>
          </w:tcPr>
          <w:p>
            <w:pPr>
              <w:ind w:left="60"/>
              <w:spacing w:after="0"/>
              <w:rPr>
                <w:sz w:val="20"/>
                <w:szCs w:val="20"/>
                <w:color w:val="auto"/>
              </w:rPr>
            </w:pPr>
            <w:r>
              <w:rPr>
                <w:rFonts w:ascii="Arial" w:cs="Arial" w:eastAsia="Arial" w:hAnsi="Arial"/>
                <w:sz w:val="26"/>
                <w:szCs w:val="26"/>
                <w:b w:val="1"/>
                <w:bCs w:val="1"/>
                <w:color w:val="FFFFFF"/>
              </w:rPr>
              <w:t>39%</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60" w:type="dxa"/>
            <w:vAlign w:val="bottom"/>
          </w:tcPr>
          <w:p>
            <w:pPr>
              <w:spacing w:after="0"/>
              <w:rPr>
                <w:sz w:val="24"/>
                <w:szCs w:val="24"/>
                <w:color w:val="auto"/>
              </w:rPr>
            </w:pPr>
          </w:p>
        </w:tc>
        <w:tc>
          <w:tcPr>
            <w:tcW w:w="1360" w:type="dxa"/>
            <w:vAlign w:val="bottom"/>
          </w:tcPr>
          <w:p>
            <w:pPr>
              <w:ind w:left="480"/>
              <w:spacing w:after="0"/>
              <w:rPr>
                <w:sz w:val="20"/>
                <w:szCs w:val="20"/>
                <w:color w:val="auto"/>
              </w:rPr>
            </w:pPr>
            <w:r>
              <w:rPr>
                <w:rFonts w:ascii="Arial" w:cs="Arial" w:eastAsia="Arial" w:hAnsi="Arial"/>
                <w:sz w:val="26"/>
                <w:szCs w:val="26"/>
                <w:b w:val="1"/>
                <w:bCs w:val="1"/>
                <w:color w:val="FFFFFF"/>
              </w:rPr>
              <w:t>29%</w:t>
            </w:r>
          </w:p>
        </w:tc>
        <w:tc>
          <w:tcPr>
            <w:tcW w:w="1260" w:type="dxa"/>
            <w:vAlign w:val="bottom"/>
            <w:vMerge w:val="restart"/>
          </w:tcPr>
          <w:p>
            <w:pPr>
              <w:jc w:val="right"/>
              <w:ind w:right="111"/>
              <w:spacing w:after="0"/>
              <w:rPr>
                <w:sz w:val="20"/>
                <w:szCs w:val="20"/>
                <w:color w:val="auto"/>
              </w:rPr>
            </w:pPr>
            <w:r>
              <w:rPr>
                <w:rFonts w:ascii="Arial" w:cs="Arial" w:eastAsia="Arial" w:hAnsi="Arial"/>
                <w:sz w:val="26"/>
                <w:szCs w:val="26"/>
                <w:b w:val="1"/>
                <w:bCs w:val="1"/>
                <w:color w:val="FFFFFF"/>
              </w:rPr>
              <w:t>26%</w:t>
            </w:r>
          </w:p>
        </w:tc>
        <w:tc>
          <w:tcPr>
            <w:tcW w:w="1380" w:type="dxa"/>
            <w:vAlign w:val="bottom"/>
            <w:vMerge w:val="restart"/>
          </w:tcPr>
          <w:p>
            <w:pPr>
              <w:jc w:val="right"/>
              <w:ind w:right="91"/>
              <w:spacing w:after="0"/>
              <w:rPr>
                <w:sz w:val="20"/>
                <w:szCs w:val="20"/>
                <w:color w:val="auto"/>
              </w:rPr>
            </w:pPr>
            <w:r>
              <w:rPr>
                <w:rFonts w:ascii="Arial" w:cs="Arial" w:eastAsia="Arial" w:hAnsi="Arial"/>
                <w:sz w:val="26"/>
                <w:szCs w:val="26"/>
                <w:b w:val="1"/>
                <w:bCs w:val="1"/>
                <w:color w:val="FFFFFF"/>
              </w:rPr>
              <w:t>26%</w:t>
            </w: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0"/>
        </w:trPr>
        <w:tc>
          <w:tcPr>
            <w:tcW w:w="960" w:type="dxa"/>
            <w:vAlign w:val="bottom"/>
          </w:tcPr>
          <w:p>
            <w:pPr>
              <w:jc w:val="center"/>
              <w:ind w:right="251"/>
              <w:spacing w:after="0"/>
              <w:rPr>
                <w:sz w:val="20"/>
                <w:szCs w:val="20"/>
                <w:color w:val="auto"/>
              </w:rPr>
            </w:pPr>
            <w:r>
              <w:rPr>
                <w:rFonts w:ascii="Arial" w:cs="Arial" w:eastAsia="Arial" w:hAnsi="Arial"/>
                <w:sz w:val="26"/>
                <w:szCs w:val="26"/>
                <w:color w:val="auto"/>
              </w:rPr>
              <w:t>2003</w:t>
            </w:r>
          </w:p>
        </w:tc>
        <w:tc>
          <w:tcPr>
            <w:tcW w:w="1360" w:type="dxa"/>
            <w:vAlign w:val="bottom"/>
          </w:tcPr>
          <w:p>
            <w:pPr>
              <w:ind w:left="440"/>
              <w:spacing w:after="0"/>
              <w:rPr>
                <w:sz w:val="20"/>
                <w:szCs w:val="20"/>
                <w:color w:val="auto"/>
              </w:rPr>
            </w:pPr>
            <w:r>
              <w:rPr>
                <w:rFonts w:ascii="Arial" w:cs="Arial" w:eastAsia="Arial" w:hAnsi="Arial"/>
                <w:sz w:val="26"/>
                <w:szCs w:val="26"/>
                <w:color w:val="auto"/>
              </w:rPr>
              <w:t>2004</w:t>
            </w:r>
          </w:p>
        </w:tc>
        <w:tc>
          <w:tcPr>
            <w:tcW w:w="1260" w:type="dxa"/>
            <w:vAlign w:val="bottom"/>
          </w:tcPr>
          <w:p>
            <w:pPr>
              <w:ind w:left="460"/>
              <w:spacing w:after="0"/>
              <w:rPr>
                <w:sz w:val="20"/>
                <w:szCs w:val="20"/>
                <w:color w:val="auto"/>
              </w:rPr>
            </w:pPr>
            <w:r>
              <w:rPr>
                <w:rFonts w:ascii="Arial" w:cs="Arial" w:eastAsia="Arial" w:hAnsi="Arial"/>
                <w:sz w:val="26"/>
                <w:szCs w:val="26"/>
                <w:color w:val="auto"/>
              </w:rPr>
              <w:t>2005</w:t>
            </w:r>
          </w:p>
        </w:tc>
        <w:tc>
          <w:tcPr>
            <w:tcW w:w="1380" w:type="dxa"/>
            <w:vAlign w:val="bottom"/>
          </w:tcPr>
          <w:p>
            <w:pPr>
              <w:jc w:val="center"/>
              <w:ind w:left="271"/>
              <w:spacing w:after="0"/>
              <w:rPr>
                <w:sz w:val="20"/>
                <w:szCs w:val="20"/>
                <w:color w:val="auto"/>
              </w:rPr>
            </w:pPr>
            <w:r>
              <w:rPr>
                <w:rFonts w:ascii="Arial" w:cs="Arial" w:eastAsia="Arial" w:hAnsi="Arial"/>
                <w:sz w:val="26"/>
                <w:szCs w:val="26"/>
                <w:color w:val="auto"/>
                <w:w w:val="98"/>
              </w:rPr>
              <w:t>Q3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Total Debt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Net Debt</w:t>
      </w:r>
    </w:p>
    <w:p>
      <w:pPr>
        <w:sectPr>
          <w:pgSz w:w="11900" w:h="16838" w:orient="portrait"/>
          <w:cols w:equalWidth="0" w:num="3">
            <w:col w:w="2660" w:space="560"/>
            <w:col w:w="4960" w:space="720"/>
            <w:col w:w="1400"/>
          </w:cols>
          <w:pgMar w:left="780" w:top="447" w:right="81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370"/>
        </w:trPr>
        <w:tc>
          <w:tcPr>
            <w:tcW w:w="674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12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C8504F"/>
        </w:rPr>
        <w:t>Cash Flow Summary – Nine Months</w:t>
      </w:r>
    </w:p>
    <w:p>
      <w:pPr>
        <w:sectPr>
          <w:pgSz w:w="11900" w:h="16838" w:orient="portrait"/>
          <w:cols w:equalWidth="0" w:num="1">
            <w:col w:w="9860"/>
          </w:cols>
          <w:pgMar w:left="1220" w:top="447" w:right="819" w:bottom="1440" w:gutter="0" w:footer="0" w:header="0"/>
        </w:sect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28"/>
          <w:szCs w:val="28"/>
          <w:color w:val="C8504F"/>
        </w:rPr>
        <w:t>($ in millions)</w:t>
      </w:r>
    </w:p>
    <w:p>
      <w:pPr>
        <w:spacing w:after="0" w:line="159" w:lineRule="exact"/>
        <w:rPr>
          <w:sz w:val="20"/>
          <w:szCs w:val="20"/>
          <w:color w:val="auto"/>
        </w:rPr>
      </w:pPr>
    </w:p>
    <w:p>
      <w:pPr>
        <w:jc w:val="center"/>
        <w:ind w:left="140" w:right="1594"/>
        <w:spacing w:after="0" w:line="326" w:lineRule="auto"/>
        <w:rPr>
          <w:sz w:val="20"/>
          <w:szCs w:val="20"/>
          <w:color w:val="auto"/>
        </w:rPr>
      </w:pPr>
      <w:r>
        <w:rPr>
          <w:rFonts w:ascii="Arial" w:cs="Arial" w:eastAsia="Arial" w:hAnsi="Arial"/>
          <w:sz w:val="31"/>
          <w:szCs w:val="31"/>
          <w:b w:val="1"/>
          <w:bCs w:val="1"/>
          <w:color w:val="auto"/>
        </w:rPr>
        <w:t>Cash from Operations Capital Expenditures Free Cash Flow</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Share Repurchases *</w:t>
      </w:r>
    </w:p>
    <w:p>
      <w:pPr>
        <w:spacing w:after="0" w:line="102" w:lineRule="exact"/>
        <w:rPr>
          <w:sz w:val="20"/>
          <w:szCs w:val="20"/>
          <w:color w:val="auto"/>
        </w:rPr>
      </w:pPr>
    </w:p>
    <w:p>
      <w:pPr>
        <w:ind w:left="500" w:right="734" w:hanging="269"/>
        <w:spacing w:after="0" w:line="288" w:lineRule="auto"/>
        <w:rPr>
          <w:sz w:val="20"/>
          <w:szCs w:val="20"/>
          <w:color w:val="auto"/>
        </w:rPr>
      </w:pPr>
      <w:r>
        <w:rPr>
          <w:rFonts w:ascii="Arial" w:cs="Arial" w:eastAsia="Arial" w:hAnsi="Arial"/>
          <w:sz w:val="31"/>
          <w:szCs w:val="31"/>
          <w:b w:val="1"/>
          <w:bCs w:val="1"/>
          <w:color w:val="auto"/>
        </w:rPr>
        <w:t>Proceeds from Stock Option and Purchase Plans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Change in Debt</w:t>
      </w:r>
    </w:p>
    <w:p>
      <w:pPr>
        <w:spacing w:after="0" w:line="149" w:lineRule="exact"/>
        <w:rPr>
          <w:sz w:val="20"/>
          <w:szCs w:val="20"/>
          <w:color w:val="auto"/>
        </w:rPr>
      </w:pPr>
    </w:p>
    <w:p>
      <w:pPr>
        <w:ind w:left="240" w:right="174" w:hanging="11"/>
        <w:spacing w:after="0" w:line="333" w:lineRule="auto"/>
        <w:rPr>
          <w:sz w:val="20"/>
          <w:szCs w:val="20"/>
          <w:color w:val="auto"/>
        </w:rPr>
      </w:pPr>
      <w:r>
        <w:rPr>
          <w:rFonts w:ascii="Arial" w:cs="Arial" w:eastAsia="Arial" w:hAnsi="Arial"/>
          <w:sz w:val="32"/>
          <w:szCs w:val="32"/>
          <w:b w:val="1"/>
          <w:bCs w:val="1"/>
          <w:color w:val="auto"/>
        </w:rPr>
        <w:t>Proceeds from Sale of Business Other</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auto"/>
        </w:rPr>
        <w:t>Change in Cash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6"/>
        <w:spacing w:after="0"/>
        <w:tabs>
          <w:tab w:leader="none" w:pos="1825" w:val="left"/>
        </w:tabs>
        <w:rPr>
          <w:sz w:val="20"/>
          <w:szCs w:val="20"/>
          <w:color w:val="auto"/>
        </w:rPr>
      </w:pPr>
      <w:r>
        <w:rPr>
          <w:rFonts w:ascii="Arial" w:cs="Arial" w:eastAsia="Arial" w:hAnsi="Arial"/>
          <w:sz w:val="32"/>
          <w:szCs w:val="32"/>
          <w:b w:val="1"/>
          <w:bCs w:val="1"/>
          <w:color w:val="C8504F"/>
        </w:rPr>
        <w:t>2006</w:t>
      </w:r>
      <w:r>
        <w:rPr>
          <w:sz w:val="20"/>
          <w:szCs w:val="20"/>
          <w:color w:val="auto"/>
        </w:rPr>
        <w:tab/>
      </w:r>
      <w:r>
        <w:rPr>
          <w:rFonts w:ascii="Arial" w:cs="Arial" w:eastAsia="Arial" w:hAnsi="Arial"/>
          <w:sz w:val="32"/>
          <w:szCs w:val="32"/>
          <w:b w:val="1"/>
          <w:bCs w:val="1"/>
          <w:color w:val="C8504F"/>
        </w:rPr>
        <w:t>2005</w:t>
      </w:r>
    </w:p>
    <w:p>
      <w:pPr>
        <w:spacing w:after="0" w:line="232" w:lineRule="exact"/>
        <w:rPr>
          <w:sz w:val="20"/>
          <w:szCs w:val="20"/>
          <w:color w:val="auto"/>
        </w:rPr>
      </w:pPr>
    </w:p>
    <w:p>
      <w:pPr>
        <w:ind w:left="2046" w:hanging="1916"/>
        <w:spacing w:after="0"/>
        <w:tabs>
          <w:tab w:leader="none" w:pos="2046" w:val="left"/>
        </w:tabs>
        <w:numPr>
          <w:ilvl w:val="0"/>
          <w:numId w:val="9"/>
        </w:numPr>
        <w:rPr>
          <w:rFonts w:ascii="Arial" w:cs="Arial" w:eastAsia="Arial" w:hAnsi="Arial"/>
          <w:sz w:val="34"/>
          <w:szCs w:val="34"/>
          <w:b w:val="1"/>
          <w:bCs w:val="1"/>
          <w:color w:val="auto"/>
        </w:rPr>
      </w:pPr>
      <w:r>
        <w:rPr>
          <w:rFonts w:ascii="Arial" w:cs="Arial" w:eastAsia="Arial" w:hAnsi="Arial"/>
          <w:sz w:val="34"/>
          <w:szCs w:val="34"/>
          <w:b w:val="1"/>
          <w:bCs w:val="1"/>
          <w:color w:val="auto"/>
        </w:rPr>
        <w:t>175</w:t>
      </w:r>
    </w:p>
    <w:p>
      <w:pPr>
        <w:spacing w:after="0" w:line="79" w:lineRule="exact"/>
        <w:rPr>
          <w:rFonts w:ascii="Arial" w:cs="Arial" w:eastAsia="Arial" w:hAnsi="Arial"/>
          <w:sz w:val="34"/>
          <w:szCs w:val="34"/>
          <w:b w:val="1"/>
          <w:bCs w:val="1"/>
          <w:color w:val="auto"/>
        </w:rPr>
      </w:pPr>
    </w:p>
    <w:p>
      <w:pPr>
        <w:ind w:left="2106" w:hanging="1917"/>
        <w:spacing w:after="0"/>
        <w:tabs>
          <w:tab w:leader="none" w:pos="2106" w:val="left"/>
        </w:tabs>
        <w:numPr>
          <w:ilvl w:val="1"/>
          <w:numId w:val="9"/>
        </w:numPr>
        <w:rPr>
          <w:rFonts w:ascii="Arial" w:cs="Arial" w:eastAsia="Arial" w:hAnsi="Arial"/>
          <w:sz w:val="34"/>
          <w:szCs w:val="34"/>
          <w:b w:val="1"/>
          <w:bCs w:val="1"/>
          <w:color w:val="auto"/>
        </w:rPr>
      </w:pPr>
      <w:r>
        <w:rPr>
          <w:rFonts w:ascii="Arial" w:cs="Arial" w:eastAsia="Arial" w:hAnsi="Arial"/>
          <w:sz w:val="34"/>
          <w:szCs w:val="34"/>
          <w:b w:val="1"/>
          <w:bCs w:val="1"/>
          <w:color w:val="auto"/>
        </w:rPr>
        <w:t>(56)</w:t>
      </w:r>
    </w:p>
    <w:p>
      <w:pPr>
        <w:spacing w:after="0" w:line="61" w:lineRule="exact"/>
        <w:rPr>
          <w:rFonts w:ascii="Arial" w:cs="Arial" w:eastAsia="Arial" w:hAnsi="Arial"/>
          <w:sz w:val="34"/>
          <w:szCs w:val="34"/>
          <w:b w:val="1"/>
          <w:bCs w:val="1"/>
          <w:color w:val="auto"/>
        </w:rPr>
      </w:pPr>
    </w:p>
    <w:p>
      <w:pPr>
        <w:ind w:left="106"/>
        <w:spacing w:after="0"/>
        <w:rPr>
          <w:rFonts w:ascii="Arial" w:cs="Arial" w:eastAsia="Arial" w:hAnsi="Arial"/>
          <w:sz w:val="34"/>
          <w:szCs w:val="34"/>
          <w:b w:val="1"/>
          <w:bCs w:val="1"/>
          <w:color w:val="auto"/>
        </w:rPr>
      </w:pPr>
      <w:r>
        <w:rPr>
          <w:rFonts w:ascii="Arial" w:cs="Arial" w:eastAsia="Arial" w:hAnsi="Arial"/>
          <w:sz w:val="34"/>
          <w:szCs w:val="34"/>
          <w:b w:val="1"/>
          <w:bCs w:val="1"/>
          <w:color w:val="auto"/>
        </w:rPr>
        <w:t>184119</w:t>
      </w:r>
    </w:p>
    <w:p>
      <w:pPr>
        <w:spacing w:after="0" w:line="144" w:lineRule="exact"/>
        <w:rPr>
          <w:sz w:val="20"/>
          <w:szCs w:val="20"/>
          <w:color w:val="auto"/>
        </w:rPr>
      </w:pPr>
    </w:p>
    <w:p>
      <w:pPr>
        <w:ind w:left="1926" w:hanging="1926"/>
        <w:spacing w:after="0"/>
        <w:tabs>
          <w:tab w:leader="none" w:pos="1926" w:val="left"/>
        </w:tabs>
        <w:numPr>
          <w:ilvl w:val="0"/>
          <w:numId w:val="10"/>
        </w:numPr>
        <w:rPr>
          <w:rFonts w:ascii="Arial" w:cs="Arial" w:eastAsia="Arial" w:hAnsi="Arial"/>
          <w:sz w:val="34"/>
          <w:szCs w:val="34"/>
          <w:b w:val="1"/>
          <w:bCs w:val="1"/>
          <w:color w:val="auto"/>
        </w:rPr>
      </w:pPr>
      <w:r>
        <w:rPr>
          <w:rFonts w:ascii="Arial" w:cs="Arial" w:eastAsia="Arial" w:hAnsi="Arial"/>
          <w:sz w:val="34"/>
          <w:szCs w:val="34"/>
          <w:b w:val="1"/>
          <w:bCs w:val="1"/>
          <w:color w:val="auto"/>
        </w:rPr>
        <w:t>(204)</w:t>
      </w:r>
    </w:p>
    <w:p>
      <w:pPr>
        <w:spacing w:after="0" w:line="200" w:lineRule="exact"/>
        <w:rPr>
          <w:sz w:val="20"/>
          <w:szCs w:val="20"/>
          <w:color w:val="auto"/>
        </w:rPr>
      </w:pPr>
    </w:p>
    <w:p>
      <w:pPr>
        <w:spacing w:after="0" w:line="220" w:lineRule="exact"/>
        <w:rPr>
          <w:sz w:val="20"/>
          <w:szCs w:val="20"/>
          <w:color w:val="auto"/>
        </w:rPr>
      </w:pPr>
    </w:p>
    <w:p>
      <w:pPr>
        <w:ind w:left="286"/>
        <w:spacing w:after="0"/>
        <w:tabs>
          <w:tab w:leader="none" w:pos="2205" w:val="left"/>
        </w:tabs>
        <w:rPr>
          <w:sz w:val="20"/>
          <w:szCs w:val="20"/>
          <w:color w:val="auto"/>
        </w:rPr>
      </w:pPr>
      <w:r>
        <w:rPr>
          <w:rFonts w:ascii="Arial" w:cs="Arial" w:eastAsia="Arial" w:hAnsi="Arial"/>
          <w:sz w:val="34"/>
          <w:szCs w:val="34"/>
          <w:b w:val="1"/>
          <w:bCs w:val="1"/>
          <w:color w:val="auto"/>
        </w:rPr>
        <w:t>45</w:t>
      </w:r>
      <w:r>
        <w:rPr>
          <w:sz w:val="20"/>
          <w:szCs w:val="20"/>
          <w:color w:val="auto"/>
        </w:rPr>
        <w:tab/>
      </w:r>
      <w:r>
        <w:rPr>
          <w:rFonts w:ascii="Arial" w:cs="Arial" w:eastAsia="Arial" w:hAnsi="Arial"/>
          <w:sz w:val="34"/>
          <w:szCs w:val="34"/>
          <w:b w:val="1"/>
          <w:bCs w:val="1"/>
          <w:color w:val="auto"/>
        </w:rPr>
        <w:t>18</w:t>
      </w:r>
    </w:p>
    <w:p>
      <w:pPr>
        <w:spacing w:after="0" w:line="126" w:lineRule="exact"/>
        <w:rPr>
          <w:sz w:val="20"/>
          <w:szCs w:val="20"/>
          <w:color w:val="auto"/>
        </w:rPr>
      </w:pPr>
    </w:p>
    <w:p>
      <w:pPr>
        <w:ind w:left="2206" w:hanging="1829"/>
        <w:spacing w:after="0"/>
        <w:tabs>
          <w:tab w:leader="none" w:pos="2206" w:val="left"/>
        </w:tabs>
        <w:numPr>
          <w:ilvl w:val="0"/>
          <w:numId w:val="11"/>
        </w:numPr>
        <w:rPr>
          <w:rFonts w:ascii="Arial" w:cs="Arial" w:eastAsia="Arial" w:hAnsi="Arial"/>
          <w:sz w:val="34"/>
          <w:szCs w:val="34"/>
          <w:b w:val="1"/>
          <w:bCs w:val="1"/>
          <w:color w:val="auto"/>
        </w:rPr>
      </w:pPr>
      <w:r>
        <w:rPr>
          <w:rFonts w:ascii="Arial" w:cs="Arial" w:eastAsia="Arial" w:hAnsi="Arial"/>
          <w:sz w:val="34"/>
          <w:szCs w:val="34"/>
          <w:b w:val="1"/>
          <w:bCs w:val="1"/>
          <w:color w:val="auto"/>
        </w:rPr>
        <w:t>25</w:t>
      </w:r>
    </w:p>
    <w:p>
      <w:pPr>
        <w:spacing w:after="0" w:line="115" w:lineRule="exact"/>
        <w:rPr>
          <w:sz w:val="20"/>
          <w:szCs w:val="20"/>
          <w:color w:val="auto"/>
        </w:rPr>
      </w:pPr>
    </w:p>
    <w:tbl>
      <w:tblPr>
        <w:tblLayout w:type="fixed"/>
        <w:tblInd w:w="326" w:type="dxa"/>
        <w:tblCellMar>
          <w:top w:w="0" w:type="dxa"/>
          <w:left w:w="0" w:type="dxa"/>
          <w:bottom w:w="0" w:type="dxa"/>
          <w:right w:w="0" w:type="dxa"/>
        </w:tblCellMar>
      </w:tblPr>
      <w:tr>
        <w:trPr>
          <w:trHeight w:val="453"/>
        </w:trPr>
        <w:tc>
          <w:tcPr>
            <w:tcW w:w="980" w:type="dxa"/>
            <w:vAlign w:val="bottom"/>
          </w:tcPr>
          <w:p>
            <w:pPr>
              <w:jc w:val="right"/>
              <w:ind w:right="430"/>
              <w:spacing w:after="0"/>
              <w:rPr>
                <w:sz w:val="20"/>
                <w:szCs w:val="20"/>
                <w:color w:val="auto"/>
              </w:rPr>
            </w:pPr>
            <w:r>
              <w:rPr>
                <w:rFonts w:ascii="Arial" w:cs="Arial" w:eastAsia="Arial" w:hAnsi="Arial"/>
                <w:sz w:val="34"/>
                <w:szCs w:val="34"/>
                <w:b w:val="1"/>
                <w:bCs w:val="1"/>
                <w:color w:val="auto"/>
                <w:w w:val="95"/>
              </w:rPr>
              <w:t>30</w:t>
            </w:r>
          </w:p>
        </w:tc>
        <w:tc>
          <w:tcPr>
            <w:tcW w:w="1420" w:type="dxa"/>
            <w:vAlign w:val="bottom"/>
          </w:tcPr>
          <w:p>
            <w:pPr>
              <w:jc w:val="right"/>
              <w:ind w:right="30"/>
              <w:spacing w:after="0"/>
              <w:rPr>
                <w:sz w:val="20"/>
                <w:szCs w:val="20"/>
                <w:color w:val="auto"/>
              </w:rPr>
            </w:pPr>
            <w:r>
              <w:rPr>
                <w:rFonts w:ascii="Arial" w:cs="Arial" w:eastAsia="Arial" w:hAnsi="Arial"/>
                <w:sz w:val="34"/>
                <w:szCs w:val="34"/>
                <w:color w:val="auto"/>
              </w:rPr>
              <w:t>-</w:t>
            </w:r>
          </w:p>
        </w:tc>
      </w:tr>
      <w:tr>
        <w:trPr>
          <w:trHeight w:val="470"/>
        </w:trPr>
        <w:tc>
          <w:tcPr>
            <w:tcW w:w="980" w:type="dxa"/>
            <w:vAlign w:val="bottom"/>
          </w:tcPr>
          <w:p>
            <w:pPr>
              <w:jc w:val="right"/>
              <w:ind w:right="450"/>
              <w:spacing w:after="0"/>
              <w:rPr>
                <w:sz w:val="20"/>
                <w:szCs w:val="20"/>
                <w:color w:val="auto"/>
              </w:rPr>
            </w:pPr>
            <w:r>
              <w:rPr>
                <w:rFonts w:ascii="Arial" w:cs="Arial" w:eastAsia="Arial" w:hAnsi="Arial"/>
                <w:sz w:val="34"/>
                <w:szCs w:val="34"/>
                <w:b w:val="1"/>
                <w:bCs w:val="1"/>
                <w:color w:val="auto"/>
              </w:rPr>
              <w:t>8</w:t>
            </w:r>
          </w:p>
        </w:tc>
        <w:tc>
          <w:tcPr>
            <w:tcW w:w="1420" w:type="dxa"/>
            <w:vAlign w:val="bottom"/>
          </w:tcPr>
          <w:p>
            <w:pPr>
              <w:jc w:val="right"/>
              <w:spacing w:after="0"/>
              <w:rPr>
                <w:sz w:val="20"/>
                <w:szCs w:val="20"/>
                <w:color w:val="auto"/>
              </w:rPr>
            </w:pPr>
            <w:r>
              <w:rPr>
                <w:rFonts w:ascii="Arial" w:cs="Arial" w:eastAsia="Arial" w:hAnsi="Arial"/>
                <w:sz w:val="34"/>
                <w:szCs w:val="34"/>
                <w:b w:val="1"/>
                <w:bCs w:val="1"/>
                <w:color w:val="auto"/>
              </w:rPr>
              <w:t>(58)</w:t>
            </w:r>
          </w:p>
        </w:tc>
      </w:tr>
      <w:tr>
        <w:trPr>
          <w:trHeight w:val="494"/>
        </w:trPr>
        <w:tc>
          <w:tcPr>
            <w:tcW w:w="980" w:type="dxa"/>
            <w:vAlign w:val="bottom"/>
          </w:tcPr>
          <w:p>
            <w:pPr>
              <w:jc w:val="right"/>
              <w:ind w:right="430"/>
              <w:spacing w:after="0"/>
              <w:rPr>
                <w:sz w:val="20"/>
                <w:szCs w:val="20"/>
                <w:color w:val="auto"/>
              </w:rPr>
            </w:pPr>
            <w:r>
              <w:rPr>
                <w:rFonts w:ascii="Arial" w:cs="Arial" w:eastAsia="Arial" w:hAnsi="Arial"/>
                <w:sz w:val="34"/>
                <w:szCs w:val="34"/>
                <w:b w:val="1"/>
                <w:bCs w:val="1"/>
                <w:color w:val="auto"/>
                <w:w w:val="95"/>
              </w:rPr>
              <w:t>30</w:t>
            </w:r>
          </w:p>
        </w:tc>
        <w:tc>
          <w:tcPr>
            <w:tcW w:w="1420" w:type="dxa"/>
            <w:vAlign w:val="bottom"/>
          </w:tcPr>
          <w:p>
            <w:pPr>
              <w:jc w:val="right"/>
              <w:spacing w:after="0"/>
              <w:rPr>
                <w:sz w:val="20"/>
                <w:szCs w:val="20"/>
                <w:color w:val="auto"/>
              </w:rPr>
            </w:pPr>
            <w:r>
              <w:rPr>
                <w:rFonts w:ascii="Arial" w:cs="Arial" w:eastAsia="Arial" w:hAnsi="Arial"/>
                <w:sz w:val="34"/>
                <w:szCs w:val="34"/>
                <w:b w:val="1"/>
                <w:bCs w:val="1"/>
                <w:color w:val="auto"/>
              </w:rPr>
              <w:t>(100)</w:t>
            </w:r>
          </w:p>
        </w:tc>
      </w:tr>
    </w:tbl>
    <w:p>
      <w:pPr>
        <w:spacing w:after="0" w:line="200" w:lineRule="exact"/>
        <w:rPr>
          <w:sz w:val="20"/>
          <w:szCs w:val="20"/>
          <w:color w:val="auto"/>
        </w:rPr>
      </w:pPr>
    </w:p>
    <w:p>
      <w:pPr>
        <w:sectPr>
          <w:pgSz w:w="11900" w:h="16838" w:orient="portrait"/>
          <w:cols w:equalWidth="0" w:num="2">
            <w:col w:w="5254" w:space="720"/>
            <w:col w:w="3886"/>
          </w:cols>
          <w:pgMar w:left="1220" w:top="447" w:right="819" w:bottom="1440" w:gutter="0" w:footer="0" w:header="0"/>
          <w:type w:val="continuous"/>
        </w:sect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28"/>
          <w:szCs w:val="28"/>
          <w:color w:val="auto"/>
        </w:rPr>
        <w:t>* 4,000,000 shares in 2006 and 5,000,000 shares in 2005</w:t>
      </w:r>
    </w:p>
    <w:p>
      <w:pPr>
        <w:sectPr>
          <w:pgSz w:w="11900" w:h="16838" w:orient="portrait"/>
          <w:cols w:equalWidth="0" w:num="1">
            <w:col w:w="9860"/>
          </w:cols>
          <w:pgMar w:left="1220" w:top="447" w:right="81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370"/>
        </w:trPr>
        <w:tc>
          <w:tcPr>
            <w:tcW w:w="6740" w:type="dxa"/>
            <w:vAlign w:val="bottom"/>
          </w:tcPr>
          <w:p>
            <w:pPr>
              <w:spacing w:after="0"/>
              <w:rPr>
                <w:sz w:val="20"/>
                <w:szCs w:val="20"/>
                <w:color w:val="auto"/>
              </w:rPr>
            </w:pPr>
            <w:r>
              <w:rPr>
                <w:rFonts w:ascii="Arial" w:cs="Arial" w:eastAsia="Arial" w:hAnsi="Arial"/>
                <w:sz w:val="22"/>
                <w:szCs w:val="22"/>
                <w:color w:val="FFFFFF"/>
              </w:rPr>
              <w:t>Manpower Inc. 2006 3</w:t>
            </w:r>
            <w:r>
              <w:rPr>
                <w:rFonts w:ascii="Arial" w:cs="Arial" w:eastAsia="Arial" w:hAnsi="Arial"/>
                <w:sz w:val="28"/>
                <w:szCs w:val="28"/>
                <w:color w:val="FFFFFF"/>
                <w:vertAlign w:val="superscript"/>
              </w:rPr>
              <w:t>rd</w:t>
            </w:r>
            <w:r>
              <w:rPr>
                <w:rFonts w:ascii="Arial" w:cs="Arial" w:eastAsia="Arial" w:hAnsi="Arial"/>
                <w:sz w:val="22"/>
                <w:szCs w:val="22"/>
                <w:color w:val="FFFFFF"/>
              </w:rPr>
              <w:t xml:space="preserve"> Quarter Results</w:t>
            </w:r>
          </w:p>
        </w:tc>
        <w:tc>
          <w:tcPr>
            <w:tcW w:w="312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7"/>
          <w:szCs w:val="47"/>
          <w:color w:val="D47C18"/>
        </w:rPr>
        <w:t>Fourth Quarter Outlook</w:t>
      </w:r>
    </w:p>
    <w:p>
      <w:pPr>
        <w:sectPr>
          <w:pgSz w:w="11900" w:h="16838" w:orient="portrait"/>
          <w:cols w:equalWidth="0" w:num="1">
            <w:col w:w="9860"/>
          </w:cols>
          <w:pgMar w:left="1220" w:top="447"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34"/>
          <w:szCs w:val="34"/>
          <w:b w:val="1"/>
          <w:bCs w:val="1"/>
          <w:color w:val="D47C18"/>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France</w:t>
      </w:r>
    </w:p>
    <w:p>
      <w:pPr>
        <w:spacing w:after="0" w:line="55"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EMEA</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ind w:right="160"/>
        <w:spacing w:after="0"/>
        <w:rPr>
          <w:sz w:val="20"/>
          <w:szCs w:val="20"/>
          <w:color w:val="auto"/>
        </w:rPr>
      </w:pPr>
      <w:r>
        <w:rPr>
          <w:rFonts w:ascii="Arial" w:cs="Arial" w:eastAsia="Arial" w:hAnsi="Arial"/>
          <w:sz w:val="32"/>
          <w:szCs w:val="32"/>
          <w:b w:val="1"/>
          <w:bCs w:val="1"/>
          <w:color w:val="auto"/>
        </w:rPr>
        <w:t>Right</w:t>
      </w:r>
    </w:p>
    <w:p>
      <w:pPr>
        <w:spacing w:after="0" w:line="79"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20" w:firstLine="35"/>
        <w:spacing w:after="0" w:line="357" w:lineRule="auto"/>
        <w:rPr>
          <w:sz w:val="20"/>
          <w:szCs w:val="20"/>
          <w:color w:val="auto"/>
        </w:rPr>
      </w:pPr>
      <w:r>
        <w:rPr>
          <w:rFonts w:ascii="Arial" w:cs="Arial" w:eastAsia="Arial" w:hAnsi="Arial"/>
          <w:sz w:val="34"/>
          <w:szCs w:val="34"/>
          <w:b w:val="1"/>
          <w:bCs w:val="1"/>
          <w:color w:val="D47C18"/>
        </w:rPr>
        <w:t>Gross Profit Margin Operating Profit Margin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34"/>
          <w:szCs w:val="34"/>
          <w:b w:val="1"/>
          <w:bCs w:val="1"/>
          <w:color w:val="D47C18"/>
        </w:rPr>
        <w:t>Tax Rate</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34"/>
          <w:szCs w:val="34"/>
          <w:b w:val="1"/>
          <w:bCs w:val="1"/>
          <w:color w:val="D47C18"/>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1-3%</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13-15% (Up 7-9% CC)</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17-19% (Up 11-13% CC)</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32"/>
          <w:szCs w:val="32"/>
          <w:color w:val="auto"/>
        </w:rPr>
        <w:t>Down 7-9%</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Up/Down 1%(Down 2-4% CC)</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32"/>
          <w:szCs w:val="32"/>
          <w:color w:val="auto"/>
        </w:rPr>
        <w:t>Up 11-13% (Up 13-15% CC)</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32"/>
          <w:szCs w:val="32"/>
          <w:color w:val="auto"/>
        </w:rPr>
        <w:t>Up 12-14% (Up 8-10% CC)</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32"/>
          <w:szCs w:val="32"/>
          <w:color w:val="auto"/>
        </w:rPr>
        <w:t>18.4 - 18.6%</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32"/>
          <w:szCs w:val="32"/>
          <w:color w:val="auto"/>
        </w:rPr>
        <w:t>3.5 - 3.7%</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32"/>
          <w:szCs w:val="32"/>
          <w:color w:val="auto"/>
        </w:rPr>
        <w:t>36.5%</w:t>
      </w:r>
    </w:p>
    <w:p>
      <w:pPr>
        <w:spacing w:after="0" w:line="196" w:lineRule="exact"/>
        <w:rPr>
          <w:sz w:val="20"/>
          <w:szCs w:val="20"/>
          <w:color w:val="auto"/>
        </w:rPr>
      </w:pPr>
    </w:p>
    <w:p>
      <w:pPr>
        <w:spacing w:after="0"/>
        <w:rPr>
          <w:sz w:val="20"/>
          <w:szCs w:val="20"/>
          <w:color w:val="auto"/>
        </w:rPr>
      </w:pPr>
      <w:r>
        <w:rPr>
          <w:rFonts w:ascii="Arial" w:cs="Arial" w:eastAsia="Arial" w:hAnsi="Arial"/>
          <w:sz w:val="31"/>
          <w:szCs w:val="31"/>
          <w:color w:val="auto"/>
        </w:rPr>
        <w:t>$1.14 - $1.18(Pos. $.04 Currency)</w:t>
      </w:r>
    </w:p>
    <w:p>
      <w:pPr>
        <w:sectPr>
          <w:pgSz w:w="11900" w:h="16838" w:orient="portrait"/>
          <w:cols w:equalWidth="0" w:num="2">
            <w:col w:w="3820" w:space="440"/>
            <w:col w:w="5600"/>
          </w:cols>
          <w:pgMar w:left="1220" w:top="447" w:right="819" w:bottom="1440" w:gutter="0" w:footer="0" w:header="0"/>
          <w:type w:val="continuous"/>
        </w:sectPr>
      </w:pPr>
    </w:p>
    <w:bookmarkStart w:id="26" w:name="page27"/>
    <w:bookmarkEnd w:id="26"/>
    <w:p>
      <w:pPr>
        <w:ind w:left="88"/>
        <w:spacing w:after="0"/>
        <w:rPr>
          <w:sz w:val="20"/>
          <w:szCs w:val="20"/>
          <w:color w:val="auto"/>
        </w:rPr>
      </w:pPr>
      <w:r>
        <w:rPr>
          <w:rFonts w:ascii="Arial" w:cs="Arial" w:eastAsia="Arial" w:hAnsi="Arial"/>
          <w:sz w:val="28"/>
          <w:szCs w:val="28"/>
          <w:color w:val="FEFEF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p>
    <w:p>
      <w:pPr>
        <w:spacing w:after="0" w:line="36" w:lineRule="exact"/>
        <w:rPr>
          <w:sz w:val="20"/>
          <w:szCs w:val="20"/>
          <w:color w:val="auto"/>
        </w:rPr>
      </w:pPr>
    </w:p>
    <w:p>
      <w:pPr>
        <w:ind w:left="548" w:hanging="548"/>
        <w:spacing w:after="0"/>
        <w:tabs>
          <w:tab w:leader="none" w:pos="548" w:val="left"/>
        </w:tabs>
        <w:numPr>
          <w:ilvl w:val="0"/>
          <w:numId w:val="12"/>
        </w:numPr>
        <w:rPr>
          <w:rFonts w:ascii="Arial" w:cs="Arial" w:eastAsia="Arial" w:hAnsi="Arial"/>
          <w:sz w:val="56"/>
          <w:szCs w:val="56"/>
          <w:color w:val="FEFEFE"/>
          <w:vertAlign w:val="subscript"/>
        </w:rPr>
      </w:pPr>
      <w:r>
        <w:rPr>
          <w:rFonts w:ascii="Arial" w:cs="Arial" w:eastAsia="Arial" w:hAnsi="Arial"/>
          <w:sz w:val="28"/>
          <w:szCs w:val="28"/>
          <w:b w:val="1"/>
          <w:bCs w:val="1"/>
          <w:color w:val="5F81AA"/>
        </w:rPr>
        <w:t>2006 3</w:t>
      </w:r>
      <w:r>
        <w:rPr>
          <w:rFonts w:ascii="Arial" w:cs="Arial" w:eastAsia="Arial" w:hAnsi="Arial"/>
          <w:sz w:val="37"/>
          <w:szCs w:val="37"/>
          <w:b w:val="1"/>
          <w:bCs w:val="1"/>
          <w:color w:val="5F81AA"/>
          <w:vertAlign w:val="superscript"/>
        </w:rPr>
        <w:t>rd</w:t>
      </w:r>
      <w:r>
        <w:rPr>
          <w:rFonts w:ascii="Arial" w:cs="Arial" w:eastAsia="Arial" w:hAnsi="Arial"/>
          <w:sz w:val="28"/>
          <w:szCs w:val="28"/>
          <w:b w:val="1"/>
          <w:bCs w:val="1"/>
          <w:color w:val="5F81AA"/>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-40005</wp:posOffset>
            </wp:positionV>
            <wp:extent cx="4128770" cy="4315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10" w:lineRule="exact"/>
        <w:rPr>
          <w:sz w:val="20"/>
          <w:szCs w:val="20"/>
          <w:color w:val="auto"/>
        </w:rPr>
      </w:pPr>
    </w:p>
    <w:p>
      <w:pPr>
        <w:ind w:left="548"/>
        <w:spacing w:after="0"/>
        <w:rPr>
          <w:sz w:val="20"/>
          <w:szCs w:val="20"/>
          <w:color w:val="auto"/>
        </w:rPr>
      </w:pPr>
      <w:r>
        <w:rPr>
          <w:rFonts w:ascii="Arial" w:cs="Arial" w:eastAsia="Arial" w:hAnsi="Arial"/>
          <w:sz w:val="25"/>
          <w:szCs w:val="25"/>
          <w:color w:val="auto"/>
        </w:rPr>
        <w:t>October 17,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68"/>
        <w:spacing w:after="0"/>
        <w:rPr>
          <w:sz w:val="20"/>
          <w:szCs w:val="20"/>
          <w:color w:val="auto"/>
        </w:rPr>
      </w:pPr>
      <w:r>
        <w:rPr>
          <w:rFonts w:ascii="Arial" w:cs="Arial" w:eastAsia="Arial" w:hAnsi="Arial"/>
          <w:sz w:val="62"/>
          <w:szCs w:val="62"/>
          <w:color w:val="auto"/>
        </w:rPr>
        <w:t>Questions?</w:t>
      </w:r>
    </w:p>
    <w:p>
      <w:pPr>
        <w:jc w:val="right"/>
        <w:ind w:right="959"/>
        <w:spacing w:after="0"/>
        <w:rPr>
          <w:sz w:val="20"/>
          <w:szCs w:val="20"/>
          <w:color w:val="auto"/>
        </w:rPr>
      </w:pPr>
      <w:r>
        <w:rPr>
          <w:rFonts w:ascii="Arial" w:cs="Arial" w:eastAsia="Arial" w:hAnsi="Arial"/>
          <w:sz w:val="94"/>
          <w:szCs w:val="94"/>
          <w:color w:val="auto"/>
        </w:rPr>
        <w:t>Answers</w:t>
      </w:r>
    </w:p>
    <w:sectPr>
      <w:pgSz w:w="11900" w:h="16838" w:orient="portrait"/>
      <w:cols w:equalWidth="0" w:num="1">
        <w:col w:w="10108"/>
      </w:cols>
      <w:pgMar w:left="352"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upperLetter"/>
      <w:start w:val="29"/>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231"/>
    </w:lvl>
    <w:lvl w:ilvl="1">
      <w:lvlJc w:val="left"/>
      <w:lvlText w:val="(%2)"/>
      <w:numFmt w:val="decimal"/>
      <w:start w:val="47"/>
    </w:lvl>
  </w:abstractNum>
  <w:abstractNum w:abstractNumId="9">
    <w:nsid w:val="1F16E9E8"/>
    <w:multiLevelType w:val="hybridMultilevel"/>
    <w:lvl w:ilvl="0">
      <w:lvlJc w:val="left"/>
      <w:lvlText w:val="(%1)"/>
      <w:numFmt w:val="decimal"/>
      <w:start w:val="236"/>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2019-12-11T22:30:11Z</dcterms:created>
  <dcterms:modified xsi:type="dcterms:W3CDTF">2019-12-11T22:30:11Z</dcterms:modified>
</cp:coreProperties>
</file>