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July 20, 2021</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36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84"/>
              </w:rPr>
              <w:t>Wisconsin</w:t>
            </w:r>
          </w:p>
        </w:tc>
        <w:tc>
          <w:tcPr>
            <w:tcW w:w="3080" w:type="dxa"/>
            <w:vAlign w:val="bottom"/>
            <w:gridSpan w:val="3"/>
          </w:tcPr>
          <w:p>
            <w:pPr>
              <w:jc w:val="right"/>
              <w:ind w:right="1540"/>
              <w:spacing w:after="0"/>
              <w:rPr>
                <w:sz w:val="20"/>
                <w:szCs w:val="20"/>
                <w:color w:val="auto"/>
              </w:rPr>
            </w:pPr>
            <w:r>
              <w:rPr>
                <w:rFonts w:ascii="Arial" w:cs="Arial" w:eastAsia="Arial" w:hAnsi="Arial"/>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Arial" w:cs="Arial" w:eastAsia="Arial" w:hAnsi="Arial"/>
                <w:sz w:val="16"/>
                <w:szCs w:val="16"/>
                <w:b w:val="1"/>
                <w:bCs w:val="1"/>
                <w:color w:val="auto"/>
              </w:rPr>
              <w:t>39-1672779</w:t>
            </w:r>
          </w:p>
        </w:tc>
      </w:tr>
      <w:tr>
        <w:trPr>
          <w:trHeight w:val="203"/>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color w:val="auto"/>
                <w:w w:val="90"/>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(IRS Employer Identification No.)</w:t>
            </w:r>
          </w:p>
        </w:tc>
      </w:tr>
      <w:tr>
        <w:trPr>
          <w:trHeight w:val="362"/>
        </w:trPr>
        <w:tc>
          <w:tcPr>
            <w:tcW w:w="43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w w:val="89"/>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9"/>
        </w:trPr>
        <w:tc>
          <w:tcPr>
            <w:tcW w:w="4360" w:type="dxa"/>
            <w:vAlign w:val="bottom"/>
            <w:tcBorders>
              <w:bottom w:val="single" w:sz="8" w:color="auto"/>
            </w:tcBorders>
            <w:gridSpan w:val="3"/>
          </w:tcPr>
          <w:p>
            <w:pPr>
              <w:jc w:val="center"/>
              <w:ind w:left="961"/>
              <w:spacing w:after="0"/>
              <w:rPr>
                <w:sz w:val="20"/>
                <w:szCs w:val="20"/>
                <w:color w:val="auto"/>
              </w:rPr>
            </w:pPr>
            <w:r>
              <w:rPr>
                <w:rFonts w:ascii="Arial" w:cs="Arial" w:eastAsia="Arial" w:hAnsi="Arial"/>
                <w:sz w:val="16"/>
                <w:szCs w:val="16"/>
                <w:b w:val="1"/>
                <w:bCs w:val="1"/>
                <w:color w:val="auto"/>
                <w:w w:val="89"/>
              </w:rPr>
              <w:t>Milwaukee, Wisconsin</w:t>
            </w:r>
          </w:p>
        </w:tc>
        <w:tc>
          <w:tcPr>
            <w:tcW w:w="10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Arial" w:cs="Arial" w:eastAsia="Arial" w:hAnsi="Arial"/>
                <w:sz w:val="16"/>
                <w:szCs w:val="16"/>
                <w:b w:val="1"/>
                <w:bCs w:val="1"/>
                <w:color w:val="auto"/>
              </w:rPr>
              <w:t>53212</w:t>
            </w:r>
          </w:p>
        </w:tc>
      </w:tr>
      <w:tr>
        <w:trPr>
          <w:trHeight w:val="203"/>
        </w:trPr>
        <w:tc>
          <w:tcPr>
            <w:tcW w:w="43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w w:val="87"/>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Arial" w:cs="Arial" w:eastAsia="Arial" w:hAnsi="Arial"/>
                <w:sz w:val="16"/>
                <w:szCs w:val="16"/>
                <w:b w:val="1"/>
                <w:bCs w:val="1"/>
                <w:color w:val="auto"/>
                <w:w w:val="90"/>
              </w:rPr>
              <w:t>(Zip Code)</w:t>
            </w:r>
          </w:p>
        </w:tc>
      </w:tr>
    </w:tbl>
    <w:p>
      <w:pPr>
        <w:spacing w:after="0" w:line="150"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159"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8" w:lineRule="exact"/>
        <w:rPr>
          <w:sz w:val="24"/>
          <w:szCs w:val="24"/>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6" w:lineRule="exact"/>
        <w:rPr>
          <w:sz w:val="24"/>
          <w:szCs w:val="24"/>
          <w:color w:val="auto"/>
        </w:rPr>
      </w:pPr>
    </w:p>
    <w:tbl>
      <w:tblPr>
        <w:tblLayout w:type="fixed"/>
        <w:tblInd w:w="10" w:type="dxa"/>
        <w:tblCellMar>
          <w:top w:w="0" w:type="dxa"/>
          <w:left w:w="0" w:type="dxa"/>
          <w:bottom w:w="0" w:type="dxa"/>
          <w:right w:w="0" w:type="dxa"/>
        </w:tblCellMar>
      </w:tblPr>
      <w:tr>
        <w:trPr>
          <w:trHeight w:val="200"/>
        </w:trPr>
        <w:tc>
          <w:tcPr>
            <w:tcW w:w="3780" w:type="dxa"/>
            <w:vAlign w:val="bottom"/>
          </w:tcPr>
          <w:p>
            <w:pP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51"/>
        </w:trPr>
        <w:tc>
          <w:tcPr>
            <w:tcW w:w="378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r>
      <w:tr>
        <w:trPr>
          <w:trHeight w:val="20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Name of each exchange on which registered</w:t>
            </w:r>
          </w:p>
        </w:tc>
      </w:tr>
      <w:tr>
        <w:trPr>
          <w:trHeight w:val="214"/>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MAN</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New York Stock Exchange</w:t>
            </w:r>
          </w:p>
        </w:tc>
      </w:tr>
    </w:tbl>
    <w:p>
      <w:pPr>
        <w:spacing w:after="0" w:line="177" w:lineRule="exact"/>
        <w:rPr>
          <w:sz w:val="24"/>
          <w:szCs w:val="24"/>
          <w:color w:val="auto"/>
        </w:rPr>
      </w:pPr>
    </w:p>
    <w:p>
      <w:pPr>
        <w:ind w:right="24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7" w:lineRule="exact"/>
        <w:rPr>
          <w:sz w:val="24"/>
          <w:szCs w:val="24"/>
          <w:color w:val="auto"/>
        </w:rPr>
      </w:pPr>
    </w:p>
    <w:p>
      <w:pPr>
        <w:ind w:right="320"/>
        <w:spacing w:after="0" w:line="26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433070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46"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2" w:lineRule="exact"/>
        <w:rPr>
          <w:sz w:val="20"/>
          <w:szCs w:val="20"/>
          <w:color w:val="auto"/>
        </w:rPr>
      </w:pPr>
    </w:p>
    <w:p>
      <w:pPr>
        <w:ind w:right="260"/>
        <w:spacing w:after="0" w:line="299"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12"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On July 20, 2021, we issued a press release announcing our results of operations for the three and six months ended June 30, 2021. A copy of the press release is attached hereto as Exhibit 99.1 and is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140" w:type="dxa"/>
            <w:vAlign w:val="bottom"/>
          </w:tcPr>
          <w:p>
            <w:pPr>
              <w:spacing w:after="0"/>
              <w:rPr>
                <w:sz w:val="14"/>
                <w:szCs w:val="14"/>
                <w:color w:val="auto"/>
              </w:rPr>
            </w:pPr>
          </w:p>
        </w:tc>
        <w:tc>
          <w:tcPr>
            <w:tcW w:w="98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Description</w:t>
            </w:r>
          </w:p>
        </w:tc>
      </w:tr>
      <w:tr>
        <w:trPr>
          <w:trHeight w:val="174"/>
        </w:trPr>
        <w:tc>
          <w:tcPr>
            <w:tcW w:w="1240" w:type="dxa"/>
            <w:vAlign w:val="bottom"/>
          </w:tcPr>
          <w:p>
            <w:pPr>
              <w:spacing w:after="0" w:line="174" w:lineRule="exact"/>
              <w:rPr>
                <w:sz w:val="20"/>
                <w:szCs w:val="20"/>
                <w:color w:val="auto"/>
              </w:rPr>
            </w:pPr>
            <w:r>
              <w:rPr>
                <w:rFonts w:ascii="Arial" w:cs="Arial" w:eastAsia="Arial" w:hAnsi="Arial"/>
                <w:sz w:val="16"/>
                <w:szCs w:val="16"/>
                <w:color w:val="auto"/>
              </w:rPr>
              <w:t>99.1</w:t>
            </w:r>
          </w:p>
        </w:tc>
        <w:tc>
          <w:tcPr>
            <w:tcW w:w="140" w:type="dxa"/>
            <w:vAlign w:val="bottom"/>
          </w:tcPr>
          <w:p>
            <w:pPr>
              <w:spacing w:after="0"/>
              <w:rPr>
                <w:sz w:val="15"/>
                <w:szCs w:val="15"/>
                <w:color w:val="auto"/>
              </w:rPr>
            </w:pPr>
          </w:p>
        </w:tc>
        <w:tc>
          <w:tcPr>
            <w:tcW w:w="9880" w:type="dxa"/>
            <w:vAlign w:val="bottom"/>
            <w:gridSpan w:val="3"/>
          </w:tcPr>
          <w:p>
            <w:pPr>
              <w:spacing w:after="0" w:line="174" w:lineRule="exact"/>
              <w:rPr>
                <w:rFonts w:ascii="Arial" w:cs="Arial" w:eastAsia="Arial" w:hAnsi="Arial"/>
                <w:sz w:val="16"/>
                <w:szCs w:val="16"/>
                <w:color w:val="0000FF"/>
              </w:rPr>
            </w:pPr>
            <w:hyperlink w:anchor="page4">
              <w:r>
                <w:rPr>
                  <w:rFonts w:ascii="Arial" w:cs="Arial" w:eastAsia="Arial" w:hAnsi="Arial"/>
                  <w:sz w:val="16"/>
                  <w:szCs w:val="16"/>
                  <w:color w:val="0000FF"/>
                </w:rPr>
                <w:t>Press Release dated July 20, 2021</w:t>
              </w:r>
            </w:hyperlink>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05"/>
        </w:trPr>
        <w:tc>
          <w:tcPr>
            <w:tcW w:w="1240" w:type="dxa"/>
            <w:vAlign w:val="bottom"/>
          </w:tcPr>
          <w:p>
            <w:pPr>
              <w:spacing w:after="0"/>
              <w:rPr>
                <w:sz w:val="20"/>
                <w:szCs w:val="20"/>
                <w:color w:val="auto"/>
              </w:rPr>
            </w:pPr>
            <w:r>
              <w:rPr>
                <w:rFonts w:ascii="Arial" w:cs="Arial" w:eastAsia="Arial" w:hAnsi="Arial"/>
                <w:sz w:val="16"/>
                <w:szCs w:val="16"/>
                <w:color w:val="auto"/>
              </w:rPr>
              <w:t>99.2</w:t>
            </w:r>
          </w:p>
        </w:tc>
        <w:tc>
          <w:tcPr>
            <w:tcW w:w="140" w:type="dxa"/>
            <w:vAlign w:val="bottom"/>
          </w:tcPr>
          <w:p>
            <w:pPr>
              <w:spacing w:after="0"/>
              <w:rPr>
                <w:sz w:val="17"/>
                <w:szCs w:val="17"/>
                <w:color w:val="auto"/>
              </w:rPr>
            </w:pPr>
          </w:p>
        </w:tc>
        <w:tc>
          <w:tcPr>
            <w:tcW w:w="9880" w:type="dxa"/>
            <w:vAlign w:val="bottom"/>
            <w:gridSpan w:val="3"/>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Presentation materials for July 20, 2021 Conference Call</w:t>
              </w:r>
            </w:hyperlink>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580" w:type="dxa"/>
            <w:vAlign w:val="bottom"/>
            <w:tcBorders>
              <w:right w:val="single" w:sz="8" w:color="0000EE"/>
            </w:tcBorders>
            <w:gridSpan w:val="2"/>
            <w:shd w:val="clear" w:color="auto" w:fill="0000FF"/>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39"/>
        </w:trPr>
        <w:tc>
          <w:tcPr>
            <w:tcW w:w="1240" w:type="dxa"/>
            <w:vAlign w:val="bottom"/>
          </w:tcPr>
          <w:p>
            <w:pPr>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1400"/>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222" w:lineRule="exact"/>
        <w:rPr>
          <w:sz w:val="20"/>
          <w:szCs w:val="20"/>
          <w:color w:val="auto"/>
        </w:rPr>
      </w:pPr>
    </w:p>
    <w:p>
      <w:pPr>
        <w:ind w:right="40" w:firstLine="510"/>
        <w:spacing w:after="0" w:line="28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960" w:type="dxa"/>
            <w:vAlign w:val="bottom"/>
            <w:gridSpan w:val="2"/>
          </w:tcPr>
          <w:p>
            <w:pPr>
              <w:ind w:left="180"/>
              <w:spacing w:after="0"/>
              <w:rPr>
                <w:sz w:val="20"/>
                <w:szCs w:val="20"/>
                <w:color w:val="auto"/>
              </w:rPr>
            </w:pPr>
            <w:r>
              <w:rPr>
                <w:rFonts w:ascii="Arial" w:cs="Arial" w:eastAsia="Arial" w:hAnsi="Arial"/>
                <w:sz w:val="16"/>
                <w:szCs w:val="16"/>
                <w:color w:val="auto"/>
              </w:rPr>
              <w:t>MANPOWERGROUP INC.</w:t>
            </w:r>
          </w:p>
        </w:tc>
      </w:tr>
      <w:tr>
        <w:trPr>
          <w:trHeight w:val="456"/>
        </w:trPr>
        <w:tc>
          <w:tcPr>
            <w:tcW w:w="5300" w:type="dxa"/>
            <w:vAlign w:val="bottom"/>
            <w:gridSpan w:val="2"/>
          </w:tcPr>
          <w:p>
            <w:pPr>
              <w:spacing w:after="0"/>
              <w:rPr>
                <w:sz w:val="20"/>
                <w:szCs w:val="20"/>
                <w:color w:val="auto"/>
              </w:rPr>
            </w:pPr>
            <w:r>
              <w:rPr>
                <w:rFonts w:ascii="Arial" w:cs="Arial" w:eastAsia="Arial" w:hAnsi="Arial"/>
                <w:sz w:val="16"/>
                <w:szCs w:val="16"/>
                <w:color w:val="auto"/>
                <w:w w:val="88"/>
              </w:rPr>
              <w:t>Dated:July 20, 2021</w:t>
            </w:r>
          </w:p>
        </w:tc>
        <w:tc>
          <w:tcPr>
            <w:tcW w:w="900" w:type="dxa"/>
            <w:vAlign w:val="bottom"/>
          </w:tcPr>
          <w:p>
            <w:pPr>
              <w:ind w:left="180"/>
              <w:spacing w:after="0"/>
              <w:rPr>
                <w:sz w:val="20"/>
                <w:szCs w:val="20"/>
                <w:color w:val="auto"/>
              </w:rPr>
            </w:pPr>
            <w:r>
              <w:rPr>
                <w:rFonts w:ascii="Arial" w:cs="Arial" w:eastAsia="Arial" w:hAnsi="Arial"/>
                <w:sz w:val="16"/>
                <w:szCs w:val="16"/>
                <w:color w:val="auto"/>
              </w:rPr>
              <w:t>By:</w:t>
            </w:r>
          </w:p>
        </w:tc>
        <w:tc>
          <w:tcPr>
            <w:tcW w:w="5060" w:type="dxa"/>
            <w:vAlign w:val="bottom"/>
          </w:tcPr>
          <w:p>
            <w:pPr>
              <w:spacing w:after="0"/>
              <w:rPr>
                <w:sz w:val="20"/>
                <w:szCs w:val="20"/>
                <w:color w:val="auto"/>
              </w:rPr>
            </w:pPr>
            <w:r>
              <w:rPr>
                <w:rFonts w:ascii="Arial" w:cs="Arial" w:eastAsia="Arial" w:hAnsi="Arial"/>
                <w:sz w:val="16"/>
                <w:szCs w:val="16"/>
                <w:color w:val="auto"/>
              </w:rPr>
              <w:t>/s/ John T. McGinnis</w:t>
            </w:r>
          </w:p>
        </w:tc>
      </w:tr>
      <w:tr>
        <w:trPr>
          <w:trHeight w:val="210"/>
        </w:trPr>
        <w:tc>
          <w:tcPr>
            <w:tcW w:w="74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6"/>
                <w:szCs w:val="16"/>
                <w:color w:val="auto"/>
              </w:rPr>
              <w:t>Name:</w:t>
            </w:r>
          </w:p>
        </w:tc>
        <w:tc>
          <w:tcPr>
            <w:tcW w:w="50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John T. McGinnis</w:t>
            </w:r>
          </w:p>
        </w:tc>
      </w:tr>
      <w:tr>
        <w:trPr>
          <w:trHeight w:val="225"/>
        </w:trPr>
        <w:tc>
          <w:tcPr>
            <w:tcW w:w="7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6"/>
                <w:szCs w:val="16"/>
                <w:color w:val="auto"/>
              </w:rPr>
              <w:t>Title:</w:t>
            </w:r>
          </w:p>
        </w:tc>
        <w:tc>
          <w:tcPr>
            <w:tcW w:w="5060" w:type="dxa"/>
            <w:vAlign w:val="bottom"/>
          </w:tcPr>
          <w:p>
            <w:pPr>
              <w:spacing w:after="0"/>
              <w:rPr>
                <w:sz w:val="20"/>
                <w:szCs w:val="20"/>
                <w:color w:val="auto"/>
              </w:rPr>
            </w:pPr>
            <w:r>
              <w:rPr>
                <w:rFonts w:ascii="Arial" w:cs="Arial" w:eastAsia="Arial" w:hAnsi="Arial"/>
                <w:sz w:val="16"/>
                <w:szCs w:val="16"/>
                <w:color w:val="auto"/>
              </w:rPr>
              <w:t>Executive Vice President and</w:t>
            </w:r>
          </w:p>
        </w:tc>
      </w:tr>
      <w:tr>
        <w:trPr>
          <w:trHeight w:val="201"/>
        </w:trPr>
        <w:tc>
          <w:tcPr>
            <w:tcW w:w="7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549"/>
        </w:trPr>
        <w:tc>
          <w:tcPr>
            <w:tcW w:w="7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141605</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676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26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Jack McGinnis</w:t>
      </w:r>
    </w:p>
    <w:p>
      <w:pPr>
        <w:spacing w:after="0" w:line="41"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+1.414.906.7977</w:t>
      </w:r>
    </w:p>
    <w:p>
      <w:pPr>
        <w:spacing w:after="0" w:line="41"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jack.mcginnis@manpowergroup.com</w:t>
      </w:r>
    </w:p>
    <w:p>
      <w:pPr>
        <w:spacing w:after="0" w:line="200" w:lineRule="exact"/>
        <w:rPr>
          <w:sz w:val="20"/>
          <w:szCs w:val="20"/>
          <w:color w:val="auto"/>
        </w:rPr>
      </w:pPr>
    </w:p>
    <w:p>
      <w:pPr>
        <w:spacing w:after="0" w:line="356" w:lineRule="exact"/>
        <w:rPr>
          <w:sz w:val="20"/>
          <w:szCs w:val="20"/>
          <w:color w:val="auto"/>
        </w:rPr>
      </w:pPr>
    </w:p>
    <w:p>
      <w:pPr>
        <w:ind w:left="3320"/>
        <w:spacing w:after="0"/>
        <w:rPr>
          <w:sz w:val="20"/>
          <w:szCs w:val="20"/>
          <w:color w:val="auto"/>
        </w:rPr>
      </w:pPr>
      <w:r>
        <w:rPr>
          <w:rFonts w:ascii="Arial" w:cs="Arial" w:eastAsia="Arial" w:hAnsi="Arial"/>
          <w:sz w:val="19"/>
          <w:szCs w:val="19"/>
          <w:b w:val="1"/>
          <w:bCs w:val="1"/>
          <w:color w:val="auto"/>
        </w:rPr>
        <w:t>ManpowerGroup Reports 2nd Quarter 2021 Results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41% revenue increase in the quarter (31% increase on a constant currency basis)</w:t>
      </w:r>
    </w:p>
    <w:p>
      <w:pPr>
        <w:spacing w:after="0" w:line="29" w:lineRule="exact"/>
        <w:rPr>
          <w:sz w:val="20"/>
          <w:szCs w:val="20"/>
          <w:color w:val="auto"/>
        </w:rPr>
      </w:pPr>
    </w:p>
    <w:p>
      <w:pPr>
        <w:ind w:left="460" w:right="520"/>
        <w:spacing w:after="0" w:line="275" w:lineRule="auto"/>
        <w:rPr>
          <w:sz w:val="20"/>
          <w:szCs w:val="20"/>
          <w:color w:val="auto"/>
        </w:rPr>
      </w:pPr>
      <w:r>
        <w:rPr>
          <w:rFonts w:ascii="Arial" w:cs="Arial" w:eastAsia="Arial" w:hAnsi="Arial"/>
          <w:sz w:val="17"/>
          <w:szCs w:val="17"/>
          <w:color w:val="auto"/>
        </w:rPr>
        <w:t>All brands recorded significant quarterly year-over-year revenue growth, as Manpower and Experis experienced increased demand for staffing and permanent recruitment and Talent Solutions experienced strong growth, led by RPO and MSP Operating profit of $170 million in the quarter</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$50 million of common stock repurchased during the quarter</w:t>
      </w:r>
    </w:p>
    <w:p>
      <w:pPr>
        <w:spacing w:after="0" w:line="256" w:lineRule="exact"/>
        <w:rPr>
          <w:sz w:val="20"/>
          <w:szCs w:val="20"/>
          <w:color w:val="auto"/>
        </w:rPr>
      </w:pPr>
    </w:p>
    <w:p>
      <w:pPr>
        <w:jc w:val="both"/>
        <w:ind w:right="20"/>
        <w:spacing w:after="0" w:line="443" w:lineRule="auto"/>
        <w:rPr>
          <w:sz w:val="20"/>
          <w:szCs w:val="20"/>
          <w:color w:val="auto"/>
        </w:rPr>
      </w:pPr>
      <w:r>
        <w:rPr>
          <w:rFonts w:ascii="Arial" w:cs="Arial" w:eastAsia="Arial" w:hAnsi="Arial"/>
          <w:sz w:val="17"/>
          <w:szCs w:val="17"/>
          <w:b w:val="1"/>
          <w:bCs w:val="1"/>
          <w:color w:val="auto"/>
        </w:rPr>
        <w:t xml:space="preserve">MILWAUKEE, July 20, 2021 -- </w:t>
      </w:r>
      <w:r>
        <w:rPr>
          <w:rFonts w:ascii="Arial" w:cs="Arial" w:eastAsia="Arial" w:hAnsi="Arial"/>
          <w:sz w:val="17"/>
          <w:szCs w:val="17"/>
          <w:color w:val="auto"/>
        </w:rPr>
        <w:t>ManpowerGroup (NYSE: MAN) today reported net earnings of $2.02 per diluted share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2021 compared to net losses of $1.11 per diluted share in the prior year period. Net earnings in the quarter were $111.6 million compared to net losses of $64.4 million a year earlier. Revenues for the second quarter were $5.3 billion, a 41% increase from the prior year period.</w:t>
      </w:r>
    </w:p>
    <w:p>
      <w:pPr>
        <w:spacing w:after="0" w:line="200" w:lineRule="exact"/>
        <w:rPr>
          <w:sz w:val="20"/>
          <w:szCs w:val="20"/>
          <w:color w:val="auto"/>
        </w:rPr>
      </w:pPr>
    </w:p>
    <w:p>
      <w:pPr>
        <w:spacing w:after="0" w:line="242" w:lineRule="exact"/>
        <w:rPr>
          <w:sz w:val="20"/>
          <w:szCs w:val="20"/>
          <w:color w:val="auto"/>
        </w:rPr>
      </w:pPr>
    </w:p>
    <w:p>
      <w:pPr>
        <w:jc w:val="both"/>
        <w:spacing w:after="0" w:line="412" w:lineRule="auto"/>
        <w:rPr>
          <w:sz w:val="20"/>
          <w:szCs w:val="20"/>
          <w:color w:val="auto"/>
        </w:rPr>
      </w:pPr>
      <w:r>
        <w:rPr>
          <w:rFonts w:ascii="Arial" w:cs="Arial" w:eastAsia="Arial" w:hAnsi="Arial"/>
          <w:sz w:val="17"/>
          <w:szCs w:val="17"/>
          <w:color w:val="auto"/>
        </w:rPr>
        <w:t>Financial results in the quarter were impacted by the weaker U.S. dollar relative to foreign currencies compared to the prior year period, resulting in a 13 cents positive impact to earnings per share in the quarter compared to the prior year. On a constant currency basis, revenues increased 31% compared to the prior year period. Excluding the prior year impact of special items, on a constant currency basis, net earnings per diluted share increased 938% during the quarter.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Days Sales Outstanding improved by 1.9 days year over year reflecting our continued focus on collections and working capital efficiency.</w:t>
      </w:r>
    </w:p>
    <w:p>
      <w:pPr>
        <w:spacing w:after="0" w:line="325" w:lineRule="exact"/>
        <w:rPr>
          <w:sz w:val="20"/>
          <w:szCs w:val="20"/>
          <w:color w:val="auto"/>
        </w:rPr>
      </w:pPr>
    </w:p>
    <w:p>
      <w:pPr>
        <w:jc w:val="both"/>
        <w:ind w:right="20"/>
        <w:spacing w:after="0" w:line="410" w:lineRule="auto"/>
        <w:rPr>
          <w:sz w:val="20"/>
          <w:szCs w:val="20"/>
          <w:color w:val="auto"/>
        </w:rPr>
      </w:pPr>
      <w:r>
        <w:rPr>
          <w:rFonts w:ascii="Arial" w:cs="Arial" w:eastAsia="Arial" w:hAnsi="Arial"/>
          <w:sz w:val="17"/>
          <w:szCs w:val="17"/>
          <w:color w:val="auto"/>
        </w:rPr>
        <w:t>Jonas Prising, ManpowerGroup Chairman &amp; CEO, said, “Our second quarter results reflect an improving global economic environment and increased demand for our services across our key markets and brands. As restrictions continued to ease worldwide, we saw the benefit of our diversified portfolio of services and workforce solutions. Our Manpower business rebounded strongly, our Experis business improved significantly during the quarter and our Talent Solutions offerings continued to deliver against the strong demand for global workforce solutions. We also made significant progress in the ongoing execution of our strategic initiatives, particularly in the implementation of new technology across the globe.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145415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4" w:name="page5"/>
    <w:bookmarkEnd w:id="4"/>
    <w:p>
      <w:pPr>
        <w:jc w:val="both"/>
        <w:ind w:right="20"/>
        <w:spacing w:after="0" w:line="423" w:lineRule="auto"/>
        <w:rPr>
          <w:sz w:val="20"/>
          <w:szCs w:val="20"/>
          <w:color w:val="auto"/>
        </w:rPr>
      </w:pPr>
      <w:r>
        <w:rPr>
          <w:rFonts w:ascii="Arial" w:cs="Arial" w:eastAsia="Arial" w:hAnsi="Arial"/>
          <w:sz w:val="17"/>
          <w:szCs w:val="17"/>
          <w:color w:val="auto"/>
        </w:rPr>
        <w:t>We are encouraged by the current momentum that we are experiencing across our offerings and confident in our team’s ability to continue to deliver value to all our stakeholders.</w:t>
      </w:r>
    </w:p>
    <w:p>
      <w:pPr>
        <w:spacing w:after="0" w:line="162" w:lineRule="exact"/>
        <w:rPr>
          <w:sz w:val="20"/>
          <w:szCs w:val="20"/>
          <w:color w:val="auto"/>
        </w:rPr>
      </w:pPr>
    </w:p>
    <w:p>
      <w:pPr>
        <w:jc w:val="both"/>
        <w:ind w:right="20"/>
        <w:spacing w:after="0" w:line="423" w:lineRule="auto"/>
        <w:rPr>
          <w:sz w:val="20"/>
          <w:szCs w:val="20"/>
          <w:color w:val="auto"/>
        </w:rPr>
      </w:pPr>
      <w:r>
        <w:rPr>
          <w:rFonts w:ascii="Arial" w:cs="Arial" w:eastAsia="Arial" w:hAnsi="Arial"/>
          <w:sz w:val="17"/>
          <w:szCs w:val="17"/>
          <w:color w:val="auto"/>
        </w:rPr>
        <w:t>We anticipate diluted earnings per share in the third quarter will be between $1.86 and $1.94, which includes an estimated favorable currency impact of 4 cents.”</w:t>
      </w:r>
    </w:p>
    <w:p>
      <w:pPr>
        <w:spacing w:after="0" w:line="151" w:lineRule="exact"/>
        <w:rPr>
          <w:sz w:val="20"/>
          <w:szCs w:val="20"/>
          <w:color w:val="auto"/>
        </w:rPr>
      </w:pPr>
    </w:p>
    <w:p>
      <w:pPr>
        <w:jc w:val="both"/>
        <w:spacing w:after="0" w:line="410" w:lineRule="auto"/>
        <w:rPr>
          <w:sz w:val="20"/>
          <w:szCs w:val="20"/>
          <w:color w:val="auto"/>
        </w:rPr>
      </w:pPr>
      <w:r>
        <w:rPr>
          <w:rFonts w:ascii="Arial" w:cs="Arial" w:eastAsia="Arial" w:hAnsi="Arial"/>
          <w:sz w:val="17"/>
          <w:szCs w:val="17"/>
          <w:color w:val="auto"/>
        </w:rPr>
        <w:t>Net earnings for the six months ended June 30, 2021 were $173.6 million, or net earnings of $3.13 per diluted share compared to net losses of $62.7 million, or net losses of $1.07 per diluted share in the prior year. The prior year to date period included special items and restructuring costs which reduced earnings per share by $2.07. Revenues for the six-month period were $10.2 billion, an increase of 22% from the prior year or an increase of 14% in constant currency. Earnings per share for the six-month period were positively impacted by 20 cents due to changes in foreign currencies compared to the prior year.</w:t>
      </w:r>
    </w:p>
    <w:p>
      <w:pPr>
        <w:spacing w:after="0" w:line="163" w:lineRule="exact"/>
        <w:rPr>
          <w:sz w:val="20"/>
          <w:szCs w:val="20"/>
          <w:color w:val="auto"/>
        </w:rPr>
      </w:pPr>
    </w:p>
    <w:p>
      <w:pPr>
        <w:jc w:val="both"/>
        <w:spacing w:after="0" w:line="412" w:lineRule="auto"/>
        <w:rPr>
          <w:sz w:val="20"/>
          <w:szCs w:val="20"/>
          <w:color w:val="auto"/>
        </w:rPr>
      </w:pPr>
      <w:r>
        <w:rPr>
          <w:rFonts w:ascii="Arial" w:cs="Arial" w:eastAsia="Arial" w:hAnsi="Arial"/>
          <w:sz w:val="17"/>
          <w:szCs w:val="17"/>
          <w:color w:val="auto"/>
        </w:rPr>
        <w:t>In conjunction with its second quarter earnings release, ManpowerGroup will broadcast its conference call live over the Internet on July 20, 2021 at 7:30 a.m. CDT (8:30 a.m. EDT). Prepared remarks for the conference call are included within the Investor Relations section of our website at manpowergroup.com. Interested parties are invited to listen to the webcast and view the presentation by logging on to http://investor.manpowergroup.com/ in the section titled “Investor Relations.”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Supplemental financial information referenced in the conference call can be found at http://investor.manpowergroup.com/.</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2021 ManpowerGroup was named one of the World's Most Ethical Companies for the 12</w:t>
      </w:r>
      <w:r>
        <w:rPr>
          <w:rFonts w:ascii="Arial" w:cs="Arial" w:eastAsia="Arial" w:hAnsi="Arial"/>
          <w:sz w:val="21"/>
          <w:szCs w:val="21"/>
          <w:color w:val="auto"/>
          <w:vertAlign w:val="superscript"/>
        </w:rPr>
        <w:t>th</w:t>
      </w:r>
      <w:r>
        <w:rPr>
          <w:rFonts w:ascii="Arial" w:cs="Arial" w:eastAsia="Arial" w:hAnsi="Arial"/>
          <w:sz w:val="16"/>
          <w:szCs w:val="16"/>
          <w:color w:val="auto"/>
        </w:rPr>
        <w:t>year - all confirming our position as the brand of choice for in-demand talent.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This news release contains statements, including statements regarding economic uncertainty, the global recovery, financial outlook, the Company’s strategic initiatives and technology investments and its positioning for future growth, as well as the potential impacts of the COVID-19 pandemic and the Company’s efforts to respond to such impacts,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2020, which information is incorporated herein by reference.</w:t>
      </w:r>
    </w:p>
    <w:p>
      <w:pPr>
        <w:spacing w:after="0" w:line="200" w:lineRule="exact"/>
        <w:rPr>
          <w:sz w:val="20"/>
          <w:szCs w:val="20"/>
          <w:color w:val="auto"/>
        </w:rPr>
      </w:pPr>
    </w:p>
    <w:p>
      <w:pPr>
        <w:spacing w:after="0" w:line="364"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629285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21" w:right="319" w:bottom="1440" w:gutter="0" w:footer="0" w:header="0"/>
        </w:sectPr>
      </w:pPr>
    </w:p>
    <w:bookmarkStart w:id="5" w:name="page6"/>
    <w:bookmarkEnd w:id="5"/>
    <w:p>
      <w:pPr>
        <w:jc w:val="center"/>
        <w:ind w:right="-4"/>
        <w:spacing w:after="0"/>
        <w:rPr>
          <w:sz w:val="20"/>
          <w:szCs w:val="20"/>
          <w:color w:val="auto"/>
        </w:rPr>
      </w:pPr>
      <w:r>
        <w:rPr>
          <w:rFonts w:ascii="Arial" w:cs="Arial" w:eastAsia="Arial" w:hAnsi="Arial"/>
          <w:sz w:val="16"/>
          <w:szCs w:val="16"/>
          <w:color w:val="auto"/>
        </w:rPr>
        <w:t>ManpowerGroup</w:t>
      </w:r>
    </w:p>
    <w:p>
      <w:pPr>
        <w:spacing w:after="0" w:line="1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spacing w:after="0" w:line="1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226"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right="820"/>
              <w:spacing w:after="0"/>
              <w:rPr>
                <w:sz w:val="20"/>
                <w:szCs w:val="20"/>
                <w:color w:val="auto"/>
              </w:rPr>
            </w:pPr>
            <w:r>
              <w:rPr>
                <w:rFonts w:ascii="Arial" w:cs="Arial" w:eastAsia="Arial" w:hAnsi="Arial"/>
                <w:sz w:val="16"/>
                <w:szCs w:val="16"/>
                <w:b w:val="1"/>
                <w:bCs w:val="1"/>
                <w:color w:val="auto"/>
                <w:w w:val="89"/>
              </w:rPr>
              <w:t>Three Months Ended June 30</w:t>
            </w:r>
          </w:p>
        </w:tc>
        <w:tc>
          <w:tcPr>
            <w:tcW w:w="8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w w:val="91"/>
              </w:rPr>
              <w:t>% Variance</w:t>
            </w:r>
          </w:p>
        </w:tc>
        <w:tc>
          <w:tcPr>
            <w:tcW w:w="8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89"/>
              </w:rPr>
              <w:t>Constant</w:t>
            </w:r>
          </w:p>
        </w:tc>
      </w:tr>
      <w:tr>
        <w:trPr>
          <w:trHeight w:val="231"/>
        </w:trPr>
        <w:tc>
          <w:tcPr>
            <w:tcW w:w="5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Reported</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91"/>
              </w:rPr>
              <w:t>Currency</w:t>
            </w:r>
          </w:p>
        </w:tc>
        <w:tc>
          <w:tcPr>
            <w:tcW w:w="240" w:type="dxa"/>
            <w:vAlign w:val="bottom"/>
          </w:tcPr>
          <w:p>
            <w:pPr>
              <w:spacing w:after="0"/>
              <w:rPr>
                <w:sz w:val="20"/>
                <w:szCs w:val="20"/>
                <w:color w:val="auto"/>
              </w:rPr>
            </w:pPr>
          </w:p>
        </w:tc>
      </w:tr>
      <w:tr>
        <w:trPr>
          <w:trHeight w:val="21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center"/>
              <w:ind w:left="601"/>
              <w:spacing w:after="0"/>
              <w:rPr>
                <w:sz w:val="20"/>
                <w:szCs w:val="20"/>
                <w:color w:val="auto"/>
              </w:rPr>
            </w:pPr>
            <w:r>
              <w:rPr>
                <w:rFonts w:ascii="Arial" w:cs="Arial" w:eastAsia="Arial" w:hAnsi="Arial"/>
                <w:sz w:val="16"/>
                <w:szCs w:val="16"/>
                <w:color w:val="auto"/>
                <w:w w:val="90"/>
              </w:rPr>
              <w:t>(Unaudited)</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1"/>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 (a)</w:t>
            </w: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5,277.1</w:t>
            </w:r>
          </w:p>
        </w:tc>
        <w:tc>
          <w:tcPr>
            <w:tcW w:w="460" w:type="dxa"/>
            <w:vAlign w:val="bottom"/>
            <w:gridSpan w:val="2"/>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3,742.2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41.0 %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31.3 %</w:t>
            </w:r>
          </w:p>
        </w:tc>
      </w:tr>
      <w:tr>
        <w:trPr>
          <w:trHeight w:val="224"/>
        </w:trPr>
        <w:tc>
          <w:tcPr>
            <w:tcW w:w="5400" w:type="dxa"/>
            <w:vAlign w:val="bottom"/>
          </w:tcPr>
          <w:p>
            <w:pPr>
              <w:spacing w:after="0"/>
              <w:rPr>
                <w:sz w:val="20"/>
                <w:szCs w:val="20"/>
                <w:color w:val="auto"/>
              </w:rPr>
            </w:pPr>
            <w:r>
              <w:rPr>
                <w:rFonts w:ascii="Arial" w:cs="Arial" w:eastAsia="Arial" w:hAnsi="Arial"/>
                <w:sz w:val="16"/>
                <w:szCs w:val="16"/>
                <w:color w:val="auto"/>
              </w:rPr>
              <w:t>Cost of 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4,417.0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39.5 %</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29.8 %</w:t>
            </w:r>
          </w:p>
        </w:tc>
      </w:tr>
      <w:tr>
        <w:trPr>
          <w:trHeight w:val="217"/>
        </w:trPr>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49.1 %</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39.8 %</w:t>
            </w:r>
          </w:p>
        </w:tc>
      </w:tr>
      <w:tr>
        <w:trPr>
          <w:trHeight w:val="212"/>
        </w:trPr>
        <w:tc>
          <w:tcPr>
            <w:tcW w:w="5400" w:type="dxa"/>
            <w:vAlign w:val="bottom"/>
          </w:tcPr>
          <w:p>
            <w:pPr>
              <w:ind w:left="80"/>
              <w:spacing w:after="0"/>
              <w:rPr>
                <w:sz w:val="20"/>
                <w:szCs w:val="20"/>
                <w:color w:val="auto"/>
              </w:rPr>
            </w:pPr>
            <w:r>
              <w:rPr>
                <w:rFonts w:ascii="Arial" w:cs="Arial" w:eastAsia="Arial" w:hAnsi="Arial"/>
                <w:sz w:val="16"/>
                <w:szCs w:val="16"/>
                <w:color w:val="auto"/>
              </w:rPr>
              <w:t>Selling and administrative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8"/>
        </w:trPr>
        <w:tc>
          <w:tcPr>
            <w:tcW w:w="5400" w:type="dxa"/>
            <w:vAlign w:val="bottom"/>
          </w:tcPr>
          <w:p>
            <w:pPr>
              <w:ind w:left="120"/>
              <w:spacing w:after="0"/>
              <w:rPr>
                <w:sz w:val="20"/>
                <w:szCs w:val="20"/>
                <w:color w:val="auto"/>
              </w:rPr>
            </w:pPr>
            <w:r>
              <w:rPr>
                <w:rFonts w:ascii="Arial" w:cs="Arial" w:eastAsia="Arial" w:hAnsi="Arial"/>
                <w:sz w:val="16"/>
                <w:szCs w:val="16"/>
                <w:color w:val="auto"/>
              </w:rPr>
              <w:t>excluding goodwill impairment charge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23.2 %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15.8 %</w:t>
            </w:r>
          </w:p>
        </w:tc>
      </w:tr>
      <w:tr>
        <w:trPr>
          <w:trHeight w:val="231"/>
        </w:trPr>
        <w:tc>
          <w:tcPr>
            <w:tcW w:w="54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Goodwill impairment charge (b)</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gridSpan w:val="3"/>
            <w:shd w:val="clear" w:color="auto" w:fill="CFF0FC"/>
          </w:tcPr>
          <w:p>
            <w:pPr>
              <w:ind w:left="620"/>
              <w:spacing w:after="0"/>
              <w:rPr>
                <w:sz w:val="20"/>
                <w:szCs w:val="20"/>
                <w:color w:val="auto"/>
              </w:rPr>
            </w:pPr>
            <w:r>
              <w:rPr>
                <w:rFonts w:ascii="Arial" w:cs="Arial" w:eastAsia="Arial" w:hAnsi="Arial"/>
                <w:sz w:val="16"/>
                <w:szCs w:val="16"/>
                <w:color w:val="auto"/>
              </w:rPr>
              <w:t>N/A</w:t>
            </w:r>
          </w:p>
        </w:tc>
        <w:tc>
          <w:tcPr>
            <w:tcW w:w="11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N/A</w:t>
            </w:r>
          </w:p>
        </w:tc>
      </w:tr>
      <w:tr>
        <w:trPr>
          <w:trHeight w:val="211"/>
        </w:trPr>
        <w:tc>
          <w:tcPr>
            <w:tcW w:w="540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10.1 %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3.4 %</w:t>
            </w:r>
          </w:p>
        </w:tc>
      </w:tr>
      <w:tr>
        <w:trPr>
          <w:trHeight w:val="231"/>
        </w:trPr>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Operating profit (loss)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(50.0 )</w:t>
            </w:r>
          </w:p>
        </w:tc>
        <w:tc>
          <w:tcPr>
            <w:tcW w:w="2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ind w:left="62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N/A</w:t>
            </w:r>
          </w:p>
        </w:tc>
      </w:tr>
      <w:tr>
        <w:trPr>
          <w:trHeight w:val="224"/>
        </w:trPr>
        <w:tc>
          <w:tcPr>
            <w:tcW w:w="540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-50.9 %</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7"/>
        </w:trPr>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Earnings (loss) before income taxes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(55.8 )</w:t>
            </w:r>
          </w:p>
        </w:tc>
        <w:tc>
          <w:tcPr>
            <w:tcW w:w="20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ind w:left="62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N/A</w:t>
            </w:r>
          </w:p>
        </w:tc>
      </w:tr>
      <w:tr>
        <w:trPr>
          <w:trHeight w:val="224"/>
        </w:trPr>
        <w:tc>
          <w:tcPr>
            <w:tcW w:w="54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549.2 %</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7"/>
        </w:trPr>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earnings (loss)</w:t>
            </w: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(64.4 )</w:t>
            </w:r>
          </w:p>
        </w:tc>
        <w:tc>
          <w:tcPr>
            <w:tcW w:w="2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ind w:left="62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N/A</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r>
        <w:trPr>
          <w:trHeight w:val="200"/>
        </w:trPr>
        <w:tc>
          <w:tcPr>
            <w:tcW w:w="5400" w:type="dxa"/>
            <w:vAlign w:val="bottom"/>
          </w:tcPr>
          <w:p>
            <w:pPr>
              <w:spacing w:after="0"/>
              <w:rPr>
                <w:sz w:val="20"/>
                <w:szCs w:val="20"/>
                <w:color w:val="auto"/>
              </w:rPr>
            </w:pPr>
            <w:r>
              <w:rPr>
                <w:rFonts w:ascii="Arial" w:cs="Arial" w:eastAsia="Arial" w:hAnsi="Arial"/>
                <w:sz w:val="16"/>
                <w:szCs w:val="16"/>
                <w:color w:val="auto"/>
              </w:rPr>
              <w:t>Net earnings (loss) per share - basic</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2.05</w:t>
            </w:r>
          </w:p>
        </w:tc>
        <w:tc>
          <w:tcPr>
            <w:tcW w:w="26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(1.11 )</w:t>
            </w:r>
          </w:p>
        </w:tc>
        <w:tc>
          <w:tcPr>
            <w:tcW w:w="200" w:type="dxa"/>
            <w:vAlign w:val="bottom"/>
          </w:tcPr>
          <w:p>
            <w:pPr>
              <w:spacing w:after="0"/>
              <w:rPr>
                <w:sz w:val="17"/>
                <w:szCs w:val="17"/>
                <w:color w:val="auto"/>
              </w:rPr>
            </w:pPr>
          </w:p>
        </w:tc>
        <w:tc>
          <w:tcPr>
            <w:tcW w:w="1500" w:type="dxa"/>
            <w:vAlign w:val="bottom"/>
            <w:gridSpan w:val="3"/>
          </w:tcPr>
          <w:p>
            <w:pPr>
              <w:ind w:left="620"/>
              <w:spacing w:after="0"/>
              <w:rPr>
                <w:sz w:val="20"/>
                <w:szCs w:val="20"/>
                <w:color w:val="auto"/>
              </w:rPr>
            </w:pPr>
            <w:r>
              <w:rPr>
                <w:rFonts w:ascii="Arial" w:cs="Arial" w:eastAsia="Arial" w:hAnsi="Arial"/>
                <w:sz w:val="16"/>
                <w:szCs w:val="16"/>
                <w:color w:val="auto"/>
              </w:rPr>
              <w:t>N/A</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40"/>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Net earnings (loss) per share - diluted</w:t>
            </w: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460" w:type="dxa"/>
            <w:vAlign w:val="bottom"/>
            <w:gridSpan w:val="2"/>
            <w:shd w:val="clear" w:color="auto" w:fill="CFF0FC"/>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(1.11 )</w:t>
            </w:r>
          </w:p>
        </w:tc>
        <w:tc>
          <w:tcPr>
            <w:tcW w:w="2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ind w:left="62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N/A</w:t>
            </w:r>
          </w:p>
        </w:tc>
      </w:tr>
      <w:tr>
        <w:trPr>
          <w:trHeight w:val="200"/>
        </w:trPr>
        <w:tc>
          <w:tcPr>
            <w:tcW w:w="540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Weighted average shares - basic</w:t>
            </w: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80" w:type="dxa"/>
            <w:vAlign w:val="bottom"/>
            <w:tcBorders>
              <w:top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-6.3 %</w:t>
            </w:r>
          </w:p>
        </w:tc>
        <w:tc>
          <w:tcPr>
            <w:tcW w:w="220" w:type="dxa"/>
            <w:vAlign w:val="bottom"/>
            <w:tcBorders>
              <w:top w:val="single" w:sz="8" w:color="CFF0FC"/>
            </w:tcBorders>
          </w:tcPr>
          <w:p>
            <w:pPr>
              <w:spacing w:after="0"/>
              <w:rPr>
                <w:sz w:val="17"/>
                <w:szCs w:val="17"/>
                <w:color w:val="auto"/>
              </w:rPr>
            </w:pPr>
          </w:p>
        </w:tc>
        <w:tc>
          <w:tcPr>
            <w:tcW w:w="88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58.2</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-4.9 %</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4227830</wp:posOffset>
            </wp:positionH>
            <wp:positionV relativeFrom="paragraph">
              <wp:posOffset>-1558925</wp:posOffset>
            </wp:positionV>
            <wp:extent cx="172720" cy="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-1558925</wp:posOffset>
            </wp:positionV>
            <wp:extent cx="165100" cy="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-682625</wp:posOffset>
            </wp:positionV>
            <wp:extent cx="1727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-668020</wp:posOffset>
            </wp:positionV>
            <wp:extent cx="1727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-682625</wp:posOffset>
            </wp:positionV>
            <wp:extent cx="1651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-668020</wp:posOffset>
            </wp:positionV>
            <wp:extent cx="1651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-352425</wp:posOffset>
            </wp:positionV>
            <wp:extent cx="1727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-337185</wp:posOffset>
            </wp:positionV>
            <wp:extent cx="1727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-352425</wp:posOffset>
            </wp:positionV>
            <wp:extent cx="1651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-337185</wp:posOffset>
            </wp:positionV>
            <wp:extent cx="1651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-21590</wp:posOffset>
            </wp:positionV>
            <wp:extent cx="1727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-6985</wp:posOffset>
            </wp:positionV>
            <wp:extent cx="1727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-21590</wp:posOffset>
            </wp:positionV>
            <wp:extent cx="1651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-6985</wp:posOffset>
            </wp:positionV>
            <wp:extent cx="1651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5100" cy="7620"/>
                    </a:xfrm>
                    <a:prstGeom prst="rect">
                      <a:avLst/>
                    </a:prstGeom>
                    <a:noFill/>
                  </pic:spPr>
                </pic:pic>
              </a:graphicData>
            </a:graphic>
          </wp:anchor>
        </w:drawing>
      </w:r>
    </w:p>
    <w:p>
      <w:pPr>
        <w:spacing w:after="0" w:line="180" w:lineRule="exact"/>
        <w:rPr>
          <w:sz w:val="20"/>
          <w:szCs w:val="20"/>
          <w:color w:val="auto"/>
        </w:rPr>
      </w:pPr>
    </w:p>
    <w:p>
      <w:pPr>
        <w:ind w:left="385" w:right="60" w:hanging="385"/>
        <w:spacing w:after="0" w:line="273" w:lineRule="auto"/>
        <w:tabs>
          <w:tab w:leader="none" w:pos="385"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$3.5 million and $2.8 million for the three months ended June 30, 2021 and 2020, respectively. These fees are primarily based on revenues generated by the franchise offices, which were $253.5 million and $128.1 million for the three months ended June 30, 2021 and 2020, respectively.</w:t>
      </w:r>
    </w:p>
    <w:p>
      <w:pPr>
        <w:spacing w:after="0" w:line="176" w:lineRule="exact"/>
        <w:rPr>
          <w:rFonts w:ascii="Arial" w:cs="Arial" w:eastAsia="Arial" w:hAnsi="Arial"/>
          <w:sz w:val="16"/>
          <w:szCs w:val="16"/>
          <w:color w:val="auto"/>
        </w:rPr>
      </w:pPr>
    </w:p>
    <w:p>
      <w:pPr>
        <w:ind w:left="385" w:hanging="385"/>
        <w:spacing w:after="0"/>
        <w:tabs>
          <w:tab w:leader="none" w:pos="38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goodwill impairment charge for the six months ended June 30, 2020 relates to our investment 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75" w:right="319" w:bottom="1440" w:gutter="0" w:footer="0" w:header="0"/>
        </w:sectPr>
      </w:pPr>
    </w:p>
    <w:bookmarkStart w:id="6" w:name="page7"/>
    <w:bookmarkEnd w:id="6"/>
    <w:p>
      <w:pPr>
        <w:jc w:val="center"/>
        <w:ind w:right="-5"/>
        <w:spacing w:after="0"/>
        <w:rPr>
          <w:sz w:val="20"/>
          <w:szCs w:val="20"/>
          <w:color w:val="auto"/>
        </w:rPr>
      </w:pPr>
      <w:r>
        <w:rPr>
          <w:rFonts w:ascii="Arial" w:cs="Arial" w:eastAsia="Arial" w:hAnsi="Arial"/>
          <w:sz w:val="16"/>
          <w:szCs w:val="16"/>
          <w:color w:val="auto"/>
        </w:rPr>
        <w:t>ManpowerGroup</w:t>
      </w:r>
    </w:p>
    <w:p>
      <w:pPr>
        <w:spacing w:after="0" w:line="5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Operating Unit Results</w:t>
      </w:r>
    </w:p>
    <w:p>
      <w:pPr>
        <w:spacing w:after="0" w:line="4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right="820"/>
              <w:spacing w:after="0"/>
              <w:rPr>
                <w:sz w:val="20"/>
                <w:szCs w:val="20"/>
                <w:color w:val="auto"/>
              </w:rPr>
            </w:pPr>
            <w:r>
              <w:rPr>
                <w:rFonts w:ascii="Arial" w:cs="Arial" w:eastAsia="Arial" w:hAnsi="Arial"/>
                <w:sz w:val="16"/>
                <w:szCs w:val="16"/>
                <w:b w:val="1"/>
                <w:bCs w:val="1"/>
                <w:color w:val="auto"/>
                <w:w w:val="89"/>
              </w:rPr>
              <w:t>Three Months Ended June 30</w:t>
            </w:r>
          </w:p>
        </w:tc>
        <w:tc>
          <w:tcPr>
            <w:tcW w:w="8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w w:val="91"/>
              </w:rPr>
              <w:t>% Variance</w:t>
            </w:r>
          </w:p>
        </w:tc>
        <w:tc>
          <w:tcPr>
            <w:tcW w:w="8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2"/>
              </w:rPr>
              <w:t>Amount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89"/>
              </w:rPr>
              <w:t>Constant</w:t>
            </w:r>
          </w:p>
        </w:tc>
      </w:tr>
      <w:tr>
        <w:trPr>
          <w:trHeight w:val="231"/>
        </w:trPr>
        <w:tc>
          <w:tcPr>
            <w:tcW w:w="5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8"/>
              </w:rPr>
              <w:t>Reported</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91"/>
              </w:rPr>
              <w:t>Currency</w:t>
            </w:r>
          </w:p>
        </w:tc>
        <w:tc>
          <w:tcPr>
            <w:tcW w:w="240" w:type="dxa"/>
            <w:vAlign w:val="bottom"/>
          </w:tcPr>
          <w:p>
            <w:pPr>
              <w:spacing w:after="0"/>
              <w:rPr>
                <w:sz w:val="20"/>
                <w:szCs w:val="20"/>
                <w:color w:val="auto"/>
              </w:rPr>
            </w:pPr>
          </w:p>
        </w:tc>
      </w:tr>
      <w:tr>
        <w:trPr>
          <w:trHeight w:val="21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center"/>
              <w:ind w:left="601"/>
              <w:spacing w:after="0"/>
              <w:rPr>
                <w:sz w:val="20"/>
                <w:szCs w:val="20"/>
                <w:color w:val="auto"/>
              </w:rPr>
            </w:pPr>
            <w:r>
              <w:rPr>
                <w:rFonts w:ascii="Arial" w:cs="Arial" w:eastAsia="Arial" w:hAnsi="Arial"/>
                <w:sz w:val="16"/>
                <w:szCs w:val="16"/>
                <w:color w:val="auto"/>
                <w:w w:val="90"/>
              </w:rPr>
              <w:t>(Unaudited)</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1"/>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18"/>
        </w:trPr>
        <w:tc>
          <w:tcPr>
            <w:tcW w:w="5400" w:type="dxa"/>
            <w:vAlign w:val="bottom"/>
          </w:tcPr>
          <w:p>
            <w:pPr>
              <w:ind w:left="220"/>
              <w:spacing w:after="0"/>
              <w:rPr>
                <w:sz w:val="20"/>
                <w:szCs w:val="20"/>
                <w:color w:val="auto"/>
              </w:rPr>
            </w:pPr>
            <w:r>
              <w:rPr>
                <w:rFonts w:ascii="Arial" w:cs="Arial" w:eastAsia="Arial" w:hAnsi="Arial"/>
                <w:sz w:val="16"/>
                <w:szCs w:val="16"/>
                <w:color w:val="auto"/>
              </w:rPr>
              <w:t>Americas: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1"/>
        </w:trPr>
        <w:tc>
          <w:tcPr>
            <w:tcW w:w="5400" w:type="dxa"/>
            <w:vAlign w:val="bottom"/>
            <w:shd w:val="clear" w:color="auto" w:fill="CFF0FC"/>
          </w:tcPr>
          <w:p>
            <w:pPr>
              <w:ind w:left="440"/>
              <w:spacing w:after="0"/>
              <w:rPr>
                <w:sz w:val="20"/>
                <w:szCs w:val="20"/>
                <w:color w:val="auto"/>
              </w:rPr>
            </w:pPr>
            <w:r>
              <w:rPr>
                <w:rFonts w:ascii="Arial" w:cs="Arial" w:eastAsia="Arial" w:hAnsi="Arial"/>
                <w:sz w:val="16"/>
                <w:szCs w:val="16"/>
                <w:color w:val="auto"/>
              </w:rPr>
              <w:t>United States (a)</w:t>
            </w: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21.9 %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21.9 %</w:t>
            </w:r>
          </w:p>
        </w:tc>
      </w:tr>
      <w:tr>
        <w:trPr>
          <w:trHeight w:val="224"/>
        </w:trPr>
        <w:tc>
          <w:tcPr>
            <w:tcW w:w="5400" w:type="dxa"/>
            <w:vAlign w:val="bottom"/>
          </w:tcPr>
          <w:p>
            <w:pPr>
              <w:ind w:left="440"/>
              <w:spacing w:after="0"/>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415.5</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29.6 %</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24.3 %</w:t>
            </w:r>
          </w:p>
        </w:tc>
      </w:tr>
      <w:tr>
        <w:trPr>
          <w:trHeight w:val="217"/>
        </w:trPr>
        <w:tc>
          <w:tcPr>
            <w:tcW w:w="54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1,044.3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24.8 %</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22.8 %</w:t>
            </w:r>
          </w:p>
        </w:tc>
      </w:tr>
      <w:tr>
        <w:trPr>
          <w:trHeight w:val="211"/>
        </w:trPr>
        <w:tc>
          <w:tcPr>
            <w:tcW w:w="5400" w:type="dxa"/>
            <w:vAlign w:val="bottom"/>
          </w:tcPr>
          <w:p>
            <w:pPr>
              <w:ind w:left="220"/>
              <w:spacing w:after="0"/>
              <w:rPr>
                <w:sz w:val="20"/>
                <w:szCs w:val="20"/>
                <w:color w:val="auto"/>
              </w:rPr>
            </w:pPr>
            <w:r>
              <w:rPr>
                <w:rFonts w:ascii="Arial" w:cs="Arial" w:eastAsia="Arial" w:hAnsi="Arial"/>
                <w:sz w:val="16"/>
                <w:szCs w:val="16"/>
                <w:color w:val="auto"/>
              </w:rPr>
              <w:t>Southern Europe: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1"/>
        </w:trPr>
        <w:tc>
          <w:tcPr>
            <w:tcW w:w="5400" w:type="dxa"/>
            <w:vAlign w:val="bottom"/>
            <w:shd w:val="clear" w:color="auto" w:fill="CFF0FC"/>
          </w:tcPr>
          <w:p>
            <w:pPr>
              <w:ind w:left="440"/>
              <w:spacing w:after="0"/>
              <w:rPr>
                <w:sz w:val="20"/>
                <w:szCs w:val="20"/>
                <w:color w:val="auto"/>
              </w:rPr>
            </w:pPr>
            <w:r>
              <w:rPr>
                <w:rFonts w:ascii="Arial" w:cs="Arial" w:eastAsia="Arial" w:hAnsi="Arial"/>
                <w:sz w:val="16"/>
                <w:szCs w:val="16"/>
                <w:color w:val="auto"/>
              </w:rPr>
              <w:t>France</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1,346.8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83.0 %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67.3 %</w:t>
            </w:r>
          </w:p>
        </w:tc>
      </w:tr>
      <w:tr>
        <w:trPr>
          <w:trHeight w:val="218"/>
        </w:trPr>
        <w:tc>
          <w:tcPr>
            <w:tcW w:w="5400" w:type="dxa"/>
            <w:vAlign w:val="bottom"/>
          </w:tcPr>
          <w:p>
            <w:pPr>
              <w:ind w:left="440"/>
              <w:spacing w:after="0"/>
              <w:rPr>
                <w:sz w:val="20"/>
                <w:szCs w:val="20"/>
                <w:color w:val="auto"/>
              </w:rPr>
            </w:pPr>
            <w:r>
              <w:rPr>
                <w:rFonts w:ascii="Arial" w:cs="Arial" w:eastAsia="Arial" w:hAnsi="Arial"/>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74.7 %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59.6 %</w:t>
            </w:r>
          </w:p>
        </w:tc>
      </w:tr>
      <w:tr>
        <w:trPr>
          <w:trHeight w:val="231"/>
        </w:trPr>
        <w:tc>
          <w:tcPr>
            <w:tcW w:w="54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606.5</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466.3</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30.1 %</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20.4 %</w:t>
            </w:r>
          </w:p>
        </w:tc>
      </w:tr>
      <w:tr>
        <w:trPr>
          <w:trHeight w:val="217"/>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2,422.4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64.7 %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51.0 %</w:t>
            </w:r>
          </w:p>
        </w:tc>
      </w:tr>
      <w:tr>
        <w:trPr>
          <w:trHeight w:val="217"/>
        </w:trPr>
        <w:tc>
          <w:tcPr>
            <w:tcW w:w="54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Northern Europe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1,190.5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37.5 %</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23.1 %</w:t>
            </w:r>
          </w:p>
        </w:tc>
      </w:tr>
      <w:tr>
        <w:trPr>
          <w:trHeight w:val="224"/>
        </w:trPr>
        <w:tc>
          <w:tcPr>
            <w:tcW w:w="5400" w:type="dxa"/>
            <w:vAlign w:val="bottom"/>
          </w:tcPr>
          <w:p>
            <w:pPr>
              <w:ind w:left="220"/>
              <w:spacing w:after="0"/>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619.9</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8.9 %</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5.5 %</w:t>
            </w:r>
          </w:p>
        </w:tc>
      </w:tr>
      <w:tr>
        <w:trPr>
          <w:trHeight w:val="257"/>
        </w:trPr>
        <w:tc>
          <w:tcPr>
            <w:tcW w:w="54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5,277.1</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3,742.2</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41.0 %</w:t>
            </w: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31.3 %</w:t>
            </w:r>
          </w:p>
        </w:tc>
      </w:tr>
      <w:tr>
        <w:trPr>
          <w:trHeight w:val="194"/>
        </w:trPr>
        <w:tc>
          <w:tcPr>
            <w:tcW w:w="5400" w:type="dxa"/>
            <w:vAlign w:val="bottom"/>
          </w:tcPr>
          <w:p>
            <w:pPr>
              <w:spacing w:after="0"/>
              <w:rPr>
                <w:sz w:val="20"/>
                <w:szCs w:val="20"/>
                <w:color w:val="auto"/>
              </w:rPr>
            </w:pPr>
            <w:r>
              <w:rPr>
                <w:rFonts w:ascii="Arial" w:cs="Arial" w:eastAsia="Arial" w:hAnsi="Arial"/>
                <w:sz w:val="16"/>
                <w:szCs w:val="16"/>
                <w:color w:val="auto"/>
              </w:rPr>
              <w:t>Operating Unit Profit:</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1"/>
        </w:trPr>
        <w:tc>
          <w:tcPr>
            <w:tcW w:w="54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Americas: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18"/>
        </w:trPr>
        <w:tc>
          <w:tcPr>
            <w:tcW w:w="5400" w:type="dxa"/>
            <w:vAlign w:val="bottom"/>
          </w:tcPr>
          <w:p>
            <w:pPr>
              <w:ind w:left="44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38.0</w:t>
            </w:r>
          </w:p>
        </w:tc>
        <w:tc>
          <w:tcPr>
            <w:tcW w:w="2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311.7 %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311.7 %</w:t>
            </w:r>
          </w:p>
        </w:tc>
      </w:tr>
      <w:tr>
        <w:trPr>
          <w:trHeight w:val="231"/>
        </w:trPr>
        <w:tc>
          <w:tcPr>
            <w:tcW w:w="54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71.9 %</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68.1 %</w:t>
            </w:r>
          </w:p>
        </w:tc>
      </w:tr>
      <w:tr>
        <w:trPr>
          <w:trHeight w:val="217"/>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184.2 %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182.2 %</w:t>
            </w:r>
          </w:p>
        </w:tc>
      </w:tr>
      <w:tr>
        <w:trPr>
          <w:trHeight w:val="217"/>
        </w:trPr>
        <w:tc>
          <w:tcPr>
            <w:tcW w:w="54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Southern Europe: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8"/>
        </w:trPr>
        <w:tc>
          <w:tcPr>
            <w:tcW w:w="5400" w:type="dxa"/>
            <w:vAlign w:val="bottom"/>
          </w:tcPr>
          <w:p>
            <w:pPr>
              <w:ind w:left="440"/>
              <w:spacing w:after="0"/>
              <w:rPr>
                <w:sz w:val="20"/>
                <w:szCs w:val="20"/>
                <w:color w:val="auto"/>
              </w:rPr>
            </w:pPr>
            <w:r>
              <w:rPr>
                <w:rFonts w:ascii="Arial" w:cs="Arial" w:eastAsia="Arial" w:hAnsi="Arial"/>
                <w:sz w:val="16"/>
                <w:szCs w:val="16"/>
                <w:color w:val="auto"/>
              </w:rPr>
              <w:t>France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(2.5 )</w:t>
            </w:r>
          </w:p>
        </w:tc>
        <w:tc>
          <w:tcPr>
            <w:tcW w:w="200" w:type="dxa"/>
            <w:vAlign w:val="bottom"/>
          </w:tcPr>
          <w:p>
            <w:pPr>
              <w:spacing w:after="0"/>
              <w:rPr>
                <w:sz w:val="18"/>
                <w:szCs w:val="18"/>
                <w:color w:val="auto"/>
              </w:rPr>
            </w:pPr>
          </w:p>
        </w:tc>
        <w:tc>
          <w:tcPr>
            <w:tcW w:w="1500" w:type="dxa"/>
            <w:vAlign w:val="bottom"/>
            <w:gridSpan w:val="3"/>
          </w:tcPr>
          <w:p>
            <w:pPr>
              <w:ind w:left="620"/>
              <w:spacing w:after="0"/>
              <w:rPr>
                <w:sz w:val="20"/>
                <w:szCs w:val="20"/>
                <w:color w:val="auto"/>
              </w:rPr>
            </w:pPr>
            <w:r>
              <w:rPr>
                <w:rFonts w:ascii="Arial" w:cs="Arial" w:eastAsia="Arial" w:hAnsi="Arial"/>
                <w:sz w:val="16"/>
                <w:szCs w:val="16"/>
                <w:color w:val="auto"/>
              </w:rPr>
              <w:t>N/A</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N/A</w:t>
            </w:r>
          </w:p>
        </w:tc>
      </w:tr>
      <w:tr>
        <w:trPr>
          <w:trHeight w:val="231"/>
        </w:trPr>
        <w:tc>
          <w:tcPr>
            <w:tcW w:w="5400" w:type="dxa"/>
            <w:vAlign w:val="bottom"/>
            <w:shd w:val="clear" w:color="auto" w:fill="CFF0FC"/>
          </w:tcPr>
          <w:p>
            <w:pPr>
              <w:ind w:left="440"/>
              <w:spacing w:after="0"/>
              <w:rPr>
                <w:sz w:val="20"/>
                <w:szCs w:val="20"/>
                <w:color w:val="auto"/>
              </w:rPr>
            </w:pPr>
            <w:r>
              <w:rPr>
                <w:rFonts w:ascii="Arial" w:cs="Arial" w:eastAsia="Arial" w:hAnsi="Arial"/>
                <w:sz w:val="16"/>
                <w:szCs w:val="16"/>
                <w:color w:val="auto"/>
              </w:rPr>
              <w:t>Italy</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187.5 %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162.8 %</w:t>
            </w:r>
          </w:p>
        </w:tc>
      </w:tr>
      <w:tr>
        <w:trPr>
          <w:trHeight w:val="224"/>
        </w:trPr>
        <w:tc>
          <w:tcPr>
            <w:tcW w:w="5400" w:type="dxa"/>
            <w:vAlign w:val="bottom"/>
          </w:tcPr>
          <w:p>
            <w:pPr>
              <w:ind w:left="440"/>
              <w:spacing w:after="0"/>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414.9 %</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380.3 %</w:t>
            </w:r>
          </w:p>
        </w:tc>
      </w:tr>
      <w:tr>
        <w:trPr>
          <w:trHeight w:val="217"/>
        </w:trPr>
        <w:tc>
          <w:tcPr>
            <w:tcW w:w="54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855.9 %</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776.5 %</w:t>
            </w:r>
          </w:p>
        </w:tc>
      </w:tr>
      <w:tr>
        <w:trPr>
          <w:trHeight w:val="211"/>
        </w:trPr>
        <w:tc>
          <w:tcPr>
            <w:tcW w:w="5400" w:type="dxa"/>
            <w:vAlign w:val="bottom"/>
          </w:tcPr>
          <w:p>
            <w:pPr>
              <w:ind w:left="220"/>
              <w:spacing w:after="0"/>
              <w:rPr>
                <w:sz w:val="20"/>
                <w:szCs w:val="20"/>
                <w:color w:val="auto"/>
              </w:rPr>
            </w:pPr>
            <w:r>
              <w:rPr>
                <w:rFonts w:ascii="Arial" w:cs="Arial" w:eastAsia="Arial" w:hAnsi="Arial"/>
                <w:sz w:val="16"/>
                <w:szCs w:val="16"/>
                <w:color w:val="auto"/>
              </w:rPr>
              <w:t>Northern Europe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5387.9 %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4768.1 %</w:t>
            </w:r>
          </w:p>
        </w:tc>
      </w:tr>
      <w:tr>
        <w:trPr>
          <w:trHeight w:val="231"/>
        </w:trPr>
        <w:tc>
          <w:tcPr>
            <w:tcW w:w="54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24.6 %</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23.1 %</w:t>
            </w:r>
          </w:p>
        </w:tc>
      </w:tr>
      <w:tr>
        <w:trPr>
          <w:trHeight w:val="211"/>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1"/>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Corporate expenses</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(37.3 )</w:t>
            </w: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(26.6 )</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18"/>
        </w:trPr>
        <w:tc>
          <w:tcPr>
            <w:tcW w:w="5400" w:type="dxa"/>
            <w:vAlign w:val="bottom"/>
          </w:tcPr>
          <w:p>
            <w:pPr>
              <w:spacing w:after="0"/>
              <w:rPr>
                <w:sz w:val="20"/>
                <w:szCs w:val="20"/>
                <w:color w:val="auto"/>
              </w:rPr>
            </w:pPr>
            <w:r>
              <w:rPr>
                <w:rFonts w:ascii="Arial" w:cs="Arial" w:eastAsia="Arial" w:hAnsi="Arial"/>
                <w:sz w:val="16"/>
                <w:szCs w:val="16"/>
                <w:color w:val="auto"/>
              </w:rPr>
              <w:t>Goodwill impairment charges</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(66.8 )</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5"/>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 amortization expense</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(4.3 )</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(6.7 )</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7"/>
        </w:trPr>
        <w:tc>
          <w:tcPr>
            <w:tcW w:w="5400" w:type="dxa"/>
            <w:vAlign w:val="bottom"/>
          </w:tcPr>
          <w:p>
            <w:pPr>
              <w:ind w:left="220"/>
              <w:spacing w:after="0"/>
              <w:rPr>
                <w:sz w:val="20"/>
                <w:szCs w:val="20"/>
                <w:color w:val="auto"/>
              </w:rPr>
            </w:pPr>
            <w:r>
              <w:rPr>
                <w:rFonts w:ascii="Arial" w:cs="Arial" w:eastAsia="Arial" w:hAnsi="Arial"/>
                <w:sz w:val="16"/>
                <w:szCs w:val="16"/>
                <w:color w:val="auto"/>
              </w:rPr>
              <w:t>Operating profit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(50.0 )</w:t>
            </w:r>
          </w:p>
        </w:tc>
        <w:tc>
          <w:tcPr>
            <w:tcW w:w="200" w:type="dxa"/>
            <w:vAlign w:val="bottom"/>
          </w:tcPr>
          <w:p>
            <w:pPr>
              <w:spacing w:after="0"/>
              <w:rPr>
                <w:sz w:val="18"/>
                <w:szCs w:val="18"/>
                <w:color w:val="auto"/>
              </w:rPr>
            </w:pPr>
          </w:p>
        </w:tc>
        <w:tc>
          <w:tcPr>
            <w:tcW w:w="1500" w:type="dxa"/>
            <w:vAlign w:val="bottom"/>
            <w:gridSpan w:val="3"/>
          </w:tcPr>
          <w:p>
            <w:pPr>
              <w:ind w:left="620"/>
              <w:spacing w:after="0"/>
              <w:rPr>
                <w:sz w:val="20"/>
                <w:szCs w:val="20"/>
                <w:color w:val="auto"/>
              </w:rPr>
            </w:pPr>
            <w:r>
              <w:rPr>
                <w:rFonts w:ascii="Arial" w:cs="Arial" w:eastAsia="Arial" w:hAnsi="Arial"/>
                <w:sz w:val="16"/>
                <w:szCs w:val="16"/>
                <w:color w:val="auto"/>
              </w:rPr>
              <w:t>N/A</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N/A</w:t>
            </w:r>
          </w:p>
        </w:tc>
      </w:tr>
      <w:tr>
        <w:trPr>
          <w:trHeight w:val="225"/>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Interest and other expenses, net (b)</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(2.8 )</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(5.8 )</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7"/>
        </w:trPr>
        <w:tc>
          <w:tcPr>
            <w:tcW w:w="5400" w:type="dxa"/>
            <w:vAlign w:val="bottom"/>
          </w:tcPr>
          <w:p>
            <w:pPr>
              <w:ind w:left="220"/>
              <w:spacing w:after="0"/>
              <w:rPr>
                <w:sz w:val="20"/>
                <w:szCs w:val="20"/>
                <w:color w:val="auto"/>
              </w:rPr>
            </w:pPr>
            <w:r>
              <w:rPr>
                <w:rFonts w:ascii="Arial" w:cs="Arial" w:eastAsia="Arial" w:hAnsi="Arial"/>
                <w:sz w:val="16"/>
                <w:szCs w:val="16"/>
                <w:color w:val="auto"/>
              </w:rPr>
              <w:t>Earnings before income taxes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167.1</w:t>
            </w:r>
          </w:p>
        </w:tc>
        <w:tc>
          <w:tcPr>
            <w:tcW w:w="26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(55.8 )</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4228465</wp:posOffset>
            </wp:positionH>
            <wp:positionV relativeFrom="paragraph">
              <wp:posOffset>-3977005</wp:posOffset>
            </wp:positionV>
            <wp:extent cx="172720" cy="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-3977005</wp:posOffset>
            </wp:positionV>
            <wp:extent cx="165100" cy="5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-3398520</wp:posOffset>
            </wp:positionV>
            <wp:extent cx="172720" cy="5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-3398520</wp:posOffset>
            </wp:positionV>
            <wp:extent cx="165100" cy="5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-2807970</wp:posOffset>
            </wp:positionV>
            <wp:extent cx="17272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-2792730</wp:posOffset>
            </wp:positionV>
            <wp:extent cx="17272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-2807970</wp:posOffset>
            </wp:positionV>
            <wp:extent cx="1651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-2792730</wp:posOffset>
            </wp:positionV>
            <wp:extent cx="1651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-2212340</wp:posOffset>
            </wp:positionV>
            <wp:extent cx="172720" cy="5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-2212340</wp:posOffset>
            </wp:positionV>
            <wp:extent cx="165100" cy="5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-1333500</wp:posOffset>
            </wp:positionV>
            <wp:extent cx="172720" cy="5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-1333500</wp:posOffset>
            </wp:positionV>
            <wp:extent cx="165100" cy="5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-1040765</wp:posOffset>
            </wp:positionV>
            <wp:extent cx="172720" cy="5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-1040765</wp:posOffset>
            </wp:positionV>
            <wp:extent cx="165100" cy="5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-462280</wp:posOffset>
            </wp:positionV>
            <wp:extent cx="172720" cy="5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-462280</wp:posOffset>
            </wp:positionV>
            <wp:extent cx="165100" cy="5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-169545</wp:posOffset>
            </wp:positionV>
            <wp:extent cx="172720" cy="5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-169545</wp:posOffset>
            </wp:positionV>
            <wp:extent cx="165100" cy="5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5100" cy="5080"/>
                    </a:xfrm>
                    <a:prstGeom prst="rect">
                      <a:avLst/>
                    </a:prstGeom>
                    <a:noFill/>
                  </pic:spPr>
                </pic:pic>
              </a:graphicData>
            </a:graphic>
          </wp:anchor>
        </w:drawing>
      </w:r>
    </w:p>
    <w:p>
      <w:pPr>
        <w:spacing w:after="0" w:line="180" w:lineRule="exact"/>
        <w:rPr>
          <w:sz w:val="20"/>
          <w:szCs w:val="20"/>
          <w:color w:val="auto"/>
        </w:rPr>
      </w:pPr>
    </w:p>
    <w:p>
      <w:pPr>
        <w:ind w:left="506" w:right="260" w:hanging="506"/>
        <w:spacing w:after="0" w:line="273" w:lineRule="auto"/>
        <w:tabs>
          <w:tab w:leader="none" w:pos="20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$3.0 million and $2.4 million for the three months ended June 30, 2021 and 2020, respectively. These fees are primarily based on revenues generated by the franchise offices, which were $114.6 million and $122.3 million for the three months ended June 30, 2021 and 2020, respectively.</w:t>
      </w:r>
    </w:p>
    <w:p>
      <w:pPr>
        <w:spacing w:after="0" w:line="306"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components of interest and other expenses, net were:</w:t>
      </w:r>
    </w:p>
    <w:p>
      <w:pPr>
        <w:spacing w:after="0" w:line="25"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7720" w:type="dxa"/>
            <w:vAlign w:val="bottom"/>
          </w:tcPr>
          <w:p>
            <w:pPr>
              <w:spacing w:after="0"/>
              <w:rPr>
                <w:sz w:val="18"/>
                <w:szCs w:val="18"/>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140" w:type="dxa"/>
            <w:vAlign w:val="bottom"/>
            <w:shd w:val="clear" w:color="auto" w:fill="CFF0FC"/>
          </w:tcPr>
          <w:p>
            <w:pPr>
              <w:jc w:val="right"/>
              <w:ind w:right="96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FF0FC"/>
          </w:tcPr>
          <w:p>
            <w:pPr>
              <w:spacing w:after="0"/>
              <w:rPr>
                <w:sz w:val="19"/>
                <w:szCs w:val="19"/>
                <w:color w:val="auto"/>
              </w:rPr>
            </w:pPr>
          </w:p>
        </w:tc>
      </w:tr>
      <w:tr>
        <w:trPr>
          <w:trHeight w:val="218"/>
        </w:trPr>
        <w:tc>
          <w:tcPr>
            <w:tcW w:w="7720" w:type="dxa"/>
            <w:vAlign w:val="bottom"/>
          </w:tcPr>
          <w:p>
            <w:pPr>
              <w:spacing w:after="0"/>
              <w:rPr>
                <w:sz w:val="20"/>
                <w:szCs w:val="20"/>
                <w:color w:val="auto"/>
              </w:rPr>
            </w:pPr>
            <w:r>
              <w:rPr>
                <w:rFonts w:ascii="Arial" w:cs="Arial" w:eastAsia="Arial" w:hAnsi="Arial"/>
                <w:sz w:val="16"/>
                <w:szCs w:val="16"/>
                <w:color w:val="auto"/>
              </w:rPr>
              <w:t>Interest income</w:t>
            </w:r>
          </w:p>
        </w:tc>
        <w:tc>
          <w:tcPr>
            <w:tcW w:w="1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(3.1 )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(3.1 )</w:t>
            </w:r>
          </w:p>
        </w:tc>
      </w:tr>
      <w:tr>
        <w:trPr>
          <w:trHeight w:val="231"/>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loss</w:t>
            </w: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spacing w:after="0"/>
              <w:rPr>
                <w:sz w:val="20"/>
                <w:szCs w:val="20"/>
                <w:color w:val="auto"/>
              </w:rPr>
            </w:pPr>
            <w:r>
              <w:rPr>
                <w:rFonts w:ascii="Arial" w:cs="Arial" w:eastAsia="Arial" w:hAnsi="Arial"/>
                <w:sz w:val="16"/>
                <w:szCs w:val="16"/>
                <w:color w:val="auto"/>
              </w:rPr>
              <w:t>Miscellaneous income</w:t>
            </w:r>
          </w:p>
        </w:tc>
        <w:tc>
          <w:tcPr>
            <w:tcW w:w="11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(4.4 )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(2.0 )</w:t>
            </w:r>
          </w:p>
        </w:tc>
      </w:tr>
      <w:tr>
        <w:trPr>
          <w:trHeight w:val="257"/>
        </w:trPr>
        <w:tc>
          <w:tcPr>
            <w:tcW w:w="77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top w:val="single" w:sz="8" w:color="auto"/>
              <w:bottom w:val="single" w:sz="8" w:color="auto"/>
            </w:tcBorders>
            <w:shd w:val="clear" w:color="auto" w:fill="CFF0FC"/>
          </w:tcPr>
          <w:p>
            <w:pPr>
              <w:jc w:val="right"/>
              <w:ind w:right="96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719"/>
        </w:trPr>
        <w:tc>
          <w:tcPr>
            <w:tcW w:w="77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5910580</wp:posOffset>
            </wp:positionH>
            <wp:positionV relativeFrom="paragraph">
              <wp:posOffset>-502285</wp:posOffset>
            </wp:positionV>
            <wp:extent cx="18796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7960" cy="7620"/>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-487680</wp:posOffset>
            </wp:positionV>
            <wp:extent cx="18796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796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-502285</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-487680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6"/>
          </w:cols>
          <w:pgMar w:left="314" w:top="375" w:right="319" w:bottom="1440" w:gutter="0" w:footer="0" w:header="0"/>
        </w:sectPr>
      </w:pPr>
    </w:p>
    <w:bookmarkStart w:id="7" w:name="page8"/>
    <w:bookmarkEnd w:id="7"/>
    <w:p>
      <w:pPr>
        <w:jc w:val="center"/>
        <w:ind w:right="-4"/>
        <w:spacing w:after="0"/>
        <w:rPr>
          <w:sz w:val="20"/>
          <w:szCs w:val="20"/>
          <w:color w:val="auto"/>
        </w:rPr>
      </w:pPr>
      <w:r>
        <w:rPr>
          <w:rFonts w:ascii="Arial" w:cs="Arial" w:eastAsia="Arial" w:hAnsi="Arial"/>
          <w:sz w:val="16"/>
          <w:szCs w:val="16"/>
          <w:color w:val="auto"/>
        </w:rPr>
        <w:t>ManpowerGroup</w:t>
      </w:r>
    </w:p>
    <w:p>
      <w:pPr>
        <w:spacing w:after="0" w:line="1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spacing w:after="0" w:line="1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261"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right="860"/>
              <w:spacing w:after="0"/>
              <w:rPr>
                <w:sz w:val="20"/>
                <w:szCs w:val="20"/>
                <w:color w:val="auto"/>
              </w:rPr>
            </w:pPr>
            <w:r>
              <w:rPr>
                <w:rFonts w:ascii="Arial" w:cs="Arial" w:eastAsia="Arial" w:hAnsi="Arial"/>
                <w:sz w:val="16"/>
                <w:szCs w:val="16"/>
                <w:b w:val="1"/>
                <w:bCs w:val="1"/>
                <w:color w:val="auto"/>
                <w:w w:val="88"/>
              </w:rPr>
              <w:t>Six Months Ended June 30</w:t>
            </w:r>
          </w:p>
        </w:tc>
        <w:tc>
          <w:tcPr>
            <w:tcW w:w="8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w w:val="91"/>
              </w:rPr>
              <w:t>% Variance</w:t>
            </w:r>
          </w:p>
        </w:tc>
        <w:tc>
          <w:tcPr>
            <w:tcW w:w="8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89"/>
              </w:rPr>
              <w:t>Constant</w:t>
            </w:r>
          </w:p>
        </w:tc>
      </w:tr>
      <w:tr>
        <w:trPr>
          <w:trHeight w:val="231"/>
        </w:trPr>
        <w:tc>
          <w:tcPr>
            <w:tcW w:w="5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Reported</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91"/>
              </w:rPr>
              <w:t>Currency</w:t>
            </w:r>
          </w:p>
        </w:tc>
        <w:tc>
          <w:tcPr>
            <w:tcW w:w="240" w:type="dxa"/>
            <w:vAlign w:val="bottom"/>
          </w:tcPr>
          <w:p>
            <w:pPr>
              <w:spacing w:after="0"/>
              <w:rPr>
                <w:sz w:val="20"/>
                <w:szCs w:val="20"/>
                <w:color w:val="auto"/>
              </w:rPr>
            </w:pPr>
          </w:p>
        </w:tc>
      </w:tr>
      <w:tr>
        <w:trPr>
          <w:trHeight w:val="21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561"/>
              <w:spacing w:after="0"/>
              <w:rPr>
                <w:sz w:val="20"/>
                <w:szCs w:val="20"/>
                <w:color w:val="auto"/>
              </w:rPr>
            </w:pPr>
            <w:r>
              <w:rPr>
                <w:rFonts w:ascii="Arial" w:cs="Arial" w:eastAsia="Arial" w:hAnsi="Arial"/>
                <w:sz w:val="16"/>
                <w:szCs w:val="16"/>
                <w:color w:val="auto"/>
                <w:w w:val="90"/>
              </w:rPr>
              <w:t>(Unaudited)</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1"/>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 (a)</w:t>
            </w: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10,201.5</w:t>
            </w:r>
          </w:p>
        </w:tc>
        <w:tc>
          <w:tcPr>
            <w:tcW w:w="50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8,361.3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22.0 %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14.4 %</w:t>
            </w:r>
          </w:p>
        </w:tc>
      </w:tr>
      <w:tr>
        <w:trPr>
          <w:trHeight w:val="224"/>
        </w:trPr>
        <w:tc>
          <w:tcPr>
            <w:tcW w:w="5400" w:type="dxa"/>
            <w:vAlign w:val="bottom"/>
          </w:tcPr>
          <w:p>
            <w:pPr>
              <w:spacing w:after="0"/>
              <w:rPr>
                <w:sz w:val="20"/>
                <w:szCs w:val="20"/>
                <w:color w:val="auto"/>
              </w:rPr>
            </w:pPr>
            <w:r>
              <w:rPr>
                <w:rFonts w:ascii="Arial" w:cs="Arial" w:eastAsia="Arial" w:hAnsi="Arial"/>
                <w:sz w:val="16"/>
                <w:szCs w:val="16"/>
                <w:color w:val="auto"/>
              </w:rPr>
              <w:t>Cost of 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8,573.3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21.4 %</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13.7 %</w:t>
            </w:r>
          </w:p>
        </w:tc>
      </w:tr>
      <w:tr>
        <w:trPr>
          <w:trHeight w:val="217"/>
        </w:trPr>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25.2 %</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17.9 %</w:t>
            </w:r>
          </w:p>
        </w:tc>
      </w:tr>
      <w:tr>
        <w:trPr>
          <w:trHeight w:val="212"/>
        </w:trPr>
        <w:tc>
          <w:tcPr>
            <w:tcW w:w="5400" w:type="dxa"/>
            <w:vAlign w:val="bottom"/>
          </w:tcPr>
          <w:p>
            <w:pPr>
              <w:ind w:left="80"/>
              <w:spacing w:after="0"/>
              <w:rPr>
                <w:sz w:val="20"/>
                <w:szCs w:val="20"/>
                <w:color w:val="auto"/>
              </w:rPr>
            </w:pPr>
            <w:r>
              <w:rPr>
                <w:rFonts w:ascii="Arial" w:cs="Arial" w:eastAsia="Arial" w:hAnsi="Arial"/>
                <w:sz w:val="16"/>
                <w:szCs w:val="16"/>
                <w:color w:val="auto"/>
              </w:rPr>
              <w:t>Selling and administrative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8"/>
        </w:trPr>
        <w:tc>
          <w:tcPr>
            <w:tcW w:w="5400" w:type="dxa"/>
            <w:vAlign w:val="bottom"/>
          </w:tcPr>
          <w:p>
            <w:pPr>
              <w:ind w:left="120"/>
              <w:spacing w:after="0"/>
              <w:rPr>
                <w:sz w:val="20"/>
                <w:szCs w:val="20"/>
                <w:color w:val="auto"/>
              </w:rPr>
            </w:pPr>
            <w:r>
              <w:rPr>
                <w:rFonts w:ascii="Arial" w:cs="Arial" w:eastAsia="Arial" w:hAnsi="Arial"/>
                <w:sz w:val="16"/>
                <w:szCs w:val="16"/>
                <w:color w:val="auto"/>
              </w:rPr>
              <w:t>excluding goodwill impairment charge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9.1 %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3.0 %</w:t>
            </w:r>
          </w:p>
        </w:tc>
      </w:tr>
      <w:tr>
        <w:trPr>
          <w:trHeight w:val="231"/>
        </w:trPr>
        <w:tc>
          <w:tcPr>
            <w:tcW w:w="54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Goodwill impairment charge (b)</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gridSpan w:val="3"/>
            <w:shd w:val="clear" w:color="auto" w:fill="CFF0FC"/>
          </w:tcPr>
          <w:p>
            <w:pPr>
              <w:ind w:left="620"/>
              <w:spacing w:after="0"/>
              <w:rPr>
                <w:sz w:val="20"/>
                <w:szCs w:val="20"/>
                <w:color w:val="auto"/>
              </w:rPr>
            </w:pPr>
            <w:r>
              <w:rPr>
                <w:rFonts w:ascii="Arial" w:cs="Arial" w:eastAsia="Arial" w:hAnsi="Arial"/>
                <w:sz w:val="16"/>
                <w:szCs w:val="16"/>
                <w:color w:val="auto"/>
              </w:rPr>
              <w:t>N/A</w:t>
            </w:r>
          </w:p>
        </w:tc>
        <w:tc>
          <w:tcPr>
            <w:tcW w:w="11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N/A</w:t>
            </w:r>
          </w:p>
        </w:tc>
      </w:tr>
      <w:tr>
        <w:trPr>
          <w:trHeight w:val="211"/>
        </w:trPr>
        <w:tc>
          <w:tcPr>
            <w:tcW w:w="540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3.6 %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-2.3 %</w:t>
            </w:r>
          </w:p>
        </w:tc>
      </w:tr>
      <w:tr>
        <w:trPr>
          <w:trHeight w:val="231"/>
        </w:trPr>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Operating profit (loss)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(12.3 )</w:t>
            </w:r>
          </w:p>
        </w:tc>
        <w:tc>
          <w:tcPr>
            <w:tcW w:w="2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ind w:left="62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N/A</w:t>
            </w:r>
          </w:p>
        </w:tc>
      </w:tr>
      <w:tr>
        <w:trPr>
          <w:trHeight w:val="224"/>
        </w:trPr>
        <w:tc>
          <w:tcPr>
            <w:tcW w:w="540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-68.6 %</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7"/>
        </w:trPr>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Earnings (loss) before income taxes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260.1</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(38.6 )</w:t>
            </w:r>
          </w:p>
        </w:tc>
        <w:tc>
          <w:tcPr>
            <w:tcW w:w="20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ind w:left="62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N/A</w:t>
            </w:r>
          </w:p>
        </w:tc>
      </w:tr>
      <w:tr>
        <w:trPr>
          <w:trHeight w:val="224"/>
        </w:trPr>
        <w:tc>
          <w:tcPr>
            <w:tcW w:w="54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258.9 %</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7"/>
        </w:trPr>
        <w:tc>
          <w:tcPr>
            <w:tcW w:w="540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earnings (loss)</w:t>
            </w: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(62.7 )</w:t>
            </w:r>
          </w:p>
        </w:tc>
        <w:tc>
          <w:tcPr>
            <w:tcW w:w="2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ind w:left="62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N/A</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r>
        <w:trPr>
          <w:trHeight w:val="200"/>
        </w:trPr>
        <w:tc>
          <w:tcPr>
            <w:tcW w:w="5400" w:type="dxa"/>
            <w:vAlign w:val="bottom"/>
          </w:tcPr>
          <w:p>
            <w:pPr>
              <w:spacing w:after="0"/>
              <w:rPr>
                <w:sz w:val="20"/>
                <w:szCs w:val="20"/>
                <w:color w:val="auto"/>
              </w:rPr>
            </w:pPr>
            <w:r>
              <w:rPr>
                <w:rFonts w:ascii="Arial" w:cs="Arial" w:eastAsia="Arial" w:hAnsi="Arial"/>
                <w:sz w:val="16"/>
                <w:szCs w:val="16"/>
                <w:color w:val="auto"/>
              </w:rPr>
              <w:t>Net earnings (loss) per share - basic</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3.17</w:t>
            </w:r>
          </w:p>
        </w:tc>
        <w:tc>
          <w:tcPr>
            <w:tcW w:w="26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(1.07 )</w:t>
            </w:r>
          </w:p>
        </w:tc>
        <w:tc>
          <w:tcPr>
            <w:tcW w:w="200" w:type="dxa"/>
            <w:vAlign w:val="bottom"/>
          </w:tcPr>
          <w:p>
            <w:pPr>
              <w:spacing w:after="0"/>
              <w:rPr>
                <w:sz w:val="17"/>
                <w:szCs w:val="17"/>
                <w:color w:val="auto"/>
              </w:rPr>
            </w:pPr>
          </w:p>
        </w:tc>
        <w:tc>
          <w:tcPr>
            <w:tcW w:w="1500" w:type="dxa"/>
            <w:vAlign w:val="bottom"/>
            <w:gridSpan w:val="3"/>
          </w:tcPr>
          <w:p>
            <w:pPr>
              <w:ind w:left="620"/>
              <w:spacing w:after="0"/>
              <w:rPr>
                <w:sz w:val="20"/>
                <w:szCs w:val="20"/>
                <w:color w:val="auto"/>
              </w:rPr>
            </w:pPr>
            <w:r>
              <w:rPr>
                <w:rFonts w:ascii="Arial" w:cs="Arial" w:eastAsia="Arial" w:hAnsi="Arial"/>
                <w:sz w:val="16"/>
                <w:szCs w:val="16"/>
                <w:color w:val="auto"/>
              </w:rPr>
              <w:t>N/A</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40"/>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Net earnings (loss) per share - diluted</w:t>
            </w: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w:t>
            </w:r>
          </w:p>
        </w:tc>
        <w:tc>
          <w:tcPr>
            <w:tcW w:w="500" w:type="dxa"/>
            <w:vAlign w:val="bottom"/>
            <w:gridSpan w:val="2"/>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(1.07 )</w:t>
            </w:r>
          </w:p>
        </w:tc>
        <w:tc>
          <w:tcPr>
            <w:tcW w:w="200" w:type="dxa"/>
            <w:vAlign w:val="bottom"/>
            <w:shd w:val="clear" w:color="auto" w:fill="CFF0FC"/>
          </w:tcPr>
          <w:p>
            <w:pPr>
              <w:spacing w:after="0"/>
              <w:rPr>
                <w:sz w:val="20"/>
                <w:szCs w:val="20"/>
                <w:color w:val="auto"/>
              </w:rPr>
            </w:pPr>
          </w:p>
        </w:tc>
        <w:tc>
          <w:tcPr>
            <w:tcW w:w="1500" w:type="dxa"/>
            <w:vAlign w:val="bottom"/>
            <w:gridSpan w:val="3"/>
            <w:shd w:val="clear" w:color="auto" w:fill="CFF0FC"/>
          </w:tcPr>
          <w:p>
            <w:pPr>
              <w:ind w:left="62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N/A</w:t>
            </w:r>
          </w:p>
        </w:tc>
      </w:tr>
      <w:tr>
        <w:trPr>
          <w:trHeight w:val="200"/>
        </w:trPr>
        <w:tc>
          <w:tcPr>
            <w:tcW w:w="540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Weighted average shares - basic</w:t>
            </w: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80" w:type="dxa"/>
            <w:vAlign w:val="bottom"/>
            <w:tcBorders>
              <w:top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-6.2 %</w:t>
            </w:r>
          </w:p>
        </w:tc>
        <w:tc>
          <w:tcPr>
            <w:tcW w:w="220" w:type="dxa"/>
            <w:vAlign w:val="bottom"/>
            <w:tcBorders>
              <w:top w:val="single" w:sz="8" w:color="CFF0FC"/>
            </w:tcBorders>
          </w:tcPr>
          <w:p>
            <w:pPr>
              <w:spacing w:after="0"/>
              <w:rPr>
                <w:sz w:val="17"/>
                <w:szCs w:val="17"/>
                <w:color w:val="auto"/>
              </w:rPr>
            </w:pPr>
          </w:p>
        </w:tc>
        <w:tc>
          <w:tcPr>
            <w:tcW w:w="88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55.5</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58.5</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-5.1 %</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4227830</wp:posOffset>
            </wp:positionH>
            <wp:positionV relativeFrom="paragraph">
              <wp:posOffset>-1558925</wp:posOffset>
            </wp:positionV>
            <wp:extent cx="172720" cy="50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-1558925</wp:posOffset>
            </wp:positionV>
            <wp:extent cx="165100" cy="5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-682625</wp:posOffset>
            </wp:positionV>
            <wp:extent cx="17272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-668020</wp:posOffset>
            </wp:positionV>
            <wp:extent cx="17272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-682625</wp:posOffset>
            </wp:positionV>
            <wp:extent cx="1651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-668020</wp:posOffset>
            </wp:positionV>
            <wp:extent cx="1651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-352425</wp:posOffset>
            </wp:positionV>
            <wp:extent cx="17272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-337185</wp:posOffset>
            </wp:positionV>
            <wp:extent cx="17272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-352425</wp:posOffset>
            </wp:positionV>
            <wp:extent cx="1651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-337185</wp:posOffset>
            </wp:positionV>
            <wp:extent cx="1651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-21590</wp:posOffset>
            </wp:positionV>
            <wp:extent cx="17272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-6985</wp:posOffset>
            </wp:positionV>
            <wp:extent cx="17272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-21590</wp:posOffset>
            </wp:positionV>
            <wp:extent cx="1651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-6985</wp:posOffset>
            </wp:positionV>
            <wp:extent cx="1651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5100" cy="7620"/>
                    </a:xfrm>
                    <a:prstGeom prst="rect">
                      <a:avLst/>
                    </a:prstGeom>
                    <a:noFill/>
                  </pic:spPr>
                </pic:pic>
              </a:graphicData>
            </a:graphic>
          </wp:anchor>
        </w:drawing>
      </w:r>
    </w:p>
    <w:p>
      <w:pPr>
        <w:spacing w:after="0" w:line="180" w:lineRule="exact"/>
        <w:rPr>
          <w:sz w:val="20"/>
          <w:szCs w:val="20"/>
          <w:color w:val="auto"/>
        </w:rPr>
      </w:pPr>
    </w:p>
    <w:p>
      <w:pPr>
        <w:ind w:left="385" w:right="200" w:hanging="385"/>
        <w:spacing w:after="0" w:line="273" w:lineRule="auto"/>
        <w:tabs>
          <w:tab w:leader="none" w:pos="38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$7.1 million and $6.1 million for the six months ended June 30, 2021 and 2020, respectively. These fees are primarily based on revenues generated by the franchise offices, which were $502.6 million and $210.4 million for the six months ended June 30, 2021 and 2020, respectively.</w:t>
      </w:r>
    </w:p>
    <w:p>
      <w:pPr>
        <w:spacing w:after="0" w:line="176" w:lineRule="exact"/>
        <w:rPr>
          <w:rFonts w:ascii="Arial" w:cs="Arial" w:eastAsia="Arial" w:hAnsi="Arial"/>
          <w:sz w:val="16"/>
          <w:szCs w:val="16"/>
          <w:color w:val="auto"/>
        </w:rPr>
      </w:pPr>
    </w:p>
    <w:p>
      <w:pPr>
        <w:ind w:left="385" w:hanging="385"/>
        <w:spacing w:after="0"/>
        <w:tabs>
          <w:tab w:leader="none" w:pos="38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goodwill impairment charge for the six months ended June 30, 2020 relates to our investment 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75" w:right="319" w:bottom="1440" w:gutter="0" w:footer="0" w:header="0"/>
        </w:sectPr>
      </w:pPr>
    </w:p>
    <w:bookmarkStart w:id="8" w:name="page9"/>
    <w:bookmarkEnd w:id="8"/>
    <w:p>
      <w:pPr>
        <w:jc w:val="center"/>
        <w:ind w:right="-5"/>
        <w:spacing w:after="0"/>
        <w:rPr>
          <w:sz w:val="20"/>
          <w:szCs w:val="20"/>
          <w:color w:val="auto"/>
        </w:rPr>
      </w:pPr>
      <w:r>
        <w:rPr>
          <w:rFonts w:ascii="Arial" w:cs="Arial" w:eastAsia="Arial" w:hAnsi="Arial"/>
          <w:sz w:val="16"/>
          <w:szCs w:val="16"/>
          <w:color w:val="auto"/>
        </w:rPr>
        <w:t>ManpowerGroup</w:t>
      </w:r>
    </w:p>
    <w:p>
      <w:pPr>
        <w:spacing w:after="0" w:line="5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Operating Unit Results</w:t>
      </w:r>
    </w:p>
    <w:p>
      <w:pPr>
        <w:spacing w:after="0" w:line="4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(In millions)</w:t>
      </w:r>
    </w:p>
    <w:p>
      <w:pPr>
        <w:spacing w:after="0" w:line="261"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right="860"/>
              <w:spacing w:after="0"/>
              <w:rPr>
                <w:sz w:val="20"/>
                <w:szCs w:val="20"/>
                <w:color w:val="auto"/>
              </w:rPr>
            </w:pPr>
            <w:r>
              <w:rPr>
                <w:rFonts w:ascii="Arial" w:cs="Arial" w:eastAsia="Arial" w:hAnsi="Arial"/>
                <w:sz w:val="16"/>
                <w:szCs w:val="16"/>
                <w:b w:val="1"/>
                <w:bCs w:val="1"/>
                <w:color w:val="auto"/>
                <w:w w:val="88"/>
              </w:rPr>
              <w:t>Six Months Ended June 30</w:t>
            </w:r>
          </w:p>
        </w:tc>
        <w:tc>
          <w:tcPr>
            <w:tcW w:w="8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w w:val="91"/>
              </w:rPr>
              <w:t>% Variance</w:t>
            </w:r>
          </w:p>
        </w:tc>
        <w:tc>
          <w:tcPr>
            <w:tcW w:w="8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2"/>
              </w:rPr>
              <w:t>Amount</w:t>
            </w: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89"/>
              </w:rPr>
              <w:t>Constant</w:t>
            </w:r>
          </w:p>
        </w:tc>
      </w:tr>
      <w:tr>
        <w:trPr>
          <w:trHeight w:val="231"/>
        </w:trPr>
        <w:tc>
          <w:tcPr>
            <w:tcW w:w="5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41"/>
              <w:spacing w:after="0"/>
              <w:rPr>
                <w:sz w:val="20"/>
                <w:szCs w:val="20"/>
                <w:color w:val="auto"/>
              </w:rPr>
            </w:pPr>
            <w:r>
              <w:rPr>
                <w:rFonts w:ascii="Arial" w:cs="Arial" w:eastAsia="Arial" w:hAnsi="Arial"/>
                <w:sz w:val="16"/>
                <w:szCs w:val="16"/>
                <w:b w:val="1"/>
                <w:bCs w:val="1"/>
                <w:color w:val="auto"/>
                <w:w w:val="88"/>
              </w:rPr>
              <w:t>Reported</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w w:val="91"/>
              </w:rPr>
              <w:t>Currency</w:t>
            </w:r>
          </w:p>
        </w:tc>
        <w:tc>
          <w:tcPr>
            <w:tcW w:w="240" w:type="dxa"/>
            <w:vAlign w:val="bottom"/>
          </w:tcPr>
          <w:p>
            <w:pPr>
              <w:spacing w:after="0"/>
              <w:rPr>
                <w:sz w:val="20"/>
                <w:szCs w:val="20"/>
                <w:color w:val="auto"/>
              </w:rPr>
            </w:pPr>
          </w:p>
        </w:tc>
      </w:tr>
      <w:tr>
        <w:trPr>
          <w:trHeight w:val="217"/>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561"/>
              <w:spacing w:after="0"/>
              <w:rPr>
                <w:sz w:val="20"/>
                <w:szCs w:val="20"/>
                <w:color w:val="auto"/>
              </w:rPr>
            </w:pPr>
            <w:r>
              <w:rPr>
                <w:rFonts w:ascii="Arial" w:cs="Arial" w:eastAsia="Arial" w:hAnsi="Arial"/>
                <w:sz w:val="16"/>
                <w:szCs w:val="16"/>
                <w:color w:val="auto"/>
                <w:w w:val="90"/>
              </w:rPr>
              <w:t>(Unaudited)</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1"/>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18"/>
        </w:trPr>
        <w:tc>
          <w:tcPr>
            <w:tcW w:w="5400" w:type="dxa"/>
            <w:vAlign w:val="bottom"/>
          </w:tcPr>
          <w:p>
            <w:pPr>
              <w:ind w:left="220"/>
              <w:spacing w:after="0"/>
              <w:rPr>
                <w:sz w:val="20"/>
                <w:szCs w:val="20"/>
                <w:color w:val="auto"/>
              </w:rPr>
            </w:pPr>
            <w:r>
              <w:rPr>
                <w:rFonts w:ascii="Arial" w:cs="Arial" w:eastAsia="Arial" w:hAnsi="Arial"/>
                <w:sz w:val="16"/>
                <w:szCs w:val="16"/>
                <w:color w:val="auto"/>
              </w:rPr>
              <w:t>Americas: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1"/>
        </w:trPr>
        <w:tc>
          <w:tcPr>
            <w:tcW w:w="5400" w:type="dxa"/>
            <w:vAlign w:val="bottom"/>
            <w:shd w:val="clear" w:color="auto" w:fill="CFF0FC"/>
          </w:tcPr>
          <w:p>
            <w:pPr>
              <w:ind w:left="440"/>
              <w:spacing w:after="0"/>
              <w:rPr>
                <w:sz w:val="20"/>
                <w:szCs w:val="20"/>
                <w:color w:val="auto"/>
              </w:rPr>
            </w:pPr>
            <w:r>
              <w:rPr>
                <w:rFonts w:ascii="Arial" w:cs="Arial" w:eastAsia="Arial" w:hAnsi="Arial"/>
                <w:sz w:val="16"/>
                <w:szCs w:val="16"/>
                <w:color w:val="auto"/>
              </w:rPr>
              <w:t>United States (a)</w:t>
            </w:r>
          </w:p>
        </w:tc>
        <w:tc>
          <w:tcPr>
            <w:tcW w:w="28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1,237.6</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1,126.8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9.8 %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9.8 %</w:t>
            </w:r>
          </w:p>
        </w:tc>
      </w:tr>
      <w:tr>
        <w:trPr>
          <w:trHeight w:val="224"/>
        </w:trPr>
        <w:tc>
          <w:tcPr>
            <w:tcW w:w="5400" w:type="dxa"/>
            <w:vAlign w:val="bottom"/>
          </w:tcPr>
          <w:p>
            <w:pPr>
              <w:ind w:left="440"/>
              <w:spacing w:after="0"/>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809.6</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12.3 %</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12.6 %</w:t>
            </w:r>
          </w:p>
        </w:tc>
      </w:tr>
      <w:tr>
        <w:trPr>
          <w:trHeight w:val="217"/>
        </w:trPr>
        <w:tc>
          <w:tcPr>
            <w:tcW w:w="54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2,047.2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1,847.6</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10.8 %</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10.9 %</w:t>
            </w:r>
          </w:p>
        </w:tc>
      </w:tr>
      <w:tr>
        <w:trPr>
          <w:trHeight w:val="211"/>
        </w:trPr>
        <w:tc>
          <w:tcPr>
            <w:tcW w:w="5400" w:type="dxa"/>
            <w:vAlign w:val="bottom"/>
          </w:tcPr>
          <w:p>
            <w:pPr>
              <w:ind w:left="220"/>
              <w:spacing w:after="0"/>
              <w:rPr>
                <w:sz w:val="20"/>
                <w:szCs w:val="20"/>
                <w:color w:val="auto"/>
              </w:rPr>
            </w:pPr>
            <w:r>
              <w:rPr>
                <w:rFonts w:ascii="Arial" w:cs="Arial" w:eastAsia="Arial" w:hAnsi="Arial"/>
                <w:sz w:val="16"/>
                <w:szCs w:val="16"/>
                <w:color w:val="auto"/>
              </w:rPr>
              <w:t>Southern Europe: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1"/>
        </w:trPr>
        <w:tc>
          <w:tcPr>
            <w:tcW w:w="5400" w:type="dxa"/>
            <w:vAlign w:val="bottom"/>
            <w:shd w:val="clear" w:color="auto" w:fill="CFF0FC"/>
          </w:tcPr>
          <w:p>
            <w:pPr>
              <w:ind w:left="440"/>
              <w:spacing w:after="0"/>
              <w:rPr>
                <w:sz w:val="20"/>
                <w:szCs w:val="20"/>
                <w:color w:val="auto"/>
              </w:rPr>
            </w:pPr>
            <w:r>
              <w:rPr>
                <w:rFonts w:ascii="Arial" w:cs="Arial" w:eastAsia="Arial" w:hAnsi="Arial"/>
                <w:sz w:val="16"/>
                <w:szCs w:val="16"/>
                <w:color w:val="auto"/>
              </w:rPr>
              <w:t>France</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2,535.7</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1,829.8</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38.6 %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26.8 %</w:t>
            </w:r>
          </w:p>
        </w:tc>
      </w:tr>
      <w:tr>
        <w:trPr>
          <w:trHeight w:val="218"/>
        </w:trPr>
        <w:tc>
          <w:tcPr>
            <w:tcW w:w="5400" w:type="dxa"/>
            <w:vAlign w:val="bottom"/>
          </w:tcPr>
          <w:p>
            <w:pPr>
              <w:ind w:left="440"/>
              <w:spacing w:after="0"/>
              <w:rPr>
                <w:sz w:val="20"/>
                <w:szCs w:val="20"/>
                <w:color w:val="auto"/>
              </w:rPr>
            </w:pPr>
            <w:r>
              <w:rPr>
                <w:rFonts w:ascii="Arial" w:cs="Arial" w:eastAsia="Arial" w:hAnsi="Arial"/>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46.2 %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33.7 %</w:t>
            </w:r>
          </w:p>
        </w:tc>
      </w:tr>
      <w:tr>
        <w:trPr>
          <w:trHeight w:val="231"/>
        </w:trPr>
        <w:tc>
          <w:tcPr>
            <w:tcW w:w="54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1,175.1</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989.5</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18.8 %</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10.0 %</w:t>
            </w:r>
          </w:p>
        </w:tc>
      </w:tr>
      <w:tr>
        <w:trPr>
          <w:trHeight w:val="217"/>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4,582.7</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34.2 %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23.1 %</w:t>
            </w:r>
          </w:p>
        </w:tc>
      </w:tr>
      <w:tr>
        <w:trPr>
          <w:trHeight w:val="217"/>
        </w:trPr>
        <w:tc>
          <w:tcPr>
            <w:tcW w:w="54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Northern Europe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2,324.3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1,934.2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20.2 %</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9.1 %</w:t>
            </w:r>
          </w:p>
        </w:tc>
      </w:tr>
      <w:tr>
        <w:trPr>
          <w:trHeight w:val="224"/>
        </w:trPr>
        <w:tc>
          <w:tcPr>
            <w:tcW w:w="5400" w:type="dxa"/>
            <w:vAlign w:val="bottom"/>
          </w:tcPr>
          <w:p>
            <w:pPr>
              <w:ind w:left="220"/>
              <w:spacing w:after="0"/>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7.2 %</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2.9 %</w:t>
            </w:r>
          </w:p>
        </w:tc>
      </w:tr>
      <w:tr>
        <w:trPr>
          <w:trHeight w:val="257"/>
        </w:trPr>
        <w:tc>
          <w:tcPr>
            <w:tcW w:w="54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10,201.5</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8,361.3</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22.0 %</w:t>
            </w: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14.4 %</w:t>
            </w:r>
          </w:p>
        </w:tc>
      </w:tr>
      <w:tr>
        <w:trPr>
          <w:trHeight w:val="194"/>
        </w:trPr>
        <w:tc>
          <w:tcPr>
            <w:tcW w:w="5400" w:type="dxa"/>
            <w:vAlign w:val="bottom"/>
          </w:tcPr>
          <w:p>
            <w:pPr>
              <w:spacing w:after="0"/>
              <w:rPr>
                <w:sz w:val="20"/>
                <w:szCs w:val="20"/>
                <w:color w:val="auto"/>
              </w:rPr>
            </w:pPr>
            <w:r>
              <w:rPr>
                <w:rFonts w:ascii="Arial" w:cs="Arial" w:eastAsia="Arial" w:hAnsi="Arial"/>
                <w:sz w:val="16"/>
                <w:szCs w:val="16"/>
                <w:color w:val="auto"/>
              </w:rPr>
              <w:t>Operating Unit Profit:</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31"/>
        </w:trPr>
        <w:tc>
          <w:tcPr>
            <w:tcW w:w="54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Americas: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18"/>
        </w:trPr>
        <w:tc>
          <w:tcPr>
            <w:tcW w:w="5400" w:type="dxa"/>
            <w:vAlign w:val="bottom"/>
          </w:tcPr>
          <w:p>
            <w:pPr>
              <w:ind w:left="44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67.2</w:t>
            </w:r>
          </w:p>
        </w:tc>
        <w:tc>
          <w:tcPr>
            <w:tcW w:w="26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482.5 %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482.5 %</w:t>
            </w:r>
          </w:p>
        </w:tc>
      </w:tr>
      <w:tr>
        <w:trPr>
          <w:trHeight w:val="231"/>
        </w:trPr>
        <w:tc>
          <w:tcPr>
            <w:tcW w:w="54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32.8 %</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33.9 %</w:t>
            </w:r>
          </w:p>
        </w:tc>
      </w:tr>
      <w:tr>
        <w:trPr>
          <w:trHeight w:val="217"/>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175.8 %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176.6 %</w:t>
            </w:r>
          </w:p>
        </w:tc>
      </w:tr>
      <w:tr>
        <w:trPr>
          <w:trHeight w:val="217"/>
        </w:trPr>
        <w:tc>
          <w:tcPr>
            <w:tcW w:w="54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Southern Europe: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8"/>
        </w:trPr>
        <w:tc>
          <w:tcPr>
            <w:tcW w:w="5400" w:type="dxa"/>
            <w:vAlign w:val="bottom"/>
          </w:tcPr>
          <w:p>
            <w:pPr>
              <w:ind w:left="440"/>
              <w:spacing w:after="0"/>
              <w:rPr>
                <w:sz w:val="20"/>
                <w:szCs w:val="20"/>
                <w:color w:val="auto"/>
              </w:rPr>
            </w:pPr>
            <w:r>
              <w:rPr>
                <w:rFonts w:ascii="Arial" w:cs="Arial" w:eastAsia="Arial" w:hAnsi="Arial"/>
                <w:sz w:val="16"/>
                <w:szCs w:val="16"/>
                <w:color w:val="auto"/>
              </w:rPr>
              <w:t>France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204.9 %</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179.1 %</w:t>
            </w:r>
          </w:p>
        </w:tc>
      </w:tr>
      <w:tr>
        <w:trPr>
          <w:trHeight w:val="231"/>
        </w:trPr>
        <w:tc>
          <w:tcPr>
            <w:tcW w:w="5400" w:type="dxa"/>
            <w:vAlign w:val="bottom"/>
            <w:shd w:val="clear" w:color="auto" w:fill="CFF0FC"/>
          </w:tcPr>
          <w:p>
            <w:pPr>
              <w:ind w:left="440"/>
              <w:spacing w:after="0"/>
              <w:rPr>
                <w:sz w:val="20"/>
                <w:szCs w:val="20"/>
                <w:color w:val="auto"/>
              </w:rPr>
            </w:pPr>
            <w:r>
              <w:rPr>
                <w:rFonts w:ascii="Arial" w:cs="Arial" w:eastAsia="Arial" w:hAnsi="Arial"/>
                <w:sz w:val="16"/>
                <w:szCs w:val="16"/>
                <w:color w:val="auto"/>
              </w:rPr>
              <w:t>Italy</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103.0 %</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85.7 %</w:t>
            </w:r>
          </w:p>
        </w:tc>
      </w:tr>
      <w:tr>
        <w:trPr>
          <w:trHeight w:val="224"/>
        </w:trPr>
        <w:tc>
          <w:tcPr>
            <w:tcW w:w="5400" w:type="dxa"/>
            <w:vAlign w:val="bottom"/>
          </w:tcPr>
          <w:p>
            <w:pPr>
              <w:ind w:left="440"/>
              <w:spacing w:after="0"/>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571.3 %</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525.5 %</w:t>
            </w:r>
          </w:p>
        </w:tc>
      </w:tr>
      <w:tr>
        <w:trPr>
          <w:trHeight w:val="217"/>
        </w:trPr>
        <w:tc>
          <w:tcPr>
            <w:tcW w:w="54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188.7</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190.1 %</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166.3 %</w:t>
            </w:r>
          </w:p>
        </w:tc>
      </w:tr>
      <w:tr>
        <w:trPr>
          <w:trHeight w:val="211"/>
        </w:trPr>
        <w:tc>
          <w:tcPr>
            <w:tcW w:w="5400" w:type="dxa"/>
            <w:vAlign w:val="bottom"/>
          </w:tcPr>
          <w:p>
            <w:pPr>
              <w:ind w:left="220"/>
              <w:spacing w:after="0"/>
              <w:rPr>
                <w:sz w:val="20"/>
                <w:szCs w:val="20"/>
                <w:color w:val="auto"/>
              </w:rPr>
            </w:pPr>
            <w:r>
              <w:rPr>
                <w:rFonts w:ascii="Arial" w:cs="Arial" w:eastAsia="Arial" w:hAnsi="Arial"/>
                <w:sz w:val="16"/>
                <w:szCs w:val="16"/>
                <w:color w:val="auto"/>
              </w:rPr>
              <w:t>Northern Europe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(13.8 )</w:t>
            </w:r>
          </w:p>
        </w:tc>
        <w:tc>
          <w:tcPr>
            <w:tcW w:w="200" w:type="dxa"/>
            <w:vAlign w:val="bottom"/>
          </w:tcPr>
          <w:p>
            <w:pPr>
              <w:spacing w:after="0"/>
              <w:rPr>
                <w:sz w:val="18"/>
                <w:szCs w:val="18"/>
                <w:color w:val="auto"/>
              </w:rPr>
            </w:pPr>
          </w:p>
        </w:tc>
        <w:tc>
          <w:tcPr>
            <w:tcW w:w="1500" w:type="dxa"/>
            <w:vAlign w:val="bottom"/>
            <w:gridSpan w:val="3"/>
          </w:tcPr>
          <w:p>
            <w:pPr>
              <w:ind w:left="620"/>
              <w:spacing w:after="0"/>
              <w:rPr>
                <w:sz w:val="20"/>
                <w:szCs w:val="20"/>
                <w:color w:val="auto"/>
              </w:rPr>
            </w:pPr>
            <w:r>
              <w:rPr>
                <w:rFonts w:ascii="Arial" w:cs="Arial" w:eastAsia="Arial" w:hAnsi="Arial"/>
                <w:sz w:val="16"/>
                <w:szCs w:val="16"/>
                <w:color w:val="auto"/>
              </w:rPr>
              <w:t>N/A</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N/A</w:t>
            </w:r>
          </w:p>
        </w:tc>
      </w:tr>
      <w:tr>
        <w:trPr>
          <w:trHeight w:val="231"/>
        </w:trPr>
        <w:tc>
          <w:tcPr>
            <w:tcW w:w="54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17.8 %</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15.6 %</w:t>
            </w:r>
          </w:p>
        </w:tc>
      </w:tr>
      <w:tr>
        <w:trPr>
          <w:trHeight w:val="211"/>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1"/>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Corporate expenses</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(74.5 )</w:t>
            </w:r>
          </w:p>
        </w:tc>
        <w:tc>
          <w:tcPr>
            <w:tcW w:w="2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(54.4 )</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r>
      <w:tr>
        <w:trPr>
          <w:trHeight w:val="218"/>
        </w:trPr>
        <w:tc>
          <w:tcPr>
            <w:tcW w:w="5400" w:type="dxa"/>
            <w:vAlign w:val="bottom"/>
          </w:tcPr>
          <w:p>
            <w:pPr>
              <w:spacing w:after="0"/>
              <w:rPr>
                <w:sz w:val="20"/>
                <w:szCs w:val="20"/>
                <w:color w:val="auto"/>
              </w:rPr>
            </w:pPr>
            <w:r>
              <w:rPr>
                <w:rFonts w:ascii="Arial" w:cs="Arial" w:eastAsia="Arial" w:hAnsi="Arial"/>
                <w:sz w:val="16"/>
                <w:szCs w:val="16"/>
                <w:color w:val="auto"/>
              </w:rPr>
              <w:t>Goodwill impairment charges</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(66.8 )</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5"/>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 amortization expense</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(9.8 )</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(13.6 )</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7"/>
        </w:trPr>
        <w:tc>
          <w:tcPr>
            <w:tcW w:w="5400" w:type="dxa"/>
            <w:vAlign w:val="bottom"/>
          </w:tcPr>
          <w:p>
            <w:pPr>
              <w:ind w:left="220"/>
              <w:spacing w:after="0"/>
              <w:rPr>
                <w:sz w:val="20"/>
                <w:szCs w:val="20"/>
                <w:color w:val="auto"/>
              </w:rPr>
            </w:pPr>
            <w:r>
              <w:rPr>
                <w:rFonts w:ascii="Arial" w:cs="Arial" w:eastAsia="Arial" w:hAnsi="Arial"/>
                <w:sz w:val="16"/>
                <w:szCs w:val="16"/>
                <w:color w:val="auto"/>
              </w:rPr>
              <w:t>Operating profit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268.3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(12.3 )</w:t>
            </w:r>
          </w:p>
        </w:tc>
        <w:tc>
          <w:tcPr>
            <w:tcW w:w="200" w:type="dxa"/>
            <w:vAlign w:val="bottom"/>
          </w:tcPr>
          <w:p>
            <w:pPr>
              <w:spacing w:after="0"/>
              <w:rPr>
                <w:sz w:val="18"/>
                <w:szCs w:val="18"/>
                <w:color w:val="auto"/>
              </w:rPr>
            </w:pPr>
          </w:p>
        </w:tc>
        <w:tc>
          <w:tcPr>
            <w:tcW w:w="1500" w:type="dxa"/>
            <w:vAlign w:val="bottom"/>
            <w:gridSpan w:val="3"/>
          </w:tcPr>
          <w:p>
            <w:pPr>
              <w:ind w:left="620"/>
              <w:spacing w:after="0"/>
              <w:rPr>
                <w:sz w:val="20"/>
                <w:szCs w:val="20"/>
                <w:color w:val="auto"/>
              </w:rPr>
            </w:pPr>
            <w:r>
              <w:rPr>
                <w:rFonts w:ascii="Arial" w:cs="Arial" w:eastAsia="Arial" w:hAnsi="Arial"/>
                <w:sz w:val="16"/>
                <w:szCs w:val="16"/>
                <w:color w:val="auto"/>
              </w:rPr>
              <w:t>N/A</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N/A</w:t>
            </w:r>
          </w:p>
        </w:tc>
      </w:tr>
      <w:tr>
        <w:trPr>
          <w:trHeight w:val="225"/>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Interest and other expenses, net (b)</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(8.2 )</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(26.3 )</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7"/>
        </w:trPr>
        <w:tc>
          <w:tcPr>
            <w:tcW w:w="5400" w:type="dxa"/>
            <w:vAlign w:val="bottom"/>
          </w:tcPr>
          <w:p>
            <w:pPr>
              <w:ind w:left="220"/>
              <w:spacing w:after="0"/>
              <w:rPr>
                <w:sz w:val="20"/>
                <w:szCs w:val="20"/>
                <w:color w:val="auto"/>
              </w:rPr>
            </w:pPr>
            <w:r>
              <w:rPr>
                <w:rFonts w:ascii="Arial" w:cs="Arial" w:eastAsia="Arial" w:hAnsi="Arial"/>
                <w:sz w:val="16"/>
                <w:szCs w:val="16"/>
                <w:color w:val="auto"/>
              </w:rPr>
              <w:t>Earnings before income taxes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260.1</w:t>
            </w:r>
          </w:p>
        </w:tc>
        <w:tc>
          <w:tcPr>
            <w:tcW w:w="26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(38.6 )</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4228465</wp:posOffset>
            </wp:positionH>
            <wp:positionV relativeFrom="paragraph">
              <wp:posOffset>-3977005</wp:posOffset>
            </wp:positionV>
            <wp:extent cx="172720" cy="5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-3977005</wp:posOffset>
            </wp:positionV>
            <wp:extent cx="165100" cy="50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-3398520</wp:posOffset>
            </wp:positionV>
            <wp:extent cx="172720" cy="5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-3398520</wp:posOffset>
            </wp:positionV>
            <wp:extent cx="165100" cy="5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-2807970</wp:posOffset>
            </wp:positionV>
            <wp:extent cx="17272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-2792730</wp:posOffset>
            </wp:positionV>
            <wp:extent cx="17272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-2807970</wp:posOffset>
            </wp:positionV>
            <wp:extent cx="1651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-2792730</wp:posOffset>
            </wp:positionV>
            <wp:extent cx="1651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-2212340</wp:posOffset>
            </wp:positionV>
            <wp:extent cx="172720" cy="50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-2212340</wp:posOffset>
            </wp:positionV>
            <wp:extent cx="165100" cy="50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-1333500</wp:posOffset>
            </wp:positionV>
            <wp:extent cx="172720" cy="50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-1333500</wp:posOffset>
            </wp:positionV>
            <wp:extent cx="165100" cy="5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-1040765</wp:posOffset>
            </wp:positionV>
            <wp:extent cx="172720" cy="50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-1040765</wp:posOffset>
            </wp:positionV>
            <wp:extent cx="165100" cy="5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-462280</wp:posOffset>
            </wp:positionV>
            <wp:extent cx="172720" cy="5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-462280</wp:posOffset>
            </wp:positionV>
            <wp:extent cx="165100" cy="5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-169545</wp:posOffset>
            </wp:positionV>
            <wp:extent cx="172720" cy="50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-169545</wp:posOffset>
            </wp:positionV>
            <wp:extent cx="165100" cy="5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5100" cy="5080"/>
                    </a:xfrm>
                    <a:prstGeom prst="rect">
                      <a:avLst/>
                    </a:prstGeom>
                    <a:noFill/>
                  </pic:spPr>
                </pic:pic>
              </a:graphicData>
            </a:graphic>
          </wp:anchor>
        </w:drawing>
      </w:r>
    </w:p>
    <w:p>
      <w:pPr>
        <w:spacing w:after="0" w:line="180" w:lineRule="exact"/>
        <w:rPr>
          <w:sz w:val="20"/>
          <w:szCs w:val="20"/>
          <w:color w:val="auto"/>
        </w:rPr>
      </w:pPr>
    </w:p>
    <w:p>
      <w:pPr>
        <w:ind w:left="506" w:right="40" w:hanging="506"/>
        <w:spacing w:after="0" w:line="273" w:lineRule="auto"/>
        <w:tabs>
          <w:tab w:leader="none" w:pos="209"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$6.1 million and $5.4 million for the six months ended June 30, 2021 and 2020, respectively. These fees are primarily based on revenues generated by the franchise offices, which were $232.1 million and $198.8 million for the six months ended June 30, 2021 and 2020, respectively.</w:t>
      </w:r>
    </w:p>
    <w:p>
      <w:pPr>
        <w:spacing w:after="0" w:line="306" w:lineRule="exact"/>
        <w:rPr>
          <w:rFonts w:ascii="Arial" w:cs="Arial" w:eastAsia="Arial" w:hAnsi="Arial"/>
          <w:sz w:val="16"/>
          <w:szCs w:val="16"/>
          <w:color w:val="auto"/>
        </w:rPr>
      </w:pPr>
    </w:p>
    <w:p>
      <w:pPr>
        <w:ind w:left="226" w:hanging="226"/>
        <w:spacing w:after="0"/>
        <w:tabs>
          <w:tab w:leader="none" w:pos="22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components of interest and other expenses, net were:</w:t>
      </w:r>
    </w:p>
    <w:p>
      <w:pPr>
        <w:spacing w:after="0" w:line="25"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7720" w:type="dxa"/>
            <w:vAlign w:val="bottom"/>
          </w:tcPr>
          <w:p>
            <w:pPr>
              <w:spacing w:after="0"/>
              <w:rPr>
                <w:sz w:val="18"/>
                <w:szCs w:val="18"/>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r>
      <w:tr>
        <w:trPr>
          <w:trHeight w:val="223"/>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Interest expense</w:t>
            </w:r>
          </w:p>
        </w:tc>
        <w:tc>
          <w:tcPr>
            <w:tcW w:w="1120" w:type="dxa"/>
            <w:vAlign w:val="bottom"/>
            <w:shd w:val="clear" w:color="auto" w:fill="CFF0FC"/>
          </w:tcPr>
          <w:p>
            <w:pPr>
              <w:jc w:val="right"/>
              <w:ind w:right="94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FF0FC"/>
          </w:tcPr>
          <w:p>
            <w:pPr>
              <w:spacing w:after="0"/>
              <w:rPr>
                <w:sz w:val="19"/>
                <w:szCs w:val="19"/>
                <w:color w:val="auto"/>
              </w:rPr>
            </w:pPr>
          </w:p>
        </w:tc>
      </w:tr>
      <w:tr>
        <w:trPr>
          <w:trHeight w:val="218"/>
        </w:trPr>
        <w:tc>
          <w:tcPr>
            <w:tcW w:w="772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1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(6.2 )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(6.8 )</w:t>
            </w:r>
          </w:p>
        </w:tc>
      </w:tr>
      <w:tr>
        <w:trPr>
          <w:trHeight w:val="231"/>
        </w:trPr>
        <w:tc>
          <w:tcPr>
            <w:tcW w:w="7720" w:type="dxa"/>
            <w:vAlign w:val="bottom"/>
            <w:shd w:val="clear" w:color="auto" w:fill="CFF0FC"/>
          </w:tcPr>
          <w:p>
            <w:pPr>
              <w:ind w:left="320"/>
              <w:spacing w:after="0"/>
              <w:rPr>
                <w:sz w:val="20"/>
                <w:szCs w:val="20"/>
                <w:color w:val="auto"/>
              </w:rPr>
            </w:pPr>
            <w:r>
              <w:rPr>
                <w:rFonts w:ascii="Arial" w:cs="Arial" w:eastAsia="Arial" w:hAnsi="Arial"/>
                <w:sz w:val="16"/>
                <w:szCs w:val="16"/>
                <w:color w:val="auto"/>
              </w:rPr>
              <w:t>Foreign exchange loss</w:t>
            </w:r>
          </w:p>
        </w:tc>
        <w:tc>
          <w:tcPr>
            <w:tcW w:w="11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320"/>
              <w:spacing w:after="0"/>
              <w:rPr>
                <w:sz w:val="20"/>
                <w:szCs w:val="20"/>
                <w:color w:val="auto"/>
              </w:rPr>
            </w:pPr>
            <w:r>
              <w:rPr>
                <w:rFonts w:ascii="Arial" w:cs="Arial" w:eastAsia="Arial" w:hAnsi="Arial"/>
                <w:sz w:val="16"/>
                <w:szCs w:val="16"/>
                <w:color w:val="auto"/>
              </w:rPr>
              <w:t>Miscellaneous (income) expense</w:t>
            </w:r>
          </w:p>
        </w:tc>
        <w:tc>
          <w:tcPr>
            <w:tcW w:w="1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(8.6 )</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r>
      <w:tr>
        <w:trPr>
          <w:trHeight w:val="257"/>
        </w:trPr>
        <w:tc>
          <w:tcPr>
            <w:tcW w:w="77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top w:val="single" w:sz="8" w:color="auto"/>
              <w:bottom w:val="single" w:sz="8" w:color="auto"/>
            </w:tcBorders>
            <w:shd w:val="clear" w:color="auto" w:fill="CFF0FC"/>
          </w:tcPr>
          <w:p>
            <w:pPr>
              <w:jc w:val="right"/>
              <w:ind w:right="94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719"/>
        </w:trPr>
        <w:tc>
          <w:tcPr>
            <w:tcW w:w="77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5910580</wp:posOffset>
            </wp:positionH>
            <wp:positionV relativeFrom="paragraph">
              <wp:posOffset>-502285</wp:posOffset>
            </wp:positionV>
            <wp:extent cx="18796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7960" cy="7620"/>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-487680</wp:posOffset>
            </wp:positionV>
            <wp:extent cx="18796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796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-502285</wp:posOffset>
            </wp:positionV>
            <wp:extent cx="67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-487680</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6"/>
          </w:cols>
          <w:pgMar w:left="314" w:top="375" w:right="319" w:bottom="1440" w:gutter="0" w:footer="0" w:header="0"/>
        </w:sectPr>
      </w:pPr>
    </w:p>
    <w:bookmarkStart w:id="9" w:name="page10"/>
    <w:bookmarkEnd w:id="9"/>
    <w:p>
      <w:pPr>
        <w:ind w:left="5080"/>
        <w:spacing w:after="0"/>
        <w:rPr>
          <w:sz w:val="20"/>
          <w:szCs w:val="20"/>
          <w:color w:val="auto"/>
        </w:rPr>
      </w:pPr>
      <w:r>
        <w:rPr>
          <w:rFonts w:ascii="Arial" w:cs="Arial" w:eastAsia="Arial" w:hAnsi="Arial"/>
          <w:sz w:val="16"/>
          <w:szCs w:val="16"/>
          <w:color w:val="auto"/>
        </w:rPr>
        <w:t>ManpowerGroup</w:t>
      </w:r>
    </w:p>
    <w:p>
      <w:pPr>
        <w:spacing w:after="0" w:line="53"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Consolidated Balance Sheets</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6"/>
                <w:szCs w:val="16"/>
                <w:b w:val="1"/>
                <w:bCs w:val="1"/>
                <w:color w:val="auto"/>
              </w:rPr>
              <w:t>Jun. 30,</w:t>
            </w:r>
          </w:p>
        </w:tc>
        <w:tc>
          <w:tcPr>
            <w:tcW w:w="360" w:type="dxa"/>
            <w:vAlign w:val="bottom"/>
          </w:tcPr>
          <w:p>
            <w:pPr>
              <w:spacing w:after="0"/>
              <w:rPr>
                <w:sz w:val="17"/>
                <w:szCs w:val="17"/>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Dec. 31,</w:t>
            </w:r>
          </w:p>
        </w:tc>
      </w:tr>
      <w:tr>
        <w:trPr>
          <w:trHeight w:val="231"/>
        </w:trPr>
        <w:tc>
          <w:tcPr>
            <w:tcW w:w="7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r>
      <w:tr>
        <w:trPr>
          <w:trHeight w:val="217"/>
        </w:trPr>
        <w:tc>
          <w:tcPr>
            <w:tcW w:w="7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ind w:right="67"/>
              <w:spacing w:after="0"/>
              <w:rPr>
                <w:sz w:val="20"/>
                <w:szCs w:val="20"/>
                <w:color w:val="auto"/>
              </w:rPr>
            </w:pPr>
            <w:r>
              <w:rPr>
                <w:rFonts w:ascii="Arial" w:cs="Arial" w:eastAsia="Arial" w:hAnsi="Arial"/>
                <w:sz w:val="16"/>
                <w:szCs w:val="16"/>
                <w:color w:val="auto"/>
              </w:rPr>
              <w:t>(Unaudited)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1,461.4</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1,567.1</w:t>
            </w: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5,203.3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4,912.4</w:t>
            </w:r>
          </w:p>
        </w:tc>
        <w:tc>
          <w:tcPr>
            <w:tcW w:w="120" w:type="dxa"/>
            <w:vAlign w:val="bottom"/>
          </w:tcPr>
          <w:p>
            <w:pPr>
              <w:spacing w:after="0"/>
              <w:rPr>
                <w:sz w:val="18"/>
                <w:szCs w:val="18"/>
                <w:color w:val="auto"/>
              </w:rPr>
            </w:pPr>
          </w:p>
        </w:tc>
      </w:tr>
      <w:tr>
        <w:trPr>
          <w:trHeight w:val="225"/>
        </w:trPr>
        <w:tc>
          <w:tcPr>
            <w:tcW w:w="7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165.0</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17"/>
        </w:trPr>
        <w:tc>
          <w:tcPr>
            <w:tcW w:w="772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6,829.7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6,666.4</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30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1,219.1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1,225.8</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Intangible assets, net</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237.4</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248.6</w:t>
            </w: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30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367.2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400.7</w:t>
            </w:r>
          </w:p>
        </w:tc>
        <w:tc>
          <w:tcPr>
            <w:tcW w:w="120" w:type="dxa"/>
            <w:vAlign w:val="bottom"/>
          </w:tcPr>
          <w:p>
            <w:pPr>
              <w:spacing w:after="0"/>
              <w:rPr>
                <w:sz w:val="18"/>
                <w:szCs w:val="18"/>
                <w:color w:val="auto"/>
              </w:rPr>
            </w:pPr>
          </w:p>
        </w:tc>
      </w:tr>
      <w:tr>
        <w:trPr>
          <w:trHeight w:val="225"/>
        </w:trPr>
        <w:tc>
          <w:tcPr>
            <w:tcW w:w="7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686.0</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651.6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17"/>
        </w:trPr>
        <w:tc>
          <w:tcPr>
            <w:tcW w:w="7720" w:type="dxa"/>
            <w:vAlign w:val="bottom"/>
          </w:tcPr>
          <w:p>
            <w:pPr>
              <w:ind w:left="680"/>
              <w:spacing w:after="0"/>
              <w:rPr>
                <w:sz w:val="20"/>
                <w:szCs w:val="20"/>
                <w:color w:val="auto"/>
              </w:rPr>
            </w:pPr>
            <w:r>
              <w:rPr>
                <w:rFonts w:ascii="Arial" w:cs="Arial" w:eastAsia="Arial" w:hAnsi="Arial"/>
                <w:sz w:val="16"/>
                <w:szCs w:val="16"/>
                <w:color w:val="auto"/>
              </w:rPr>
              <w:t>Total other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2,509.7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2,526.7</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Property and equipment:</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300"/>
              <w:spacing w:after="0"/>
              <w:rPr>
                <w:sz w:val="20"/>
                <w:szCs w:val="20"/>
                <w:color w:val="auto"/>
              </w:rPr>
            </w:pPr>
            <w:r>
              <w:rPr>
                <w:rFonts w:ascii="Arial" w:cs="Arial" w:eastAsia="Arial" w:hAnsi="Arial"/>
                <w:sz w:val="16"/>
                <w:szCs w:val="16"/>
                <w:color w:val="auto"/>
              </w:rPr>
              <w:t>Land, buildings, leasehold improvements and equipment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606.4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614.7</w:t>
            </w:r>
          </w:p>
        </w:tc>
        <w:tc>
          <w:tcPr>
            <w:tcW w:w="120" w:type="dxa"/>
            <w:vAlign w:val="bottom"/>
          </w:tcPr>
          <w:p>
            <w:pPr>
              <w:spacing w:after="0"/>
              <w:rPr>
                <w:sz w:val="18"/>
                <w:szCs w:val="18"/>
                <w:color w:val="auto"/>
              </w:rPr>
            </w:pPr>
          </w:p>
        </w:tc>
      </w:tr>
      <w:tr>
        <w:trPr>
          <w:trHeight w:val="225"/>
        </w:trPr>
        <w:tc>
          <w:tcPr>
            <w:tcW w:w="7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Less: accumulated depreciation and amortization</w:t>
            </w: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483.4</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17"/>
        </w:trPr>
        <w:tc>
          <w:tcPr>
            <w:tcW w:w="7720" w:type="dxa"/>
            <w:vAlign w:val="bottom"/>
          </w:tcPr>
          <w:p>
            <w:pPr>
              <w:jc w:val="right"/>
              <w:ind w:right="5401"/>
              <w:spacing w:after="0"/>
              <w:rPr>
                <w:sz w:val="20"/>
                <w:szCs w:val="20"/>
                <w:color w:val="auto"/>
              </w:rPr>
            </w:pPr>
            <w:r>
              <w:rPr>
                <w:rFonts w:ascii="Arial" w:cs="Arial" w:eastAsia="Arial" w:hAnsi="Arial"/>
                <w:sz w:val="16"/>
                <w:szCs w:val="16"/>
                <w:color w:val="auto"/>
              </w:rPr>
              <w:t>Net property and equipment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w:t>
            </w:r>
          </w:p>
        </w:tc>
        <w:tc>
          <w:tcPr>
            <w:tcW w:w="120" w:type="dxa"/>
            <w:vAlign w:val="bottom"/>
          </w:tcPr>
          <w:p>
            <w:pPr>
              <w:spacing w:after="0"/>
              <w:rPr>
                <w:sz w:val="18"/>
                <w:szCs w:val="18"/>
                <w:color w:val="auto"/>
              </w:rPr>
            </w:pPr>
          </w:p>
        </w:tc>
      </w:tr>
      <w:tr>
        <w:trPr>
          <w:trHeight w:val="257"/>
        </w:trPr>
        <w:tc>
          <w:tcPr>
            <w:tcW w:w="7720" w:type="dxa"/>
            <w:vAlign w:val="bottom"/>
            <w:tcBorders>
              <w:bottom w:val="single" w:sz="8" w:color="CFF0FC"/>
            </w:tcBorders>
            <w:shd w:val="clear" w:color="auto" w:fill="CFF0FC"/>
          </w:tcPr>
          <w:p>
            <w:pPr>
              <w:ind w:left="96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FF0FC"/>
          </w:tcPr>
          <w:p>
            <w:pPr>
              <w:jc w:val="right"/>
              <w:ind w:right="1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9,462.4</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9,328.2</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00"/>
        </w:trPr>
        <w:tc>
          <w:tcPr>
            <w:tcW w:w="772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1"/>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2,849.3</w:t>
            </w:r>
          </w:p>
        </w:tc>
        <w:tc>
          <w:tcPr>
            <w:tcW w:w="30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2,527.4</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Employee compensation payable</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229.8</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231.8</w:t>
            </w: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300"/>
              <w:spacing w:after="0"/>
              <w:rPr>
                <w:sz w:val="20"/>
                <w:szCs w:val="20"/>
                <w:color w:val="auto"/>
              </w:rPr>
            </w:pPr>
            <w:r>
              <w:rPr>
                <w:rFonts w:ascii="Arial" w:cs="Arial" w:eastAsia="Arial" w:hAnsi="Arial"/>
                <w:sz w:val="16"/>
                <w:szCs w:val="16"/>
                <w:color w:val="auto"/>
              </w:rPr>
              <w:t>Accrued liabilities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577.6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602.1</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Accrued payroll taxes and insurance</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744.1</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752.0</w:t>
            </w: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300"/>
              <w:spacing w:after="0"/>
              <w:rPr>
                <w:sz w:val="20"/>
                <w:szCs w:val="20"/>
                <w:color w:val="auto"/>
              </w:rPr>
            </w:pPr>
            <w:r>
              <w:rPr>
                <w:rFonts w:ascii="Arial" w:cs="Arial" w:eastAsia="Arial" w:hAnsi="Arial"/>
                <w:sz w:val="16"/>
                <w:szCs w:val="16"/>
                <w:color w:val="auto"/>
              </w:rPr>
              <w:t>Value added taxes payable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526.3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551.1</w:t>
            </w:r>
          </w:p>
        </w:tc>
        <w:tc>
          <w:tcPr>
            <w:tcW w:w="120" w:type="dxa"/>
            <w:vAlign w:val="bottom"/>
          </w:tcPr>
          <w:p>
            <w:pPr>
              <w:spacing w:after="0"/>
              <w:rPr>
                <w:sz w:val="18"/>
                <w:szCs w:val="18"/>
                <w:color w:val="auto"/>
              </w:rPr>
            </w:pPr>
          </w:p>
        </w:tc>
      </w:tr>
      <w:tr>
        <w:trPr>
          <w:trHeight w:val="225"/>
        </w:trPr>
        <w:tc>
          <w:tcPr>
            <w:tcW w:w="7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Short-term borrowings and current maturities of long-term debt</w:t>
            </w: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17"/>
        </w:trPr>
        <w:tc>
          <w:tcPr>
            <w:tcW w:w="772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4,950.2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4,684.8</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liabilities: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300"/>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1,070.2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1,103.5</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Long-term operating lease liability</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272.6</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305.1</w:t>
            </w: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30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772.7</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781.2</w:t>
            </w:r>
          </w:p>
        </w:tc>
        <w:tc>
          <w:tcPr>
            <w:tcW w:w="120" w:type="dxa"/>
            <w:vAlign w:val="bottom"/>
          </w:tcPr>
          <w:p>
            <w:pPr>
              <w:spacing w:after="0"/>
              <w:rPr>
                <w:sz w:val="18"/>
                <w:szCs w:val="18"/>
                <w:color w:val="auto"/>
              </w:rPr>
            </w:pPr>
          </w:p>
        </w:tc>
      </w:tr>
      <w:tr>
        <w:trPr>
          <w:trHeight w:val="223"/>
        </w:trPr>
        <w:tc>
          <w:tcPr>
            <w:tcW w:w="7720" w:type="dxa"/>
            <w:vAlign w:val="bottom"/>
            <w:shd w:val="clear" w:color="auto" w:fill="CFF0FC"/>
          </w:tcPr>
          <w:p>
            <w:pPr>
              <w:ind w:left="680"/>
              <w:spacing w:after="0"/>
              <w:rPr>
                <w:sz w:val="20"/>
                <w:szCs w:val="20"/>
                <w:color w:val="auto"/>
              </w:rPr>
            </w:pPr>
            <w:r>
              <w:rPr>
                <w:rFonts w:ascii="Arial" w:cs="Arial" w:eastAsia="Arial" w:hAnsi="Arial"/>
                <w:sz w:val="16"/>
                <w:szCs w:val="16"/>
                <w:color w:val="auto"/>
              </w:rPr>
              <w:t>Total other liabilities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2,115.5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2,189.8</w:t>
            </w:r>
          </w:p>
        </w:tc>
        <w:tc>
          <w:tcPr>
            <w:tcW w:w="120" w:type="dxa"/>
            <w:vAlign w:val="bottom"/>
            <w:shd w:val="clear" w:color="auto" w:fill="CFF0FC"/>
          </w:tcPr>
          <w:p>
            <w:pPr>
              <w:spacing w:after="0"/>
              <w:rPr>
                <w:sz w:val="19"/>
                <w:szCs w:val="19"/>
                <w:color w:val="auto"/>
              </w:rPr>
            </w:pPr>
          </w:p>
        </w:tc>
      </w:tr>
      <w:tr>
        <w:trPr>
          <w:trHeight w:val="218"/>
        </w:trPr>
        <w:tc>
          <w:tcPr>
            <w:tcW w:w="77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80"/>
              <w:spacing w:after="0"/>
              <w:rPr>
                <w:sz w:val="20"/>
                <w:szCs w:val="20"/>
                <w:color w:val="auto"/>
              </w:rPr>
            </w:pPr>
            <w:r>
              <w:rPr>
                <w:rFonts w:ascii="Arial" w:cs="Arial" w:eastAsia="Arial" w:hAnsi="Arial"/>
                <w:sz w:val="16"/>
                <w:szCs w:val="16"/>
                <w:color w:val="auto"/>
              </w:rPr>
              <w:t>ManpowerGroup shareholders' equity</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38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Capital in excess of par value</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3,423.1</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3,402.5</w:t>
            </w: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3,494.1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3,388.8</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(422.3 )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(397.3 )</w:t>
            </w:r>
          </w:p>
        </w:tc>
      </w:tr>
      <w:tr>
        <w:trPr>
          <w:trHeight w:val="218"/>
        </w:trPr>
        <w:tc>
          <w:tcPr>
            <w:tcW w:w="7720" w:type="dxa"/>
            <w:vAlign w:val="bottom"/>
          </w:tcPr>
          <w:p>
            <w:pPr>
              <w:ind w:left="380"/>
              <w:spacing w:after="0"/>
              <w:rPr>
                <w:sz w:val="20"/>
                <w:szCs w:val="20"/>
                <w:color w:val="auto"/>
              </w:rPr>
            </w:pPr>
            <w:r>
              <w:rPr>
                <w:rFonts w:ascii="Arial" w:cs="Arial" w:eastAsia="Arial" w:hAnsi="Arial"/>
                <w:sz w:val="16"/>
                <w:szCs w:val="16"/>
                <w:color w:val="auto"/>
              </w:rPr>
              <w:t>Treasury stock, at cost</w:t>
            </w:r>
          </w:p>
        </w:tc>
        <w:tc>
          <w:tcPr>
            <w:tcW w:w="3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(4,109.0 )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(3,954.2 )</w:t>
            </w:r>
          </w:p>
        </w:tc>
      </w:tr>
      <w:tr>
        <w:trPr>
          <w:trHeight w:val="217"/>
        </w:trPr>
        <w:tc>
          <w:tcPr>
            <w:tcW w:w="7720" w:type="dxa"/>
            <w:vAlign w:val="bottom"/>
            <w:tcBorders>
              <w:bottom w:val="single" w:sz="8" w:color="CFF0FC"/>
            </w:tcBorders>
            <w:shd w:val="clear" w:color="auto" w:fill="CFF0FC"/>
          </w:tcPr>
          <w:p>
            <w:pPr>
              <w:jc w:val="right"/>
              <w:ind w:right="4401"/>
              <w:spacing w:after="0"/>
              <w:rPr>
                <w:sz w:val="20"/>
                <w:szCs w:val="20"/>
                <w:color w:val="auto"/>
              </w:rPr>
            </w:pPr>
            <w:r>
              <w:rPr>
                <w:rFonts w:ascii="Arial" w:cs="Arial" w:eastAsia="Arial" w:hAnsi="Arial"/>
                <w:sz w:val="16"/>
                <w:szCs w:val="16"/>
                <w:color w:val="auto"/>
              </w:rPr>
              <w:t>Total ManpowerGroup shareholders' equity</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2,387.1</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2,441.0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7"/>
        </w:trPr>
        <w:tc>
          <w:tcPr>
            <w:tcW w:w="7720" w:type="dxa"/>
            <w:vAlign w:val="bottom"/>
          </w:tcPr>
          <w:p>
            <w:pPr>
              <w:ind w:left="80"/>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r>
      <w:tr>
        <w:trPr>
          <w:trHeight w:val="217"/>
        </w:trPr>
        <w:tc>
          <w:tcPr>
            <w:tcW w:w="7720" w:type="dxa"/>
            <w:vAlign w:val="bottom"/>
            <w:tcBorders>
              <w:bottom w:val="single" w:sz="8" w:color="CFF0FC"/>
            </w:tcBorders>
            <w:shd w:val="clear" w:color="auto" w:fill="CFF0FC"/>
          </w:tcPr>
          <w:p>
            <w:pPr>
              <w:jc w:val="right"/>
              <w:ind w:right="5401"/>
              <w:spacing w:after="0"/>
              <w:rPr>
                <w:sz w:val="20"/>
                <w:szCs w:val="20"/>
                <w:color w:val="auto"/>
              </w:rPr>
            </w:pPr>
            <w:r>
              <w:rPr>
                <w:rFonts w:ascii="Arial" w:cs="Arial" w:eastAsia="Arial" w:hAnsi="Arial"/>
                <w:sz w:val="16"/>
                <w:szCs w:val="16"/>
                <w:color w:val="auto"/>
              </w:rPr>
              <w:t>Total shareholders' equity</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2,396.7</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2,453.6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7"/>
        </w:trPr>
        <w:tc>
          <w:tcPr>
            <w:tcW w:w="7720" w:type="dxa"/>
            <w:vAlign w:val="bottom"/>
          </w:tcPr>
          <w:p>
            <w:pPr>
              <w:jc w:val="right"/>
              <w:ind w:right="4401"/>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9,462.4</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9,328.2</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8"/>
        </w:trPr>
        <w:tc>
          <w:tcPr>
            <w:tcW w:w="7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-5749290</wp:posOffset>
            </wp:positionV>
            <wp:extent cx="187960" cy="50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796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-5749290</wp:posOffset>
            </wp:positionV>
            <wp:extent cx="67310" cy="5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-4885690</wp:posOffset>
            </wp:positionV>
            <wp:extent cx="187960" cy="50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796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-4885690</wp:posOffset>
            </wp:positionV>
            <wp:extent cx="67310" cy="50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-4307205</wp:posOffset>
            </wp:positionV>
            <wp:extent cx="187960" cy="5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796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-4307205</wp:posOffset>
            </wp:positionV>
            <wp:extent cx="67310" cy="50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-4009390</wp:posOffset>
            </wp:positionV>
            <wp:extent cx="1879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796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-3994785</wp:posOffset>
            </wp:positionV>
            <wp:extent cx="1879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796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-4009390</wp:posOffset>
            </wp:positionV>
            <wp:extent cx="673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-3994785</wp:posOffset>
            </wp:positionV>
            <wp:extent cx="673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-2842895</wp:posOffset>
            </wp:positionV>
            <wp:extent cx="187960" cy="5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796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-2842895</wp:posOffset>
            </wp:positionV>
            <wp:extent cx="67310" cy="5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-822960</wp:posOffset>
            </wp:positionV>
            <wp:extent cx="187960" cy="50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796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-822960</wp:posOffset>
            </wp:positionV>
            <wp:extent cx="67310" cy="50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-522605</wp:posOffset>
            </wp:positionV>
            <wp:extent cx="187960" cy="5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796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-522605</wp:posOffset>
            </wp:positionV>
            <wp:extent cx="67310" cy="5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75"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color w:val="auto"/>
        </w:rPr>
        <w:t>ManpowerGroup</w:t>
      </w:r>
    </w:p>
    <w:p>
      <w:pPr>
        <w:spacing w:after="0" w:line="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Statements of Cash Flows</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Six Months Ended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1"/>
        </w:trPr>
        <w:tc>
          <w:tcPr>
            <w:tcW w:w="77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7"/>
        </w:trPr>
        <w:tc>
          <w:tcPr>
            <w:tcW w:w="77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r>
      <w:tr>
        <w:trPr>
          <w:trHeight w:val="217"/>
        </w:trPr>
        <w:tc>
          <w:tcPr>
            <w:tcW w:w="7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6"/>
                <w:szCs w:val="16"/>
                <w:color w:val="auto"/>
                <w:w w:val="90"/>
              </w:rPr>
              <w:t>(Unaudited)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80"/>
              <w:spacing w:after="0"/>
              <w:rPr>
                <w:sz w:val="20"/>
                <w:szCs w:val="20"/>
                <w:color w:val="auto"/>
              </w:rPr>
            </w:pPr>
            <w:r>
              <w:rPr>
                <w:rFonts w:ascii="Arial" w:cs="Arial" w:eastAsia="Arial" w:hAnsi="Arial"/>
                <w:sz w:val="16"/>
                <w:szCs w:val="16"/>
                <w:color w:val="auto"/>
              </w:rPr>
              <w:t>Net earnings (loss)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173.6</w:t>
            </w:r>
          </w:p>
        </w:tc>
        <w:tc>
          <w:tcPr>
            <w:tcW w:w="300" w:type="dxa"/>
            <w:vAlign w:val="bottom"/>
          </w:tcPr>
          <w:p>
            <w:pPr>
              <w:spacing w:after="0"/>
              <w:rPr>
                <w:sz w:val="18"/>
                <w:szCs w:val="18"/>
                <w:color w:val="auto"/>
              </w:rPr>
            </w:pP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(62.7 )</w:t>
            </w:r>
          </w:p>
        </w:tc>
      </w:tr>
      <w:tr>
        <w:trPr>
          <w:trHeight w:val="231"/>
        </w:trPr>
        <w:tc>
          <w:tcPr>
            <w:tcW w:w="7720" w:type="dxa"/>
            <w:vAlign w:val="bottom"/>
            <w:shd w:val="clear" w:color="auto" w:fill="CFF0FC"/>
          </w:tcPr>
          <w:p>
            <w:pPr>
              <w:ind w:left="80"/>
              <w:spacing w:after="0"/>
              <w:rPr>
                <w:sz w:val="20"/>
                <w:szCs w:val="20"/>
                <w:color w:val="auto"/>
              </w:rPr>
            </w:pPr>
            <w:r>
              <w:rPr>
                <w:rFonts w:ascii="Arial" w:cs="Arial" w:eastAsia="Arial" w:hAnsi="Arial"/>
                <w:sz w:val="16"/>
                <w:szCs w:val="16"/>
                <w:color w:val="auto"/>
              </w:rPr>
              <w:t>Adjustments to reconcile net earnings (loss) to net cash provided by operating activities: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34.4</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680"/>
              <w:spacing w:after="0"/>
              <w:rPr>
                <w:sz w:val="20"/>
                <w:szCs w:val="20"/>
                <w:color w:val="auto"/>
              </w:rPr>
            </w:pPr>
            <w:r>
              <w:rPr>
                <w:rFonts w:ascii="Arial" w:cs="Arial" w:eastAsia="Arial" w:hAnsi="Arial"/>
                <w:sz w:val="16"/>
                <w:szCs w:val="16"/>
                <w:color w:val="auto"/>
              </w:rPr>
              <w:t>Non-cash goodwill and other impairment charges</w:t>
            </w:r>
          </w:p>
        </w:tc>
        <w:tc>
          <w:tcPr>
            <w:tcW w:w="10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680"/>
              <w:spacing w:after="0"/>
              <w:rPr>
                <w:sz w:val="20"/>
                <w:szCs w:val="20"/>
                <w:color w:val="auto"/>
              </w:rPr>
            </w:pPr>
            <w:r>
              <w:rPr>
                <w:rFonts w:ascii="Arial" w:cs="Arial" w:eastAsia="Arial" w:hAnsi="Arial"/>
                <w:sz w:val="16"/>
                <w:szCs w:val="16"/>
                <w:color w:val="auto"/>
              </w:rPr>
              <w:t>Non-cash operating lease right-of-use assets impairment</w:t>
            </w:r>
          </w:p>
        </w:tc>
        <w:tc>
          <w:tcPr>
            <w:tcW w:w="10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680"/>
              <w:spacing w:after="0"/>
              <w:rPr>
                <w:sz w:val="20"/>
                <w:szCs w:val="20"/>
                <w:color w:val="auto"/>
              </w:rPr>
            </w:pPr>
            <w:r>
              <w:rPr>
                <w:rFonts w:ascii="Arial" w:cs="Arial" w:eastAsia="Arial" w:hAnsi="Arial"/>
                <w:sz w:val="16"/>
                <w:szCs w:val="16"/>
                <w:color w:val="auto"/>
              </w:rPr>
              <w:t>Deferred income taxes</w:t>
            </w:r>
          </w:p>
        </w:tc>
        <w:tc>
          <w:tcPr>
            <w:tcW w:w="10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(13.3 )</w:t>
            </w: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(7.9 )</w:t>
            </w:r>
          </w:p>
        </w:tc>
      </w:tr>
      <w:tr>
        <w:trPr>
          <w:trHeight w:val="218"/>
        </w:trPr>
        <w:tc>
          <w:tcPr>
            <w:tcW w:w="7720" w:type="dxa"/>
            <w:vAlign w:val="bottom"/>
          </w:tcPr>
          <w:p>
            <w:pPr>
              <w:ind w:left="680"/>
              <w:spacing w:after="0"/>
              <w:rPr>
                <w:sz w:val="20"/>
                <w:szCs w:val="20"/>
                <w:color w:val="auto"/>
              </w:rPr>
            </w:pPr>
            <w:r>
              <w:rPr>
                <w:rFonts w:ascii="Arial" w:cs="Arial" w:eastAsia="Arial" w:hAnsi="Arial"/>
                <w:sz w:val="16"/>
                <w:szCs w:val="16"/>
                <w:color w:val="auto"/>
              </w:rPr>
              <w:t>Provision for doubtful accounts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9.2</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680"/>
              <w:spacing w:after="0"/>
              <w:rPr>
                <w:sz w:val="20"/>
                <w:szCs w:val="20"/>
                <w:color w:val="auto"/>
              </w:rPr>
            </w:pPr>
            <w:r>
              <w:rPr>
                <w:rFonts w:ascii="Arial" w:cs="Arial" w:eastAsia="Arial" w:hAnsi="Arial"/>
                <w:sz w:val="16"/>
                <w:szCs w:val="16"/>
                <w:color w:val="auto"/>
              </w:rPr>
              <w:t>Share-based compensation</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8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680"/>
              <w:spacing w:after="0"/>
              <w:rPr>
                <w:sz w:val="20"/>
                <w:szCs w:val="20"/>
                <w:color w:val="auto"/>
              </w:rPr>
            </w:pPr>
            <w:r>
              <w:rPr>
                <w:rFonts w:ascii="Arial" w:cs="Arial" w:eastAsia="Arial" w:hAnsi="Arial"/>
                <w:sz w:val="16"/>
                <w:szCs w:val="16"/>
                <w:color w:val="auto"/>
              </w:rPr>
              <w:t>Accounts receivable</w:t>
            </w:r>
          </w:p>
        </w:tc>
        <w:tc>
          <w:tcPr>
            <w:tcW w:w="10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(381.7 )</w:t>
            </w: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988.3</w:t>
            </w: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10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(6.3 )</w:t>
            </w:r>
          </w:p>
        </w:tc>
        <w:tc>
          <w:tcPr>
            <w:tcW w:w="5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(27.2 )</w:t>
            </w:r>
          </w:p>
        </w:tc>
      </w:tr>
      <w:tr>
        <w:trPr>
          <w:trHeight w:val="225"/>
        </w:trPr>
        <w:tc>
          <w:tcPr>
            <w:tcW w:w="7720" w:type="dxa"/>
            <w:vAlign w:val="bottom"/>
            <w:shd w:val="clear" w:color="auto" w:fill="CFF0FC"/>
          </w:tcPr>
          <w:p>
            <w:pPr>
              <w:ind w:left="680"/>
              <w:spacing w:after="0"/>
              <w:rPr>
                <w:sz w:val="20"/>
                <w:szCs w:val="20"/>
                <w:color w:val="auto"/>
              </w:rPr>
            </w:pPr>
            <w:r>
              <w:rPr>
                <w:rFonts w:ascii="Arial" w:cs="Arial" w:eastAsia="Arial" w:hAnsi="Arial"/>
                <w:sz w:val="16"/>
                <w:szCs w:val="16"/>
                <w:color w:val="auto"/>
              </w:rPr>
              <w:t>Other liabilities</w:t>
            </w: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362.6</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(433.3 )</w:t>
            </w:r>
          </w:p>
        </w:tc>
      </w:tr>
      <w:tr>
        <w:trPr>
          <w:trHeight w:val="217"/>
        </w:trPr>
        <w:tc>
          <w:tcPr>
            <w:tcW w:w="7720" w:type="dxa"/>
            <w:vAlign w:val="bottom"/>
            <w:tcBorders>
              <w:top w:val="single" w:sz="8" w:color="CFF0FC"/>
            </w:tcBorders>
          </w:tcPr>
          <w:p>
            <w:pPr>
              <w:ind w:left="1140"/>
              <w:spacing w:after="0"/>
              <w:rPr>
                <w:sz w:val="20"/>
                <w:szCs w:val="20"/>
                <w:color w:val="auto"/>
              </w:rPr>
            </w:pPr>
            <w:r>
              <w:rPr>
                <w:rFonts w:ascii="Arial" w:cs="Arial" w:eastAsia="Arial" w:hAnsi="Arial"/>
                <w:sz w:val="16"/>
                <w:szCs w:val="16"/>
                <w:color w:val="auto"/>
              </w:rPr>
              <w:t>Cash provided by operating activities</w:t>
            </w:r>
          </w:p>
        </w:tc>
        <w:tc>
          <w:tcPr>
            <w:tcW w:w="10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30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596.1</w:t>
            </w:r>
          </w:p>
        </w:tc>
        <w:tc>
          <w:tcPr>
            <w:tcW w:w="120" w:type="dxa"/>
            <w:vAlign w:val="bottom"/>
            <w:tcBorders>
              <w:top w:val="single" w:sz="8" w:color="CFF0FC"/>
            </w:tcBorders>
          </w:tcPr>
          <w:p>
            <w:pPr>
              <w:spacing w:after="0"/>
              <w:rPr>
                <w:sz w:val="18"/>
                <w:szCs w:val="18"/>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8"/>
        </w:trPr>
        <w:tc>
          <w:tcPr>
            <w:tcW w:w="7720" w:type="dxa"/>
            <w:vAlign w:val="bottom"/>
          </w:tcPr>
          <w:p>
            <w:pPr>
              <w:ind w:left="52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(24.6 )</w:t>
            </w:r>
          </w:p>
        </w:tc>
        <w:tc>
          <w:tcPr>
            <w:tcW w:w="5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(18.9 )</w:t>
            </w:r>
          </w:p>
        </w:tc>
      </w:tr>
      <w:tr>
        <w:trPr>
          <w:trHeight w:val="231"/>
        </w:trPr>
        <w:tc>
          <w:tcPr>
            <w:tcW w:w="7720" w:type="dxa"/>
            <w:vAlign w:val="bottom"/>
            <w:shd w:val="clear" w:color="auto" w:fill="CFF0FC"/>
          </w:tcPr>
          <w:p>
            <w:pPr>
              <w:ind w:left="520"/>
              <w:spacing w:after="0"/>
              <w:rPr>
                <w:sz w:val="20"/>
                <w:szCs w:val="20"/>
                <w:color w:val="auto"/>
              </w:rPr>
            </w:pPr>
            <w:r>
              <w:rPr>
                <w:rFonts w:ascii="Arial" w:cs="Arial" w:eastAsia="Arial" w:hAnsi="Arial"/>
                <w:sz w:val="16"/>
                <w:szCs w:val="16"/>
                <w:color w:val="auto"/>
              </w:rPr>
              <w:t>Acquisitions of businesses, net of cash acquired</w:t>
            </w:r>
          </w:p>
        </w:tc>
        <w:tc>
          <w:tcPr>
            <w:tcW w:w="10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(7.1 )</w:t>
            </w: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8"/>
        </w:trPr>
        <w:tc>
          <w:tcPr>
            <w:tcW w:w="7720" w:type="dxa"/>
            <w:vAlign w:val="bottom"/>
          </w:tcPr>
          <w:p>
            <w:pPr>
              <w:ind w:left="520"/>
              <w:spacing w:after="0"/>
              <w:rPr>
                <w:sz w:val="20"/>
                <w:szCs w:val="20"/>
                <w:color w:val="auto"/>
              </w:rPr>
            </w:pPr>
            <w:r>
              <w:rPr>
                <w:rFonts w:ascii="Arial" w:cs="Arial" w:eastAsia="Arial" w:hAnsi="Arial"/>
                <w:sz w:val="16"/>
                <w:szCs w:val="16"/>
                <w:color w:val="auto"/>
              </w:rPr>
              <w:t>Proceeds from the sale of property and equipment</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3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r>
      <w:tr>
        <w:trPr>
          <w:trHeight w:val="217"/>
        </w:trPr>
        <w:tc>
          <w:tcPr>
            <w:tcW w:w="7720" w:type="dxa"/>
            <w:vAlign w:val="bottom"/>
            <w:shd w:val="clear" w:color="auto" w:fill="CFF0FC"/>
          </w:tcPr>
          <w:p>
            <w:pPr>
              <w:ind w:left="1140"/>
              <w:spacing w:after="0"/>
              <w:rPr>
                <w:sz w:val="20"/>
                <w:szCs w:val="20"/>
                <w:color w:val="auto"/>
              </w:rPr>
            </w:pPr>
            <w:r>
              <w:rPr>
                <w:rFonts w:ascii="Arial" w:cs="Arial" w:eastAsia="Arial" w:hAnsi="Arial"/>
                <w:sz w:val="16"/>
                <w:szCs w:val="16"/>
                <w:color w:val="auto"/>
              </w:rPr>
              <w:t>Cash used in investing activities</w:t>
            </w:r>
          </w:p>
        </w:tc>
        <w:tc>
          <w:tcPr>
            <w:tcW w:w="10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(30.8 )</w:t>
            </w: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(18.1 )</w:t>
            </w:r>
          </w:p>
        </w:tc>
      </w:tr>
      <w:tr>
        <w:trPr>
          <w:trHeight w:val="217"/>
        </w:trPr>
        <w:tc>
          <w:tcPr>
            <w:tcW w:w="772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31"/>
        </w:trPr>
        <w:tc>
          <w:tcPr>
            <w:tcW w:w="7720" w:type="dxa"/>
            <w:vAlign w:val="bottom"/>
            <w:shd w:val="clear" w:color="auto" w:fill="CFF0FC"/>
          </w:tcPr>
          <w:p>
            <w:pPr>
              <w:ind w:left="520"/>
              <w:spacing w:after="0"/>
              <w:rPr>
                <w:sz w:val="20"/>
                <w:szCs w:val="20"/>
                <w:color w:val="auto"/>
              </w:rPr>
            </w:pPr>
            <w:r>
              <w:rPr>
                <w:rFonts w:ascii="Arial" w:cs="Arial" w:eastAsia="Arial" w:hAnsi="Arial"/>
                <w:sz w:val="16"/>
                <w:szCs w:val="16"/>
                <w:color w:val="auto"/>
              </w:rPr>
              <w:t>Net change in short-term borrowings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(17.8 )</w:t>
            </w:r>
          </w:p>
        </w:tc>
      </w:tr>
      <w:tr>
        <w:trPr>
          <w:trHeight w:val="218"/>
        </w:trPr>
        <w:tc>
          <w:tcPr>
            <w:tcW w:w="7720" w:type="dxa"/>
            <w:vAlign w:val="bottom"/>
          </w:tcPr>
          <w:p>
            <w:pPr>
              <w:ind w:left="520"/>
              <w:spacing w:after="0"/>
              <w:rPr>
                <w:sz w:val="20"/>
                <w:szCs w:val="20"/>
                <w:color w:val="auto"/>
              </w:rPr>
            </w:pPr>
            <w:r>
              <w:rPr>
                <w:rFonts w:ascii="Arial" w:cs="Arial" w:eastAsia="Arial" w:hAnsi="Arial"/>
                <w:sz w:val="16"/>
                <w:szCs w:val="16"/>
                <w:color w:val="auto"/>
              </w:rPr>
              <w:t>Proceeds from long-term debt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r>
      <w:tr>
        <w:trPr>
          <w:trHeight w:val="231"/>
        </w:trPr>
        <w:tc>
          <w:tcPr>
            <w:tcW w:w="7720" w:type="dxa"/>
            <w:vAlign w:val="bottom"/>
            <w:shd w:val="clear" w:color="auto" w:fill="CFF0FC"/>
          </w:tcPr>
          <w:p>
            <w:pPr>
              <w:ind w:left="520"/>
              <w:spacing w:after="0"/>
              <w:rPr>
                <w:sz w:val="20"/>
                <w:szCs w:val="20"/>
                <w:color w:val="auto"/>
              </w:rPr>
            </w:pPr>
            <w:r>
              <w:rPr>
                <w:rFonts w:ascii="Arial" w:cs="Arial" w:eastAsia="Arial" w:hAnsi="Arial"/>
                <w:sz w:val="16"/>
                <w:szCs w:val="16"/>
                <w:color w:val="auto"/>
              </w:rPr>
              <w:t>Repayments of long-term debt</w:t>
            </w:r>
          </w:p>
        </w:tc>
        <w:tc>
          <w:tcPr>
            <w:tcW w:w="10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(2.2 )</w:t>
            </w: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(0.1 )</w:t>
            </w:r>
          </w:p>
        </w:tc>
      </w:tr>
      <w:tr>
        <w:trPr>
          <w:trHeight w:val="218"/>
        </w:trPr>
        <w:tc>
          <w:tcPr>
            <w:tcW w:w="7720" w:type="dxa"/>
            <w:vAlign w:val="bottom"/>
          </w:tcPr>
          <w:p>
            <w:pPr>
              <w:ind w:left="520"/>
              <w:spacing w:after="0"/>
              <w:rPr>
                <w:sz w:val="20"/>
                <w:szCs w:val="20"/>
                <w:color w:val="auto"/>
              </w:rPr>
            </w:pPr>
            <w:r>
              <w:rPr>
                <w:rFonts w:ascii="Arial" w:cs="Arial" w:eastAsia="Arial" w:hAnsi="Arial"/>
                <w:sz w:val="16"/>
                <w:szCs w:val="16"/>
                <w:color w:val="auto"/>
              </w:rPr>
              <w:t>Payments of contingent consideration for acquisitions</w:t>
            </w:r>
          </w:p>
        </w:tc>
        <w:tc>
          <w:tcPr>
            <w:tcW w:w="10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(6.2 )</w:t>
            </w:r>
          </w:p>
        </w:tc>
        <w:tc>
          <w:tcPr>
            <w:tcW w:w="5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(1.7 )</w:t>
            </w:r>
          </w:p>
        </w:tc>
      </w:tr>
      <w:tr>
        <w:trPr>
          <w:trHeight w:val="231"/>
        </w:trPr>
        <w:tc>
          <w:tcPr>
            <w:tcW w:w="7720" w:type="dxa"/>
            <w:vAlign w:val="bottom"/>
            <w:shd w:val="clear" w:color="auto" w:fill="CFF0FC"/>
          </w:tcPr>
          <w:p>
            <w:pPr>
              <w:ind w:left="520"/>
              <w:spacing w:after="0"/>
              <w:rPr>
                <w:sz w:val="20"/>
                <w:szCs w:val="20"/>
                <w:color w:val="auto"/>
              </w:rPr>
            </w:pPr>
            <w:r>
              <w:rPr>
                <w:rFonts w:ascii="Arial" w:cs="Arial" w:eastAsia="Arial" w:hAnsi="Arial"/>
                <w:sz w:val="16"/>
                <w:szCs w:val="16"/>
                <w:color w:val="auto"/>
              </w:rPr>
              <w:t>Proceeds from share-based awards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FF0FC"/>
          </w:tcPr>
          <w:p>
            <w:pPr>
              <w:spacing w:after="0"/>
              <w:rPr>
                <w:sz w:val="20"/>
                <w:szCs w:val="20"/>
                <w:color w:val="auto"/>
              </w:rPr>
            </w:pPr>
          </w:p>
        </w:tc>
      </w:tr>
      <w:tr>
        <w:trPr>
          <w:trHeight w:val="218"/>
        </w:trPr>
        <w:tc>
          <w:tcPr>
            <w:tcW w:w="7720" w:type="dxa"/>
            <w:vAlign w:val="bottom"/>
          </w:tcPr>
          <w:p>
            <w:pPr>
              <w:ind w:left="520"/>
              <w:spacing w:after="0"/>
              <w:rPr>
                <w:sz w:val="20"/>
                <w:szCs w:val="20"/>
                <w:color w:val="auto"/>
              </w:rPr>
            </w:pPr>
            <w:r>
              <w:rPr>
                <w:rFonts w:ascii="Arial" w:cs="Arial" w:eastAsia="Arial" w:hAnsi="Arial"/>
                <w:sz w:val="16"/>
                <w:szCs w:val="16"/>
                <w:color w:val="auto"/>
              </w:rPr>
              <w:t>Payments to noncontrolling interests</w:t>
            </w:r>
          </w:p>
        </w:tc>
        <w:tc>
          <w:tcPr>
            <w:tcW w:w="10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(0.8 )</w:t>
            </w:r>
          </w:p>
        </w:tc>
      </w:tr>
      <w:tr>
        <w:trPr>
          <w:trHeight w:val="231"/>
        </w:trPr>
        <w:tc>
          <w:tcPr>
            <w:tcW w:w="7720" w:type="dxa"/>
            <w:vAlign w:val="bottom"/>
            <w:shd w:val="clear" w:color="auto" w:fill="CFF0FC"/>
          </w:tcPr>
          <w:p>
            <w:pPr>
              <w:ind w:left="520"/>
              <w:spacing w:after="0"/>
              <w:rPr>
                <w:sz w:val="20"/>
                <w:szCs w:val="20"/>
                <w:color w:val="auto"/>
              </w:rPr>
            </w:pPr>
            <w:r>
              <w:rPr>
                <w:rFonts w:ascii="Arial" w:cs="Arial" w:eastAsia="Arial" w:hAnsi="Arial"/>
                <w:sz w:val="16"/>
                <w:szCs w:val="16"/>
                <w:color w:val="auto"/>
              </w:rPr>
              <w:t>Other share-based award transactions</w:t>
            </w:r>
          </w:p>
        </w:tc>
        <w:tc>
          <w:tcPr>
            <w:tcW w:w="10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(4.6 )</w:t>
            </w: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(6.6 )</w:t>
            </w:r>
          </w:p>
        </w:tc>
      </w:tr>
      <w:tr>
        <w:trPr>
          <w:trHeight w:val="218"/>
        </w:trPr>
        <w:tc>
          <w:tcPr>
            <w:tcW w:w="7720" w:type="dxa"/>
            <w:vAlign w:val="bottom"/>
          </w:tcPr>
          <w:p>
            <w:pPr>
              <w:ind w:left="520"/>
              <w:spacing w:after="0"/>
              <w:rPr>
                <w:sz w:val="20"/>
                <w:szCs w:val="20"/>
                <w:color w:val="auto"/>
              </w:rPr>
            </w:pPr>
            <w:r>
              <w:rPr>
                <w:rFonts w:ascii="Arial" w:cs="Arial" w:eastAsia="Arial" w:hAnsi="Arial"/>
                <w:sz w:val="16"/>
                <w:szCs w:val="16"/>
                <w:color w:val="auto"/>
              </w:rPr>
              <w:t>Repurchases of common stock</w:t>
            </w:r>
          </w:p>
        </w:tc>
        <w:tc>
          <w:tcPr>
            <w:tcW w:w="10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(150.1 )</w:t>
            </w:r>
          </w:p>
        </w:tc>
        <w:tc>
          <w:tcPr>
            <w:tcW w:w="5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(63.8 )</w:t>
            </w:r>
          </w:p>
        </w:tc>
      </w:tr>
      <w:tr>
        <w:trPr>
          <w:trHeight w:val="225"/>
        </w:trPr>
        <w:tc>
          <w:tcPr>
            <w:tcW w:w="7720" w:type="dxa"/>
            <w:vAlign w:val="bottom"/>
            <w:shd w:val="clear" w:color="auto" w:fill="CFF0FC"/>
          </w:tcPr>
          <w:p>
            <w:pPr>
              <w:ind w:left="520"/>
              <w:spacing w:after="0"/>
              <w:rPr>
                <w:sz w:val="20"/>
                <w:szCs w:val="20"/>
                <w:color w:val="auto"/>
              </w:rPr>
            </w:pPr>
            <w:r>
              <w:rPr>
                <w:rFonts w:ascii="Arial" w:cs="Arial" w:eastAsia="Arial" w:hAnsi="Arial"/>
                <w:sz w:val="16"/>
                <w:szCs w:val="16"/>
                <w:color w:val="auto"/>
              </w:rPr>
              <w:t>Dividends paid</w:t>
            </w:r>
          </w:p>
        </w:tc>
        <w:tc>
          <w:tcPr>
            <w:tcW w:w="10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(68.3 )</w:t>
            </w:r>
          </w:p>
        </w:tc>
        <w:tc>
          <w:tcPr>
            <w:tcW w:w="5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(63.2 )</w:t>
            </w:r>
          </w:p>
        </w:tc>
      </w:tr>
      <w:tr>
        <w:trPr>
          <w:trHeight w:val="20"/>
        </w:trPr>
        <w:tc>
          <w:tcPr>
            <w:tcW w:w="77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7"/>
        </w:trPr>
        <w:tc>
          <w:tcPr>
            <w:tcW w:w="7720" w:type="dxa"/>
            <w:vAlign w:val="bottom"/>
          </w:tcPr>
          <w:p>
            <w:pPr>
              <w:ind w:left="1140"/>
              <w:spacing w:after="0"/>
              <w:rPr>
                <w:sz w:val="20"/>
                <w:szCs w:val="20"/>
                <w:color w:val="auto"/>
              </w:rPr>
            </w:pPr>
            <w:r>
              <w:rPr>
                <w:rFonts w:ascii="Arial" w:cs="Arial" w:eastAsia="Arial" w:hAnsi="Arial"/>
                <w:sz w:val="16"/>
                <w:szCs w:val="16"/>
                <w:color w:val="auto"/>
              </w:rPr>
              <w:t>Cash used in financing activities</w:t>
            </w:r>
          </w:p>
        </w:tc>
        <w:tc>
          <w:tcPr>
            <w:tcW w:w="10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(223.8 )</w:t>
            </w:r>
          </w:p>
        </w:tc>
        <w:tc>
          <w:tcPr>
            <w:tcW w:w="5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(146.1 )</w:t>
            </w:r>
          </w:p>
        </w:tc>
      </w:tr>
      <w:tr>
        <w:trPr>
          <w:trHeight w:val="20"/>
        </w:trPr>
        <w:tc>
          <w:tcPr>
            <w:tcW w:w="7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w:t>
            </w:r>
          </w:p>
        </w:tc>
        <w:tc>
          <w:tcPr>
            <w:tcW w:w="10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(46.5 )</w:t>
            </w: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(19.1 )</w:t>
            </w:r>
          </w:p>
        </w:tc>
      </w:tr>
      <w:tr>
        <w:trPr>
          <w:trHeight w:val="20"/>
        </w:trPr>
        <w:tc>
          <w:tcPr>
            <w:tcW w:w="77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7"/>
        </w:trPr>
        <w:tc>
          <w:tcPr>
            <w:tcW w:w="7720" w:type="dxa"/>
            <w:vAlign w:val="bottom"/>
          </w:tcPr>
          <w:p>
            <w:pPr>
              <w:spacing w:after="0"/>
              <w:rPr>
                <w:sz w:val="20"/>
                <w:szCs w:val="20"/>
                <w:color w:val="auto"/>
              </w:rPr>
            </w:pPr>
            <w:r>
              <w:rPr>
                <w:rFonts w:ascii="Arial" w:cs="Arial" w:eastAsia="Arial" w:hAnsi="Arial"/>
                <w:sz w:val="16"/>
                <w:szCs w:val="16"/>
                <w:color w:val="auto"/>
              </w:rPr>
              <w:t>Change in cash and cash equivalents</w:t>
            </w:r>
          </w:p>
        </w:tc>
        <w:tc>
          <w:tcPr>
            <w:tcW w:w="10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(105.7 )</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412.8</w:t>
            </w:r>
          </w:p>
        </w:tc>
        <w:tc>
          <w:tcPr>
            <w:tcW w:w="120" w:type="dxa"/>
            <w:vAlign w:val="bottom"/>
          </w:tcPr>
          <w:p>
            <w:pPr>
              <w:spacing w:after="0"/>
              <w:rPr>
                <w:sz w:val="18"/>
                <w:szCs w:val="18"/>
                <w:color w:val="auto"/>
              </w:rPr>
            </w:pPr>
          </w:p>
        </w:tc>
      </w:tr>
      <w:tr>
        <w:trPr>
          <w:trHeight w:val="225"/>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Borders>
              <w:bottom w:val="single" w:sz="8" w:color="auto"/>
            </w:tcBorders>
            <w:shd w:val="clear" w:color="auto" w:fill="CFF0FC"/>
          </w:tcPr>
          <w:p>
            <w:pPr>
              <w:jc w:val="right"/>
              <w:ind w:right="84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1,567.1</w:t>
            </w:r>
          </w:p>
        </w:tc>
        <w:tc>
          <w:tcPr>
            <w:tcW w:w="3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1,025.8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17"/>
        </w:trPr>
        <w:tc>
          <w:tcPr>
            <w:tcW w:w="772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1,461.4</w:t>
            </w:r>
          </w:p>
        </w:tc>
        <w:tc>
          <w:tcPr>
            <w:tcW w:w="300" w:type="dxa"/>
            <w:vAlign w:val="bottom"/>
          </w:tcPr>
          <w:p>
            <w:pPr>
              <w:spacing w:after="0"/>
              <w:rPr>
                <w:sz w:val="18"/>
                <w:szCs w:val="18"/>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1,438.6</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8"/>
        </w:trPr>
        <w:tc>
          <w:tcPr>
            <w:tcW w:w="7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5906770</wp:posOffset>
            </wp:positionH>
            <wp:positionV relativeFrom="paragraph">
              <wp:posOffset>-3429000</wp:posOffset>
            </wp:positionV>
            <wp:extent cx="187960" cy="50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796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-3429000</wp:posOffset>
            </wp:positionV>
            <wp:extent cx="67310" cy="50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-2550160</wp:posOffset>
            </wp:positionV>
            <wp:extent cx="187960" cy="5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796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-2550160</wp:posOffset>
            </wp:positionV>
            <wp:extent cx="67310" cy="5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-1115695</wp:posOffset>
            </wp:positionV>
            <wp:extent cx="187960" cy="5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796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-1115695</wp:posOffset>
            </wp:positionV>
            <wp:extent cx="67310" cy="5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-815340</wp:posOffset>
            </wp:positionV>
            <wp:extent cx="187960" cy="50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796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-815340</wp:posOffset>
            </wp:positionV>
            <wp:extent cx="67310" cy="50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-522605</wp:posOffset>
            </wp:positionV>
            <wp:extent cx="187960" cy="5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796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-522605</wp:posOffset>
            </wp:positionV>
            <wp:extent cx="67310" cy="5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75" w:right="3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5851525</wp:posOffset>
            </wp:positionV>
            <wp:extent cx="717486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2021-07-20T06:48:31Z</dcterms:created>
  <dcterms:modified xsi:type="dcterms:W3CDTF">2021-07-20T06:48:31Z</dcterms:modified>
</cp:coreProperties>
</file>