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2,101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66.31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6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-3729990</wp:posOffset>
            </wp:positionV>
            <wp:extent cx="7033260" cy="3772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77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August 14, 2020 and were settled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August 14,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2020 at an average price of $66.31.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33% on each 8/14/2021, 8/14/2022, and 8/14/2023 and will be settled in shares of ManpowerGroup common stock on a 1 for 1 basis upon vesting.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2020-08-14T22:02:41Z</dcterms:created>
  <dcterms:modified xsi:type="dcterms:W3CDTF">2020-08-14T22:02:41Z</dcterms:modified>
</cp:coreProperties>
</file>