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Date of Report (Date of earliest event reported): July 17, 2025</w:t>
      </w:r>
    </w:p>
    <w:p>
      <w:pPr>
        <w:spacing w:after="0" w:line="10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0"/>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282"/>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8"/>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0"/>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94" w:lineRule="exact"/>
        <w:rPr>
          <w:sz w:val="24"/>
          <w:szCs w:val="24"/>
          <w:color w:val="auto"/>
        </w:rPr>
      </w:pPr>
    </w:p>
    <w:p>
      <w:pPr>
        <w:ind w:left="3465"/>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35" w:lineRule="exact"/>
        <w:rPr>
          <w:sz w:val="24"/>
          <w:szCs w:val="24"/>
          <w:color w:val="auto"/>
        </w:rPr>
      </w:pPr>
    </w:p>
    <w:p>
      <w:pPr>
        <w:ind w:left="3665"/>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3" w:lineRule="exact"/>
        <w:rPr>
          <w:sz w:val="24"/>
          <w:szCs w:val="24"/>
          <w:color w:val="auto"/>
        </w:rPr>
      </w:pPr>
    </w:p>
    <w:tbl>
      <w:tblPr>
        <w:tblLayout w:type="fixed"/>
        <w:tblInd w:w="15" w:type="dxa"/>
        <w:tblCellMar>
          <w:top w:w="0" w:type="dxa"/>
          <w:left w:w="0" w:type="dxa"/>
          <w:bottom w:w="0" w:type="dxa"/>
          <w:right w:w="0" w:type="dxa"/>
        </w:tblCellMar>
      </w:tblPr>
      <w:tr>
        <w:trPr>
          <w:trHeight w:val="20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165"/>
        </w:trPr>
        <w:tc>
          <w:tcPr>
            <w:tcW w:w="374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r>
      <w:tr>
        <w:trPr>
          <w:trHeight w:val="161"/>
        </w:trPr>
        <w:tc>
          <w:tcPr>
            <w:tcW w:w="3740" w:type="dxa"/>
            <w:vAlign w:val="bottom"/>
            <w:tcBorders>
              <w:left w:val="single" w:sz="8" w:color="auto"/>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Title of each class</w:t>
            </w:r>
          </w:p>
        </w:tc>
        <w:tc>
          <w:tcPr>
            <w:tcW w:w="376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7"/>
              </w:rPr>
              <w:t>Trading Symbol(s)</w:t>
            </w:r>
          </w:p>
        </w:tc>
        <w:tc>
          <w:tcPr>
            <w:tcW w:w="376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65"/>
        </w:trPr>
        <w:tc>
          <w:tcPr>
            <w:tcW w:w="3740" w:type="dxa"/>
            <w:vAlign w:val="bottom"/>
            <w:tcBorders>
              <w:left w:val="single" w:sz="8" w:color="auto"/>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MAN</w:t>
            </w:r>
          </w:p>
        </w:tc>
        <w:tc>
          <w:tcPr>
            <w:tcW w:w="37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161" w:lineRule="exact"/>
        <w:rPr>
          <w:sz w:val="24"/>
          <w:szCs w:val="24"/>
          <w:color w:val="auto"/>
        </w:rPr>
      </w:pPr>
    </w:p>
    <w:p>
      <w:pPr>
        <w:ind w:left="5"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633095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4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8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1"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6"/>
          <w:szCs w:val="16"/>
          <w:color w:val="auto"/>
        </w:rPr>
        <w:t>On July 17, 2025, we issued a press release announcing our results of operations for the three and six months ended June 30, 2025 and 2024. A copy of the press release is attached hereto as Exhibit 99.1 and is incorporated herein by reference.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19"/>
        </w:trPr>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6"/>
        </w:trPr>
        <w:tc>
          <w:tcPr>
            <w:tcW w:w="20" w:type="dxa"/>
            <w:vAlign w:val="bottom"/>
          </w:tcPr>
          <w:p>
            <w:pPr>
              <w:spacing w:after="0"/>
              <w:rPr>
                <w:sz w:val="12"/>
                <w:szCs w:val="12"/>
                <w:color w:val="auto"/>
              </w:rPr>
            </w:pPr>
          </w:p>
        </w:tc>
        <w:tc>
          <w:tcPr>
            <w:tcW w:w="780" w:type="dxa"/>
            <w:vAlign w:val="bottom"/>
            <w:tcBorders>
              <w:top w:val="single" w:sz="8" w:color="auto"/>
            </w:tcBorders>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tcBorders>
              <w:top w:val="single" w:sz="8" w:color="auto"/>
              <w:bottom w:val="single" w:sz="8" w:color="0000EE"/>
            </w:tcBorders>
          </w:tcPr>
          <w:p>
            <w:pPr>
              <w:spacing w:after="0" w:line="145" w:lineRule="exact"/>
              <w:rPr>
                <w:sz w:val="20"/>
                <w:szCs w:val="20"/>
                <w:color w:val="auto"/>
              </w:rPr>
            </w:pPr>
            <w:r>
              <w:rPr>
                <w:rFonts w:ascii="Times New Roman" w:cs="Times New Roman" w:eastAsia="Times New Roman" w:hAnsi="Times New Roman"/>
                <w:sz w:val="16"/>
                <w:szCs w:val="16"/>
                <w:color w:val="0000FF"/>
                <w:w w:val="98"/>
              </w:rPr>
              <w:t>Press Release dated July 17, 2025</w:t>
            </w:r>
          </w:p>
        </w:tc>
        <w:tc>
          <w:tcPr>
            <w:tcW w:w="7720" w:type="dxa"/>
            <w:vAlign w:val="bottom"/>
            <w:tcBorders>
              <w:top w:val="single" w:sz="8" w:color="auto"/>
            </w:tcBorders>
            <w:gridSpan w:val="2"/>
          </w:tcPr>
          <w:p>
            <w:pPr>
              <w:spacing w:after="0"/>
              <w:rPr>
                <w:sz w:val="12"/>
                <w:szCs w:val="12"/>
                <w:color w:val="auto"/>
              </w:rPr>
            </w:pP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Presentation materials for July 17, 2025 Conference Call</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EE"/>
            </w:tcBorders>
            <w:gridSpan w:val="2"/>
            <w:shd w:val="clear" w:color="auto" w:fill="0000FF"/>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05"/>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233"/>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0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39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Dated:July 17, 2025</w:t>
            </w: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56"/>
        </w:trPr>
        <w:tc>
          <w:tcPr>
            <w:tcW w:w="720" w:type="dxa"/>
            <w:vAlign w:val="bottom"/>
          </w:tcPr>
          <w:p>
            <w:pPr>
              <w:spacing w:after="0"/>
              <w:rPr>
                <w:sz w:val="13"/>
                <w:szCs w:val="13"/>
                <w:color w:val="auto"/>
              </w:rPr>
            </w:pPr>
          </w:p>
        </w:tc>
        <w:tc>
          <w:tcPr>
            <w:tcW w:w="4500" w:type="dxa"/>
            <w:vAlign w:val="bottom"/>
            <w:tcBorders>
              <w:top w:val="single" w:sz="8" w:color="auto"/>
            </w:tcBorders>
          </w:tcPr>
          <w:p>
            <w:pPr>
              <w:spacing w:after="0"/>
              <w:rPr>
                <w:sz w:val="13"/>
                <w:szCs w:val="13"/>
                <w:color w:val="auto"/>
              </w:rPr>
            </w:pPr>
          </w:p>
        </w:tc>
        <w:tc>
          <w:tcPr>
            <w:tcW w:w="860" w:type="dxa"/>
            <w:vAlign w:val="bottom"/>
          </w:tcPr>
          <w:p>
            <w:pPr>
              <w:ind w:left="260"/>
              <w:spacing w:after="0" w:line="156" w:lineRule="exact"/>
              <w:rPr>
                <w:sz w:val="20"/>
                <w:szCs w:val="20"/>
                <w:color w:val="auto"/>
              </w:rPr>
            </w:pPr>
            <w:r>
              <w:rPr>
                <w:rFonts w:ascii="Times New Roman" w:cs="Times New Roman" w:eastAsia="Times New Roman" w:hAnsi="Times New Roman"/>
                <w:sz w:val="16"/>
                <w:szCs w:val="16"/>
                <w:color w:val="auto"/>
              </w:rPr>
              <w:t>Name:</w:t>
            </w:r>
          </w:p>
        </w:tc>
        <w:tc>
          <w:tcPr>
            <w:tcW w:w="120" w:type="dxa"/>
            <w:vAlign w:val="bottom"/>
            <w:tcBorders>
              <w:top w:val="single" w:sz="8" w:color="auto"/>
            </w:tcBorders>
          </w:tcPr>
          <w:p>
            <w:pPr>
              <w:spacing w:after="0"/>
              <w:rPr>
                <w:sz w:val="13"/>
                <w:szCs w:val="13"/>
                <w:color w:val="auto"/>
              </w:rPr>
            </w:pPr>
          </w:p>
        </w:tc>
        <w:tc>
          <w:tcPr>
            <w:tcW w:w="506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6"/>
                <w:szCs w:val="16"/>
                <w:color w:val="auto"/>
              </w:rPr>
              <w:t>John T. McGinnis</w:t>
            </w:r>
          </w:p>
        </w:tc>
      </w:tr>
      <w:tr>
        <w:trPr>
          <w:trHeight w:val="189"/>
        </w:trPr>
        <w:tc>
          <w:tcPr>
            <w:tcW w:w="7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Title:</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44"/>
        </w:trPr>
        <w:tc>
          <w:tcPr>
            <w:tcW w:w="7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
        <w:spacing w:after="0"/>
        <w:tabs>
          <w:tab w:leader="none" w:pos="6745"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192" w:lineRule="exact"/>
        <w:rPr>
          <w:sz w:val="20"/>
          <w:szCs w:val="20"/>
          <w:color w:val="auto"/>
        </w:rPr>
      </w:pPr>
    </w:p>
    <w:p>
      <w:pPr>
        <w:ind w:left="6765"/>
        <w:spacing w:after="0"/>
        <w:rPr>
          <w:sz w:val="20"/>
          <w:szCs w:val="20"/>
          <w:color w:val="auto"/>
        </w:rPr>
      </w:pPr>
      <w:r>
        <w:rPr>
          <w:rFonts w:ascii="Arial" w:cs="Arial" w:eastAsia="Arial" w:hAnsi="Arial"/>
          <w:sz w:val="15"/>
          <w:szCs w:val="15"/>
          <w:color w:val="auto"/>
        </w:rPr>
        <w:t>Haley Jones</w:t>
      </w:r>
    </w:p>
    <w:p>
      <w:pPr>
        <w:spacing w:after="0" w:line="25" w:lineRule="exact"/>
        <w:rPr>
          <w:sz w:val="20"/>
          <w:szCs w:val="20"/>
          <w:color w:val="auto"/>
        </w:rPr>
      </w:pPr>
    </w:p>
    <w:p>
      <w:pPr>
        <w:ind w:left="6765"/>
        <w:spacing w:after="0"/>
        <w:rPr>
          <w:sz w:val="20"/>
          <w:szCs w:val="20"/>
          <w:color w:val="auto"/>
        </w:rPr>
      </w:pPr>
      <w:r>
        <w:rPr>
          <w:rFonts w:ascii="Arial" w:cs="Arial" w:eastAsia="Arial" w:hAnsi="Arial"/>
          <w:sz w:val="15"/>
          <w:szCs w:val="15"/>
          <w:color w:val="auto"/>
        </w:rPr>
        <w:t>+1.414.906.6804</w:t>
      </w:r>
    </w:p>
    <w:p>
      <w:pPr>
        <w:spacing w:after="0" w:line="17" w:lineRule="exact"/>
        <w:rPr>
          <w:sz w:val="20"/>
          <w:szCs w:val="20"/>
          <w:color w:val="auto"/>
        </w:rPr>
      </w:pPr>
    </w:p>
    <w:p>
      <w:pPr>
        <w:ind w:left="6765"/>
        <w:spacing w:after="0"/>
        <w:rPr>
          <w:sz w:val="20"/>
          <w:szCs w:val="20"/>
          <w:color w:val="auto"/>
        </w:rPr>
      </w:pPr>
      <w:r>
        <w:rPr>
          <w:rFonts w:ascii="Arial" w:cs="Arial" w:eastAsia="Arial" w:hAnsi="Arial"/>
          <w:sz w:val="15"/>
          <w:szCs w:val="15"/>
          <w:u w:val="single" w:color="auto"/>
          <w:color w:val="0000FF"/>
        </w:rPr>
        <w:t>haley.jones@manpowergroup.com</w:t>
      </w:r>
    </w:p>
    <w:p>
      <w:pPr>
        <w:spacing w:after="0" w:line="229"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ManpowerGroup Reports 2</w:t>
      </w:r>
      <w:r>
        <w:rPr>
          <w:rFonts w:ascii="Arial" w:cs="Arial" w:eastAsia="Arial" w:hAnsi="Arial"/>
          <w:sz w:val="25"/>
          <w:szCs w:val="25"/>
          <w:b w:val="1"/>
          <w:bCs w:val="1"/>
          <w:color w:val="auto"/>
          <w:vertAlign w:val="superscript"/>
        </w:rPr>
        <w:t>nd</w:t>
      </w:r>
      <w:r>
        <w:rPr>
          <w:rFonts w:ascii="Arial" w:cs="Arial" w:eastAsia="Arial" w:hAnsi="Arial"/>
          <w:sz w:val="19"/>
          <w:szCs w:val="19"/>
          <w:b w:val="1"/>
          <w:bCs w:val="1"/>
          <w:color w:val="auto"/>
        </w:rPr>
        <w:t xml:space="preserve"> Quarter 2025 Results</w:t>
      </w:r>
    </w:p>
    <w:p>
      <w:pPr>
        <w:spacing w:after="0" w:line="41" w:lineRule="exact"/>
        <w:rPr>
          <w:sz w:val="20"/>
          <w:szCs w:val="20"/>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Revenues of $4.5 billion (flat as reported, -3% constant currency (CC), -1% organic CC)</w:t>
      </w:r>
    </w:p>
    <w:p>
      <w:pPr>
        <w:spacing w:after="0" w:line="83" w:lineRule="exact"/>
        <w:rPr>
          <w:rFonts w:ascii="Times New Roman" w:cs="Times New Roman" w:eastAsia="Times New Roman" w:hAnsi="Times New Roman"/>
          <w:sz w:val="17"/>
          <w:szCs w:val="17"/>
          <w:color w:val="auto"/>
        </w:rPr>
      </w:pPr>
    </w:p>
    <w:p>
      <w:pPr>
        <w:ind w:left="1125" w:right="20"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Latin America and Asia Pacific continued to experience good demand while demand in Europe and North America saw stabilizing trends in many markets during the quarter</w:t>
      </w:r>
    </w:p>
    <w:p>
      <w:pPr>
        <w:spacing w:after="0" w:line="29" w:lineRule="exact"/>
        <w:rPr>
          <w:rFonts w:ascii="Times New Roman" w:cs="Times New Roman" w:eastAsia="Times New Roman" w:hAnsi="Times New Roman"/>
          <w:sz w:val="17"/>
          <w:szCs w:val="17"/>
          <w:color w:val="auto"/>
        </w:rPr>
      </w:pPr>
    </w:p>
    <w:p>
      <w:pPr>
        <w:ind w:left="1125" w:right="20"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Manpower and Talent Solutions brands crossed back over to revenue growth in the quarter while Experis experienced declines on sluggish professional staffing demand</w:t>
      </w:r>
    </w:p>
    <w:p>
      <w:pPr>
        <w:spacing w:after="0" w:line="29" w:lineRule="exact"/>
        <w:rPr>
          <w:rFonts w:ascii="Times New Roman" w:cs="Times New Roman" w:eastAsia="Times New Roman" w:hAnsi="Times New Roman"/>
          <w:sz w:val="17"/>
          <w:szCs w:val="17"/>
          <w:color w:val="auto"/>
        </w:rPr>
      </w:pPr>
    </w:p>
    <w:p>
      <w:pPr>
        <w:ind w:left="1125" w:right="20"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Gross profit margin of 16.9% reflects a slight decrease from the previous quarter reflecting business mix changes impacting staffing while permanent recruitment activity levels remained stable</w:t>
      </w:r>
    </w:p>
    <w:p>
      <w:pPr>
        <w:spacing w:after="0" w:line="2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SG&amp;A declined year over year with additional restructuring actions taken in the quarter</w:t>
      </w:r>
    </w:p>
    <w:p>
      <w:pPr>
        <w:spacing w:after="0" w:line="9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Non-cash goodwill impairment charge of $89 million during the quarter</w:t>
      </w:r>
    </w:p>
    <w:p>
      <w:pPr>
        <w:spacing w:after="0" w:line="180" w:lineRule="exact"/>
        <w:rPr>
          <w:sz w:val="20"/>
          <w:szCs w:val="20"/>
          <w:color w:val="auto"/>
        </w:rPr>
      </w:pPr>
    </w:p>
    <w:p>
      <w:pPr>
        <w:jc w:val="both"/>
        <w:ind w:left="5"/>
        <w:spacing w:after="0" w:line="241" w:lineRule="auto"/>
        <w:rPr>
          <w:sz w:val="20"/>
          <w:szCs w:val="20"/>
          <w:color w:val="auto"/>
        </w:rPr>
      </w:pPr>
      <w:r>
        <w:rPr>
          <w:rFonts w:ascii="Arial" w:cs="Arial" w:eastAsia="Arial" w:hAnsi="Arial"/>
          <w:sz w:val="17"/>
          <w:szCs w:val="17"/>
          <w:b w:val="1"/>
          <w:bCs w:val="1"/>
          <w:color w:val="auto"/>
        </w:rPr>
        <w:t xml:space="preserve">MILWAUKEE, July 17, 2025 – </w:t>
      </w:r>
      <w:r>
        <w:rPr>
          <w:rFonts w:ascii="Arial" w:cs="Arial" w:eastAsia="Arial" w:hAnsi="Arial"/>
          <w:sz w:val="17"/>
          <w:szCs w:val="17"/>
          <w:color w:val="auto"/>
        </w:rPr>
        <w:t>ManpowerGroup (NYSE: MAN) today reported net losses of $ 1.44 per basic share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2025 compared to net earnings of $1.24 per diluted share in the prior year period. Net losses in the quarter were $67.1 million compared to net earnings of $60.1 million a year earlier. Revenues for the second quarter were $4.5 billion, flat from the prior year period.</w:t>
      </w:r>
    </w:p>
    <w:p>
      <w:pPr>
        <w:spacing w:after="0" w:line="1" w:lineRule="exact"/>
        <w:rPr>
          <w:sz w:val="20"/>
          <w:szCs w:val="20"/>
          <w:color w:val="auto"/>
        </w:rPr>
      </w:pPr>
    </w:p>
    <w:p>
      <w:pPr>
        <w:ind w:left="5" w:right="120" w:firstLine="751"/>
        <w:spacing w:after="0" w:line="181" w:lineRule="auto"/>
        <w:rPr>
          <w:sz w:val="20"/>
          <w:szCs w:val="20"/>
          <w:color w:val="auto"/>
        </w:rPr>
      </w:pPr>
      <w:r>
        <w:rPr>
          <w:rFonts w:ascii="Arial" w:cs="Arial" w:eastAsia="Arial" w:hAnsi="Arial"/>
          <w:sz w:val="17"/>
          <w:szCs w:val="17"/>
          <w:color w:val="auto"/>
        </w:rPr>
        <w:t>The current year quarter included a non-cash goodwill and intangible asset impairment charge</w:t>
      </w:r>
      <w:r>
        <w:rPr>
          <w:rFonts w:ascii="Arial" w:cs="Arial" w:eastAsia="Arial" w:hAnsi="Arial"/>
          <w:sz w:val="23"/>
          <w:szCs w:val="23"/>
          <w:color w:val="auto"/>
          <w:vertAlign w:val="superscript"/>
        </w:rPr>
        <w:t>1</w:t>
      </w:r>
      <w:r>
        <w:rPr>
          <w:rFonts w:ascii="Arial" w:cs="Arial" w:eastAsia="Arial" w:hAnsi="Arial"/>
          <w:sz w:val="17"/>
          <w:szCs w:val="17"/>
          <w:color w:val="auto"/>
        </w:rPr>
        <w:t>, restructuring costs, and net losses from the sale of businesses</w:t>
      </w:r>
      <w:r>
        <w:rPr>
          <w:rFonts w:ascii="Arial" w:cs="Arial" w:eastAsia="Arial" w:hAnsi="Arial"/>
          <w:sz w:val="23"/>
          <w:szCs w:val="23"/>
          <w:color w:val="auto"/>
          <w:vertAlign w:val="superscript"/>
        </w:rPr>
        <w:t>2</w:t>
      </w:r>
      <w:r>
        <w:rPr>
          <w:rFonts w:ascii="Arial" w:cs="Arial" w:eastAsia="Arial" w:hAnsi="Arial"/>
          <w:sz w:val="17"/>
          <w:szCs w:val="17"/>
          <w:color w:val="auto"/>
        </w:rPr>
        <w:t>, which will operate as franchises going forward, which reduced earnings per share by $2.22 in the second quarter. Excluding these charges, earnings per share was $0.78 per diluted share in the quarter representing a decrease of 43% in constant currency.</w:t>
      </w:r>
      <w:r>
        <w:rPr>
          <w:rFonts w:ascii="Arial" w:cs="Arial" w:eastAsia="Arial" w:hAnsi="Arial"/>
          <w:sz w:val="23"/>
          <w:szCs w:val="23"/>
          <w:color w:val="auto"/>
          <w:vertAlign w:val="superscript"/>
        </w:rPr>
        <w:t>3</w:t>
      </w:r>
    </w:p>
    <w:p>
      <w:pPr>
        <w:ind w:left="745"/>
        <w:spacing w:after="0"/>
        <w:rPr>
          <w:sz w:val="20"/>
          <w:szCs w:val="20"/>
          <w:color w:val="auto"/>
        </w:rPr>
      </w:pPr>
      <w:r>
        <w:rPr>
          <w:rFonts w:ascii="Arial" w:cs="Arial" w:eastAsia="Arial" w:hAnsi="Arial"/>
          <w:sz w:val="17"/>
          <w:szCs w:val="17"/>
          <w:color w:val="auto"/>
        </w:rPr>
        <w:t>Financial results in the quarter were also impacted by the U.S. dollar relative to foreign currencies</w:t>
      </w:r>
    </w:p>
    <w:p>
      <w:pPr>
        <w:spacing w:after="0" w:line="200" w:lineRule="exact"/>
        <w:rPr>
          <w:sz w:val="20"/>
          <w:szCs w:val="20"/>
          <w:color w:val="auto"/>
        </w:rPr>
      </w:pPr>
    </w:p>
    <w:p>
      <w:pPr>
        <w:spacing w:after="0" w:line="350" w:lineRule="exact"/>
        <w:rPr>
          <w:sz w:val="20"/>
          <w:szCs w:val="20"/>
          <w:color w:val="auto"/>
        </w:rPr>
      </w:pPr>
    </w:p>
    <w:p>
      <w:pPr>
        <w:ind w:left="125" w:hanging="125"/>
        <w:spacing w:after="0"/>
        <w:tabs>
          <w:tab w:leader="none" w:pos="125"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$55 million of goodwill and intangible impairment on Switzerland and $34 million of goodwill impairment on U.K. businesses.</w:t>
      </w:r>
    </w:p>
    <w:p>
      <w:pPr>
        <w:ind w:left="125" w:hanging="125"/>
        <w:spacing w:after="0" w:line="200" w:lineRule="auto"/>
        <w:tabs>
          <w:tab w:leader="none" w:pos="125"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South Africa and New Caledonia were sold and will operate as franchises going forward.</w:t>
      </w:r>
    </w:p>
    <w:p>
      <w:pPr>
        <w:ind w:left="125" w:hanging="125"/>
        <w:spacing w:after="0" w:line="201" w:lineRule="auto"/>
        <w:tabs>
          <w:tab w:leader="none" w:pos="125"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The prior year period included various adjustments which reduced earnings per share by $0.06 which are also excluded when determining the year over year adjusted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472440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80" w:right="319" w:bottom="1440" w:gutter="0" w:footer="0" w:header="0"/>
        </w:sectPr>
      </w:pPr>
    </w:p>
    <w:bookmarkStart w:id="4" w:name="page5"/>
    <w:bookmarkEnd w:id="4"/>
    <w:p>
      <w:pPr>
        <w:ind w:left="5" w:right="280"/>
        <w:spacing w:after="0" w:line="206" w:lineRule="auto"/>
        <w:rPr>
          <w:sz w:val="20"/>
          <w:szCs w:val="20"/>
          <w:color w:val="auto"/>
        </w:rPr>
      </w:pPr>
      <w:r>
        <w:rPr>
          <w:rFonts w:ascii="Arial" w:cs="Arial" w:eastAsia="Arial" w:hAnsi="Arial"/>
          <w:sz w:val="17"/>
          <w:szCs w:val="17"/>
          <w:color w:val="auto"/>
        </w:rPr>
        <w:t>compared to the prior year period.</w:t>
      </w:r>
      <w:r>
        <w:rPr>
          <w:rFonts w:ascii="Arial" w:cs="Arial" w:eastAsia="Arial" w:hAnsi="Arial"/>
          <w:sz w:val="23"/>
          <w:szCs w:val="23"/>
          <w:color w:val="auto"/>
          <w:vertAlign w:val="superscript"/>
        </w:rPr>
        <w:t>4</w:t>
      </w:r>
      <w:r>
        <w:rPr>
          <w:rFonts w:ascii="Arial" w:cs="Arial" w:eastAsia="Arial" w:hAnsi="Arial"/>
          <w:sz w:val="17"/>
          <w:szCs w:val="17"/>
          <w:color w:val="auto"/>
        </w:rPr>
        <w:t xml:space="preserve"> On a constant currency basis, revenues decreased 3% compared to the prior year period and on an organic constant currency basis, revenues decreased 1% compared to the prior year period.</w:t>
      </w:r>
    </w:p>
    <w:p>
      <w:pPr>
        <w:spacing w:after="0" w:line="1" w:lineRule="exact"/>
        <w:rPr>
          <w:sz w:val="20"/>
          <w:szCs w:val="20"/>
          <w:color w:val="auto"/>
        </w:rPr>
      </w:pPr>
    </w:p>
    <w:p>
      <w:pPr>
        <w:jc w:val="both"/>
        <w:ind w:left="5" w:firstLine="751"/>
        <w:spacing w:after="0" w:line="232" w:lineRule="auto"/>
        <w:rPr>
          <w:sz w:val="20"/>
          <w:szCs w:val="20"/>
          <w:color w:val="auto"/>
        </w:rPr>
      </w:pPr>
      <w:r>
        <w:rPr>
          <w:rFonts w:ascii="Arial" w:cs="Arial" w:eastAsia="Arial" w:hAnsi="Arial"/>
          <w:sz w:val="17"/>
          <w:szCs w:val="17"/>
          <w:color w:val="auto"/>
        </w:rPr>
        <w:t>Jonas Prising, ManpowerGroup Chair &amp; CEO, said “During the quarter, we continued to make strong progress in executing our plans to Diversify, Digitize and Innovate – with a focus on expanding our role as the strategic workforce partner of choice for our clients as tech transformation gathers pace. Although demand remains mixed across our global markets as employers adapt to economic and geopolitical volatility, we are beginning to see positive signs of stabilization in the US and parts of Europe. We remain focused on achieving market share gains while we make further adjustments to our cost base. Our ongoing investments in strengthening our digital core to accelerate AI adoption will ensure we are well positioned to accelerate progress and provide even more value to clients and candidates in future quarters.”</w:t>
      </w:r>
    </w:p>
    <w:p>
      <w:pPr>
        <w:spacing w:after="0" w:line="2" w:lineRule="exact"/>
        <w:rPr>
          <w:sz w:val="20"/>
          <w:szCs w:val="20"/>
          <w:color w:val="auto"/>
        </w:rPr>
      </w:pPr>
    </w:p>
    <w:p>
      <w:pPr>
        <w:jc w:val="both"/>
        <w:ind w:left="5" w:firstLine="751"/>
        <w:spacing w:after="0" w:line="232" w:lineRule="auto"/>
        <w:rPr>
          <w:sz w:val="20"/>
          <w:szCs w:val="20"/>
          <w:color w:val="auto"/>
        </w:rPr>
      </w:pPr>
      <w:r>
        <w:rPr>
          <w:rFonts w:ascii="Arial" w:cs="Arial" w:eastAsia="Arial" w:hAnsi="Arial"/>
          <w:sz w:val="17"/>
          <w:szCs w:val="17"/>
          <w:color w:val="auto"/>
        </w:rPr>
        <w:t>We anticipate diluted earnings per share in the third quarter will be between $0.77 and $0.87, which includes an estimated favorable currency impact of 3 cents and a 48.0% effective tax rate."</w:t>
      </w:r>
    </w:p>
    <w:p>
      <w:pPr>
        <w:spacing w:after="0" w:line="1" w:lineRule="exact"/>
        <w:rPr>
          <w:sz w:val="20"/>
          <w:szCs w:val="20"/>
          <w:color w:val="auto"/>
        </w:rPr>
      </w:pPr>
    </w:p>
    <w:p>
      <w:pPr>
        <w:jc w:val="both"/>
        <w:ind w:left="5" w:right="20" w:firstLine="751"/>
        <w:spacing w:after="0" w:line="214" w:lineRule="auto"/>
        <w:rPr>
          <w:sz w:val="20"/>
          <w:szCs w:val="20"/>
          <w:color w:val="auto"/>
        </w:rPr>
      </w:pPr>
      <w:r>
        <w:rPr>
          <w:rFonts w:ascii="Arial" w:cs="Arial" w:eastAsia="Arial" w:hAnsi="Arial"/>
          <w:sz w:val="17"/>
          <w:szCs w:val="17"/>
          <w:color w:val="auto"/>
        </w:rPr>
        <w:t>Net losses for the six months ended June 30, 2025 were $61.5 million, or net losses of $1.32 per basic share compared to net earnings of $99.8 million, or net earnings of $2.05 per diluted share in the prior year, respectively. The current year-to-date period included restructuring costs, net losses from the sale of businesses, which will operate as franchises going forward, and a non-cash goodwill and intangible asset impairment charge which reduced earnings per share by $2.54. Excluding the net impact of these charges, earnings per share for the six-month period was $1.22 per diluted share representing a decrease of 47% in constant currency.</w:t>
      </w:r>
      <w:r>
        <w:rPr>
          <w:rFonts w:ascii="Arial" w:cs="Arial" w:eastAsia="Arial" w:hAnsi="Arial"/>
          <w:sz w:val="23"/>
          <w:szCs w:val="23"/>
          <w:color w:val="auto"/>
          <w:vertAlign w:val="superscript"/>
        </w:rPr>
        <w:t>5</w:t>
      </w:r>
      <w:r>
        <w:rPr>
          <w:rFonts w:ascii="Arial" w:cs="Arial" w:eastAsia="Arial" w:hAnsi="Arial"/>
          <w:sz w:val="17"/>
          <w:szCs w:val="17"/>
          <w:color w:val="auto"/>
        </w:rPr>
        <w:t xml:space="preserve"> Revenues for the six-month period were $8.6 billion, representing a decrease of 4% compared to the prior year on a reported and constant currency basis. Earnings per share for the six-month period were negatively impacted by 6 cents due to changes in foreign currencies compared to the prior year.</w:t>
      </w:r>
      <w:r>
        <w:rPr>
          <w:rFonts w:ascii="Arial" w:cs="Arial" w:eastAsia="Arial" w:hAnsi="Arial"/>
          <w:sz w:val="23"/>
          <w:szCs w:val="23"/>
          <w:color w:val="auto"/>
          <w:vertAlign w:val="superscript"/>
        </w:rPr>
        <w:t>6</w:t>
      </w:r>
    </w:p>
    <w:p>
      <w:pPr>
        <w:spacing w:after="0" w:line="5" w:lineRule="exact"/>
        <w:rPr>
          <w:sz w:val="20"/>
          <w:szCs w:val="20"/>
          <w:color w:val="auto"/>
        </w:rPr>
      </w:pPr>
    </w:p>
    <w:p>
      <w:pPr>
        <w:jc w:val="both"/>
        <w:ind w:left="5" w:right="20" w:firstLine="385"/>
        <w:spacing w:after="0" w:line="232" w:lineRule="auto"/>
        <w:rPr>
          <w:sz w:val="20"/>
          <w:szCs w:val="20"/>
          <w:color w:val="auto"/>
        </w:rPr>
      </w:pPr>
      <w:r>
        <w:rPr>
          <w:rFonts w:ascii="Arial" w:cs="Arial" w:eastAsia="Arial" w:hAnsi="Arial"/>
          <w:sz w:val="17"/>
          <w:szCs w:val="17"/>
          <w:color w:val="auto"/>
        </w:rPr>
        <w:t>In conjunction with its second quarter earnings release, ManpowerGroup will broadcast its conference call live over the Internet on July 17, 2025 at 7:30 a.m. central time (8:30 a.m. eastern time). Prepared remarks for the conference call, webcast details, presentation and recordings are included within the Investor Relations section of manpowergroup.com.</w:t>
      </w:r>
    </w:p>
    <w:p>
      <w:pPr>
        <w:spacing w:after="0" w:line="1" w:lineRule="exact"/>
        <w:rPr>
          <w:sz w:val="20"/>
          <w:szCs w:val="20"/>
          <w:color w:val="auto"/>
        </w:rPr>
      </w:pPr>
    </w:p>
    <w:p>
      <w:pPr>
        <w:ind w:left="745"/>
        <w:spacing w:after="0"/>
        <w:rPr>
          <w:sz w:val="20"/>
          <w:szCs w:val="20"/>
          <w:color w:val="auto"/>
        </w:rPr>
      </w:pPr>
      <w:r>
        <w:rPr>
          <w:rFonts w:ascii="Arial" w:cs="Arial" w:eastAsia="Arial" w:hAnsi="Arial"/>
          <w:sz w:val="17"/>
          <w:szCs w:val="17"/>
          <w:color w:val="auto"/>
        </w:rPr>
        <w:t>Supplemental financial information referenced in the conference call can be found at http://investor.manpowergroup.com/.</w:t>
      </w:r>
    </w:p>
    <w:p>
      <w:pPr>
        <w:spacing w:after="0" w:line="200" w:lineRule="exact"/>
        <w:rPr>
          <w:sz w:val="20"/>
          <w:szCs w:val="20"/>
          <w:color w:val="auto"/>
        </w:rPr>
      </w:pPr>
    </w:p>
    <w:p>
      <w:pPr>
        <w:spacing w:after="0" w:line="350" w:lineRule="exact"/>
        <w:rPr>
          <w:sz w:val="20"/>
          <w:szCs w:val="20"/>
          <w:color w:val="auto"/>
        </w:rPr>
      </w:pPr>
    </w:p>
    <w:p>
      <w:pPr>
        <w:ind w:left="125" w:hanging="125"/>
        <w:spacing w:after="0"/>
        <w:tabs>
          <w:tab w:leader="none" w:pos="125"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The second quarter earnings per share guidance estimated a positive 3 cents foreign currency impact and the actual impact was a positive 4 cents and as adjusted.</w:t>
      </w:r>
    </w:p>
    <w:p>
      <w:pPr>
        <w:ind w:left="5" w:right="260" w:hanging="5"/>
        <w:spacing w:after="0" w:line="205" w:lineRule="auto"/>
        <w:tabs>
          <w:tab w:leader="none" w:pos="134"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The prior year period included losses related to the Proservia Germany business and Argentina hyperinflationary related non-cash currency translation losses which reduced earnings per share by $0.20 which are also excluded when determining the year over year trend.</w:t>
      </w:r>
    </w:p>
    <w:p>
      <w:pPr>
        <w:spacing w:after="0" w:line="1" w:lineRule="exact"/>
        <w:rPr>
          <w:rFonts w:ascii="Arial" w:cs="Arial" w:eastAsia="Arial" w:hAnsi="Arial"/>
          <w:sz w:val="17"/>
          <w:szCs w:val="17"/>
          <w:color w:val="auto"/>
          <w:vertAlign w:val="superscript"/>
        </w:rPr>
      </w:pPr>
    </w:p>
    <w:p>
      <w:pPr>
        <w:ind w:left="125" w:hanging="125"/>
        <w:spacing w:after="0" w:line="201" w:lineRule="auto"/>
        <w:tabs>
          <w:tab w:leader="none" w:pos="125"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Adjusted earnings per share for the six-month period were positively impacted by 2 cents due to changes in foreign currencies compared to the prior year.</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About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489585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88" w:right="319" w:bottom="1440" w:gutter="0" w:footer="0" w:header="0"/>
        </w:sectPr>
      </w:pPr>
    </w:p>
    <w:bookmarkStart w:id="5" w:name="page6"/>
    <w:bookmarkEnd w:id="5"/>
    <w:p>
      <w:pPr>
        <w:jc w:val="both"/>
        <w:spacing w:after="0" w:line="230"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75 years. We are recognized consistently for our diversity – as a best place to work for Women, Inclusion, Equality, and Disability, and in 2025 ManpowerGroup was named one of the World's Most Ethical Companies for the 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time – all confirming our position as the brand of choice for in-demand talent. For more information, visit www.manpowergroup.com.</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press release contains statements, including statements regarding global economic and geopolitical uncertainty, trends in labor demand and the future strengthening of such demand, financial outlook, the outlook for our business in regions in which we operate as well as key countries within those regions, and the Company’s strategic initiatives and technology investments, including investments to accelerate AI adoption, and the positioning of future growth for our brands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2024, which information is incorporated herein by reference.</w:t>
      </w:r>
    </w:p>
    <w:p>
      <w:pPr>
        <w:spacing w:after="0" w:line="149"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591185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6" w:name="page7"/>
    <w:bookmarkEnd w:id="6"/>
    <w:p>
      <w:pPr>
        <w:jc w:val="center"/>
        <w:ind w:right="-4"/>
        <w:spacing w:after="0"/>
        <w:rPr>
          <w:sz w:val="20"/>
          <w:szCs w:val="20"/>
          <w:color w:val="auto"/>
        </w:rPr>
      </w:pPr>
      <w:r>
        <w:rPr>
          <w:rFonts w:ascii="Arial" w:cs="Arial" w:eastAsia="Arial" w:hAnsi="Arial"/>
          <w:sz w:val="16"/>
          <w:szCs w:val="16"/>
          <w:color w:val="auto"/>
        </w:rPr>
        <w:t>ManpowerGroup</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199"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7"/>
          </w:tcPr>
          <w:p>
            <w:pPr>
              <w:jc w:val="center"/>
              <w:ind w:right="760"/>
              <w:spacing w:after="0"/>
              <w:rPr>
                <w:sz w:val="20"/>
                <w:szCs w:val="20"/>
                <w:color w:val="auto"/>
              </w:rPr>
            </w:pPr>
            <w:r>
              <w:rPr>
                <w:rFonts w:ascii="Arial" w:cs="Arial" w:eastAsia="Arial" w:hAnsi="Arial"/>
                <w:sz w:val="13"/>
                <w:szCs w:val="13"/>
                <w:b w:val="1"/>
                <w:bCs w:val="1"/>
                <w:color w:val="auto"/>
                <w:w w:val="96"/>
              </w:rPr>
              <w:t>Three Months Ended June 30</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center"/>
              <w:ind w:right="860"/>
              <w:spacing w:after="0"/>
              <w:rPr>
                <w:sz w:val="20"/>
                <w:szCs w:val="20"/>
                <w:color w:val="auto"/>
              </w:rPr>
            </w:pPr>
            <w:r>
              <w:rPr>
                <w:rFonts w:ascii="Arial" w:cs="Arial" w:eastAsia="Arial" w:hAnsi="Arial"/>
                <w:sz w:val="13"/>
                <w:szCs w:val="13"/>
                <w:b w:val="1"/>
                <w:bCs w:val="1"/>
                <w:color w:val="auto"/>
                <w:w w:val="97"/>
              </w:rPr>
              <w:t>Amount</w:t>
            </w:r>
          </w:p>
        </w:tc>
        <w:tc>
          <w:tcPr>
            <w:tcW w:w="11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Constant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8"/>
              </w:rPr>
              <w:t>Reported</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Currency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jc w:val="center"/>
              <w:ind w:left="670"/>
              <w:spacing w:after="0"/>
              <w:rPr>
                <w:sz w:val="20"/>
                <w:szCs w:val="20"/>
                <w:color w:val="auto"/>
              </w:rPr>
            </w:pPr>
            <w:r>
              <w:rPr>
                <w:rFonts w:ascii="Arial" w:cs="Arial" w:eastAsia="Arial" w:hAnsi="Arial"/>
                <w:sz w:val="13"/>
                <w:szCs w:val="13"/>
                <w:color w:val="auto"/>
                <w:w w:val="97"/>
              </w:rPr>
              <w:t>(Unaudited)</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E2E8F1"/>
          </w:tcPr>
          <w:p>
            <w:pPr>
              <w:spacing w:after="0" w:line="165" w:lineRule="exact"/>
              <w:rPr>
                <w:sz w:val="20"/>
                <w:szCs w:val="20"/>
                <w:color w:val="auto"/>
              </w:rPr>
            </w:pPr>
            <w:r>
              <w:rPr>
                <w:rFonts w:ascii="Arial" w:cs="Arial" w:eastAsia="Arial" w:hAnsi="Arial"/>
                <w:sz w:val="14"/>
                <w:szCs w:val="14"/>
                <w:color w:val="auto"/>
              </w:rPr>
              <w:t xml:space="preserve">Revenues from services </w:t>
            </w:r>
            <w:r>
              <w:rPr>
                <w:rFonts w:ascii="Arial" w:cs="Arial" w:eastAsia="Arial" w:hAnsi="Arial"/>
                <w:sz w:val="19"/>
                <w:szCs w:val="19"/>
                <w:color w:val="auto"/>
                <w:vertAlign w:val="superscript"/>
              </w:rPr>
              <w:t>(a)</w:t>
            </w:r>
          </w:p>
        </w:tc>
        <w:tc>
          <w:tcPr>
            <w:tcW w:w="1800" w:type="dxa"/>
            <w:vAlign w:val="bottom"/>
            <w:gridSpan w:val="2"/>
            <w:shd w:val="clear" w:color="auto" w:fill="E2E8F1"/>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4,519.3</w:t>
            </w:r>
          </w:p>
        </w:tc>
        <w:tc>
          <w:tcPr>
            <w:tcW w:w="120" w:type="dxa"/>
            <w:vAlign w:val="bottom"/>
            <w:shd w:val="clear" w:color="auto" w:fill="E2E8F1"/>
          </w:tcPr>
          <w:p>
            <w:pPr>
              <w:spacing w:after="0"/>
              <w:rPr>
                <w:sz w:val="14"/>
                <w:szCs w:val="14"/>
                <w:color w:val="auto"/>
              </w:rPr>
            </w:pPr>
          </w:p>
        </w:tc>
        <w:tc>
          <w:tcPr>
            <w:tcW w:w="400" w:type="dxa"/>
            <w:vAlign w:val="bottom"/>
            <w:gridSpan w:val="2"/>
            <w:shd w:val="clear" w:color="auto" w:fill="E2E8F1"/>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4,520.7</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0.0%</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Cost of services</w:t>
            </w:r>
          </w:p>
        </w:tc>
        <w:tc>
          <w:tcPr>
            <w:tcW w:w="1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0.6%</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Gross profit</w:t>
            </w:r>
          </w:p>
        </w:tc>
        <w:tc>
          <w:tcPr>
            <w:tcW w:w="152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763.7</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9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785.9</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-2.8%</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60" w:type="dxa"/>
            <w:vAlign w:val="bottom"/>
          </w:tcPr>
          <w:p>
            <w:pPr>
              <w:ind w:left="60"/>
              <w:spacing w:after="0" w:line="153" w:lineRule="exact"/>
              <w:rPr>
                <w:sz w:val="20"/>
                <w:szCs w:val="20"/>
                <w:color w:val="auto"/>
              </w:rPr>
            </w:pPr>
            <w:r>
              <w:rPr>
                <w:rFonts w:ascii="Arial" w:cs="Arial" w:eastAsia="Arial" w:hAnsi="Arial"/>
                <w:sz w:val="14"/>
                <w:szCs w:val="14"/>
                <w:color w:val="auto"/>
              </w:rPr>
              <w:t>Selling and administrative expenses,</w:t>
            </w: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ind w:left="100"/>
              <w:spacing w:after="0"/>
              <w:rPr>
                <w:sz w:val="20"/>
                <w:szCs w:val="20"/>
                <w:color w:val="auto"/>
              </w:rPr>
            </w:pPr>
            <w:r>
              <w:rPr>
                <w:rFonts w:ascii="Arial" w:cs="Arial" w:eastAsia="Arial" w:hAnsi="Arial"/>
                <w:sz w:val="14"/>
                <w:szCs w:val="14"/>
                <w:color w:val="auto"/>
              </w:rPr>
              <w:t>excluding impairment charges</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40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E2E8F1"/>
          </w:tcPr>
          <w:p>
            <w:pPr>
              <w:ind w:left="60"/>
              <w:spacing w:after="0" w:line="165" w:lineRule="exact"/>
              <w:rPr>
                <w:sz w:val="20"/>
                <w:szCs w:val="20"/>
                <w:color w:val="auto"/>
              </w:rPr>
            </w:pPr>
            <w:r>
              <w:rPr>
                <w:rFonts w:ascii="Arial" w:cs="Arial" w:eastAsia="Arial" w:hAnsi="Arial"/>
                <w:sz w:val="14"/>
                <w:szCs w:val="14"/>
                <w:color w:val="auto"/>
              </w:rPr>
              <w:t xml:space="preserve">Impairment charges </w:t>
            </w:r>
            <w:r>
              <w:rPr>
                <w:rFonts w:ascii="Arial" w:cs="Arial" w:eastAsia="Arial" w:hAnsi="Arial"/>
                <w:sz w:val="19"/>
                <w:szCs w:val="19"/>
                <w:color w:val="auto"/>
                <w:vertAlign w:val="superscript"/>
              </w:rPr>
              <w:t>(b)</w:t>
            </w:r>
          </w:p>
        </w:tc>
        <w:tc>
          <w:tcPr>
            <w:tcW w:w="15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88.7</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480" w:type="dxa"/>
            <w:vAlign w:val="bottom"/>
            <w:gridSpan w:val="4"/>
            <w:shd w:val="clear" w:color="auto" w:fill="E2E8F1"/>
          </w:tcPr>
          <w:p>
            <w:pPr>
              <w:jc w:val="right"/>
              <w:ind w:right="540"/>
              <w:spacing w:after="0"/>
              <w:rPr>
                <w:sz w:val="20"/>
                <w:szCs w:val="20"/>
                <w:color w:val="auto"/>
              </w:rPr>
            </w:pPr>
            <w:r>
              <w:rPr>
                <w:rFonts w:ascii="Arial" w:cs="Arial" w:eastAsia="Arial" w:hAnsi="Arial"/>
                <w:sz w:val="14"/>
                <w:szCs w:val="14"/>
                <w:color w:val="auto"/>
              </w:rPr>
              <w:t>—</w:t>
            </w:r>
          </w:p>
        </w:tc>
        <w:tc>
          <w:tcPr>
            <w:tcW w:w="1500" w:type="dxa"/>
            <w:vAlign w:val="bottom"/>
            <w:gridSpan w:val="3"/>
            <w:shd w:val="clear" w:color="auto" w:fill="E2E8F1"/>
          </w:tcPr>
          <w:p>
            <w:pPr>
              <w:ind w:left="700"/>
              <w:spacing w:after="0"/>
              <w:rPr>
                <w:sz w:val="20"/>
                <w:szCs w:val="20"/>
                <w:color w:val="auto"/>
              </w:rPr>
            </w:pPr>
            <w:r>
              <w:rPr>
                <w:rFonts w:ascii="Arial" w:cs="Arial" w:eastAsia="Arial" w:hAnsi="Arial"/>
                <w:sz w:val="14"/>
                <w:szCs w:val="14"/>
                <w:color w:val="auto"/>
              </w:rPr>
              <w:t>N/A</w:t>
            </w:r>
          </w:p>
        </w:tc>
        <w:tc>
          <w:tcPr>
            <w:tcW w:w="1140" w:type="dxa"/>
            <w:vAlign w:val="bottom"/>
            <w:gridSpan w:val="2"/>
            <w:shd w:val="clear" w:color="auto" w:fill="E2E8F1"/>
          </w:tcPr>
          <w:p>
            <w:pPr>
              <w:jc w:val="right"/>
              <w:ind w:right="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Borders>
              <w:top w:val="single" w:sz="8" w:color="E2E8F1"/>
            </w:tcBorders>
          </w:tcPr>
          <w:p>
            <w:pPr>
              <w:spacing w:after="0" w:line="157" w:lineRule="exact"/>
              <w:rPr>
                <w:sz w:val="20"/>
                <w:szCs w:val="20"/>
                <w:color w:val="auto"/>
              </w:rPr>
            </w:pPr>
            <w:r>
              <w:rPr>
                <w:rFonts w:ascii="Arial" w:cs="Arial" w:eastAsia="Arial" w:hAnsi="Arial"/>
                <w:sz w:val="14"/>
                <w:szCs w:val="14"/>
                <w:color w:val="auto"/>
              </w:rPr>
              <w:t>Selling and administrative expenses</w:t>
            </w:r>
          </w:p>
        </w:tc>
        <w:tc>
          <w:tcPr>
            <w:tcW w:w="1520" w:type="dxa"/>
            <w:vAlign w:val="bottom"/>
            <w:tcBorders>
              <w:top w:val="single" w:sz="8" w:color="E2E8F1"/>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789.0</w:t>
            </w:r>
          </w:p>
        </w:tc>
        <w:tc>
          <w:tcPr>
            <w:tcW w:w="120" w:type="dxa"/>
            <w:vAlign w:val="bottom"/>
            <w:tcBorders>
              <w:top w:val="single" w:sz="8" w:color="E2E8F1"/>
            </w:tcBorders>
          </w:tcPr>
          <w:p>
            <w:pPr>
              <w:spacing w:after="0"/>
              <w:rPr>
                <w:sz w:val="13"/>
                <w:szCs w:val="13"/>
                <w:color w:val="auto"/>
              </w:rPr>
            </w:pPr>
          </w:p>
        </w:tc>
        <w:tc>
          <w:tcPr>
            <w:tcW w:w="140" w:type="dxa"/>
            <w:vAlign w:val="bottom"/>
            <w:tcBorders>
              <w:top w:val="single" w:sz="8" w:color="E2E8F1"/>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684.8</w:t>
            </w:r>
          </w:p>
        </w:tc>
        <w:tc>
          <w:tcPr>
            <w:tcW w:w="100" w:type="dxa"/>
            <w:vAlign w:val="bottom"/>
            <w:tcBorders>
              <w:top w:val="single" w:sz="8" w:color="E2E8F1"/>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320" w:type="dxa"/>
            <w:vAlign w:val="bottom"/>
            <w:tcBorders>
              <w:top w:val="single" w:sz="8" w:color="E2E8F1"/>
            </w:tcBorders>
          </w:tcPr>
          <w:p>
            <w:pPr>
              <w:spacing w:after="0"/>
              <w:rPr>
                <w:sz w:val="13"/>
                <w:szCs w:val="13"/>
                <w:color w:val="auto"/>
              </w:rPr>
            </w:pPr>
          </w:p>
        </w:tc>
        <w:tc>
          <w:tcPr>
            <w:tcW w:w="1100" w:type="dxa"/>
            <w:vAlign w:val="bottom"/>
            <w:tcBorders>
              <w:top w:val="single" w:sz="8" w:color="E2E8F1"/>
            </w:tcBorders>
            <w:gridSpan w:val="2"/>
          </w:tcPr>
          <w:p>
            <w:pPr>
              <w:jc w:val="right"/>
              <w:ind w:right="20"/>
              <w:spacing w:after="0" w:line="157" w:lineRule="exact"/>
              <w:rPr>
                <w:sz w:val="20"/>
                <w:szCs w:val="20"/>
                <w:color w:val="auto"/>
              </w:rPr>
            </w:pPr>
            <w:r>
              <w:rPr>
                <w:rFonts w:ascii="Arial" w:cs="Arial" w:eastAsia="Arial" w:hAnsi="Arial"/>
                <w:sz w:val="14"/>
                <w:szCs w:val="14"/>
                <w:color w:val="auto"/>
              </w:rPr>
              <w:t>15.2%</w:t>
            </w:r>
          </w:p>
        </w:tc>
        <w:tc>
          <w:tcPr>
            <w:tcW w:w="400" w:type="dxa"/>
            <w:vAlign w:val="bottom"/>
            <w:tcBorders>
              <w:top w:val="single" w:sz="8" w:color="E2E8F1"/>
            </w:tcBorders>
          </w:tcPr>
          <w:p>
            <w:pPr>
              <w:spacing w:after="0"/>
              <w:rPr>
                <w:sz w:val="13"/>
                <w:szCs w:val="13"/>
                <w:color w:val="auto"/>
              </w:rPr>
            </w:pPr>
          </w:p>
        </w:tc>
        <w:tc>
          <w:tcPr>
            <w:tcW w:w="1140" w:type="dxa"/>
            <w:vAlign w:val="bottom"/>
            <w:tcBorders>
              <w:top w:val="single" w:sz="8" w:color="E2E8F1"/>
            </w:tcBorders>
            <w:gridSpan w:val="2"/>
          </w:tcPr>
          <w:p>
            <w:pPr>
              <w:jc w:val="right"/>
              <w:ind w:right="20"/>
              <w:spacing w:after="0" w:line="157"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Operating (loss) profit</w:t>
            </w:r>
          </w:p>
        </w:tc>
        <w:tc>
          <w:tcPr>
            <w:tcW w:w="152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06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(25.3)</w:t>
            </w:r>
          </w:p>
        </w:tc>
        <w:tc>
          <w:tcPr>
            <w:tcW w:w="14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9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101.1</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-125.0%</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Interest and other expenses, net</w:t>
            </w:r>
          </w:p>
        </w:tc>
        <w:tc>
          <w:tcPr>
            <w:tcW w:w="1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89.1%</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(Loss) earnings before income taxes</w:t>
            </w:r>
          </w:p>
        </w:tc>
        <w:tc>
          <w:tcPr>
            <w:tcW w:w="152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06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(41.8)</w:t>
            </w:r>
          </w:p>
        </w:tc>
        <w:tc>
          <w:tcPr>
            <w:tcW w:w="14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9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92.4</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-145.3%</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-21.9%</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60" w:type="dxa"/>
            <w:vAlign w:val="bottom"/>
            <w:shd w:val="clear" w:color="auto" w:fill="E2E8F1"/>
          </w:tcPr>
          <w:p>
            <w:pPr>
              <w:ind w:left="60"/>
              <w:spacing w:after="0" w:line="146" w:lineRule="exact"/>
              <w:rPr>
                <w:sz w:val="20"/>
                <w:szCs w:val="20"/>
                <w:color w:val="auto"/>
              </w:rPr>
            </w:pPr>
            <w:r>
              <w:rPr>
                <w:rFonts w:ascii="Arial" w:cs="Arial" w:eastAsia="Arial" w:hAnsi="Arial"/>
                <w:sz w:val="14"/>
                <w:szCs w:val="14"/>
                <w:color w:val="auto"/>
              </w:rPr>
              <w:t>Net (loss) earnings</w:t>
            </w:r>
          </w:p>
        </w:tc>
        <w:tc>
          <w:tcPr>
            <w:tcW w:w="1800" w:type="dxa"/>
            <w:vAlign w:val="bottom"/>
            <w:gridSpan w:val="2"/>
            <w:shd w:val="clear" w:color="auto" w:fill="E2E8F1"/>
          </w:tcPr>
          <w:p>
            <w:pPr>
              <w:jc w:val="right"/>
              <w:ind w:right="200"/>
              <w:spacing w:after="0" w:line="146"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2E8F1"/>
          </w:tcPr>
          <w:p>
            <w:pPr>
              <w:jc w:val="right"/>
              <w:ind w:right="60"/>
              <w:spacing w:after="0" w:line="146" w:lineRule="exact"/>
              <w:rPr>
                <w:sz w:val="20"/>
                <w:szCs w:val="20"/>
                <w:color w:val="auto"/>
              </w:rPr>
            </w:pPr>
            <w:r>
              <w:rPr>
                <w:rFonts w:ascii="Arial" w:cs="Arial" w:eastAsia="Arial" w:hAnsi="Arial"/>
                <w:sz w:val="14"/>
                <w:szCs w:val="14"/>
                <w:color w:val="auto"/>
              </w:rPr>
              <w:t>(67.1)</w:t>
            </w:r>
          </w:p>
        </w:tc>
        <w:tc>
          <w:tcPr>
            <w:tcW w:w="400" w:type="dxa"/>
            <w:vAlign w:val="bottom"/>
            <w:gridSpan w:val="2"/>
            <w:shd w:val="clear" w:color="auto" w:fill="E2E8F1"/>
          </w:tcPr>
          <w:p>
            <w:pPr>
              <w:jc w:val="right"/>
              <w:ind w:right="180"/>
              <w:spacing w:after="0" w:line="146" w:lineRule="exact"/>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60.1</w:t>
            </w: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110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-211.6%</w:t>
            </w:r>
          </w:p>
        </w:tc>
        <w:tc>
          <w:tcPr>
            <w:tcW w:w="400" w:type="dxa"/>
            <w:vAlign w:val="bottom"/>
            <w:shd w:val="clear" w:color="auto" w:fill="E2E8F1"/>
          </w:tcPr>
          <w:p>
            <w:pPr>
              <w:spacing w:after="0"/>
              <w:rPr>
                <w:sz w:val="15"/>
                <w:szCs w:val="15"/>
                <w:color w:val="auto"/>
              </w:rPr>
            </w:pPr>
          </w:p>
        </w:tc>
        <w:tc>
          <w:tcPr>
            <w:tcW w:w="114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tcBorders>
              <w:top w:val="single" w:sz="8" w:color="E2E8F1"/>
            </w:tcBorders>
            <w:shd w:val="clear" w:color="auto" w:fill="E2E8F1"/>
          </w:tcPr>
          <w:p>
            <w:pPr>
              <w:spacing w:after="0" w:line="20" w:lineRule="exact"/>
              <w:rPr>
                <w:sz w:val="1"/>
                <w:szCs w:val="1"/>
                <w:color w:val="auto"/>
              </w:rPr>
            </w:pPr>
          </w:p>
        </w:tc>
        <w:tc>
          <w:tcPr>
            <w:tcW w:w="1520" w:type="dxa"/>
            <w:vAlign w:val="bottom"/>
            <w:tcBorders>
              <w:top w:val="single" w:sz="8" w:color="E2E8F1"/>
            </w:tcBorders>
            <w:shd w:val="clear" w:color="auto" w:fill="E2E8F1"/>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320" w:type="dxa"/>
            <w:vAlign w:val="bottom"/>
            <w:tcBorders>
              <w:top w:val="single" w:sz="8" w:color="E2E8F1"/>
            </w:tcBorders>
            <w:shd w:val="clear" w:color="auto" w:fill="E2E8F1"/>
          </w:tcPr>
          <w:p>
            <w:pPr>
              <w:spacing w:after="0" w:line="20" w:lineRule="exact"/>
              <w:rPr>
                <w:sz w:val="1"/>
                <w:szCs w:val="1"/>
                <w:color w:val="auto"/>
              </w:rPr>
            </w:pPr>
          </w:p>
        </w:tc>
        <w:tc>
          <w:tcPr>
            <w:tcW w:w="96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400" w:type="dxa"/>
            <w:vAlign w:val="bottom"/>
            <w:tcBorders>
              <w:top w:val="single" w:sz="8" w:color="E2E8F1"/>
            </w:tcBorders>
            <w:shd w:val="clear" w:color="auto" w:fill="E2E8F1"/>
          </w:tcPr>
          <w:p>
            <w:pPr>
              <w:spacing w:after="0" w:line="20" w:lineRule="exact"/>
              <w:rPr>
                <w:sz w:val="1"/>
                <w:szCs w:val="1"/>
                <w:color w:val="auto"/>
              </w:rPr>
            </w:pPr>
          </w:p>
        </w:tc>
        <w:tc>
          <w:tcPr>
            <w:tcW w:w="100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3860" w:type="dxa"/>
            <w:vAlign w:val="bottom"/>
          </w:tcPr>
          <w:p>
            <w:pPr>
              <w:spacing w:after="0" w:line="141" w:lineRule="exact"/>
              <w:rPr>
                <w:sz w:val="20"/>
                <w:szCs w:val="20"/>
                <w:color w:val="auto"/>
              </w:rPr>
            </w:pPr>
            <w:r>
              <w:rPr>
                <w:rFonts w:ascii="Arial" w:cs="Arial" w:eastAsia="Arial" w:hAnsi="Arial"/>
                <w:sz w:val="14"/>
                <w:szCs w:val="14"/>
                <w:color w:val="auto"/>
              </w:rPr>
              <w:t>Net (loss) earnings per share - basic</w:t>
            </w:r>
          </w:p>
        </w:tc>
        <w:tc>
          <w:tcPr>
            <w:tcW w:w="180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(1.44)</w:t>
            </w:r>
          </w:p>
        </w:tc>
        <w:tc>
          <w:tcPr>
            <w:tcW w:w="40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1" w:lineRule="exact"/>
              <w:rPr>
                <w:sz w:val="20"/>
                <w:szCs w:val="20"/>
                <w:color w:val="auto"/>
              </w:rPr>
            </w:pPr>
            <w:r>
              <w:rPr>
                <w:rFonts w:ascii="Arial" w:cs="Arial" w:eastAsia="Arial" w:hAnsi="Arial"/>
                <w:sz w:val="14"/>
                <w:szCs w:val="14"/>
                <w:color w:val="auto"/>
              </w:rPr>
              <w:t>1.25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-215.4%</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shd w:val="clear" w:color="auto" w:fill="E2E8F1"/>
          </w:tcPr>
          <w:p>
            <w:pPr>
              <w:spacing w:after="0" w:line="141" w:lineRule="exact"/>
              <w:rPr>
                <w:sz w:val="20"/>
                <w:szCs w:val="20"/>
                <w:color w:val="auto"/>
              </w:rPr>
            </w:pPr>
            <w:r>
              <w:rPr>
                <w:rFonts w:ascii="Arial" w:cs="Arial" w:eastAsia="Arial" w:hAnsi="Arial"/>
                <w:sz w:val="14"/>
                <w:szCs w:val="14"/>
                <w:color w:val="auto"/>
              </w:rPr>
              <w:t>Net (loss) earnings per share - diluted</w:t>
            </w:r>
          </w:p>
        </w:tc>
        <w:tc>
          <w:tcPr>
            <w:tcW w:w="1800" w:type="dxa"/>
            <w:vAlign w:val="bottom"/>
            <w:gridSpan w:val="2"/>
            <w:shd w:val="clear" w:color="auto" w:fill="E2E8F1"/>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2E8F1"/>
          </w:tcPr>
          <w:p>
            <w:pPr>
              <w:jc w:val="right"/>
              <w:ind w:right="60"/>
              <w:spacing w:after="0" w:line="141" w:lineRule="exact"/>
              <w:rPr>
                <w:sz w:val="20"/>
                <w:szCs w:val="20"/>
                <w:color w:val="auto"/>
              </w:rPr>
            </w:pPr>
            <w:r>
              <w:rPr>
                <w:rFonts w:ascii="Arial" w:cs="Arial" w:eastAsia="Arial" w:hAnsi="Arial"/>
                <w:sz w:val="14"/>
                <w:szCs w:val="14"/>
                <w:color w:val="auto"/>
              </w:rPr>
              <w:t>(1.44)</w:t>
            </w:r>
          </w:p>
        </w:tc>
        <w:tc>
          <w:tcPr>
            <w:tcW w:w="400" w:type="dxa"/>
            <w:vAlign w:val="bottom"/>
            <w:gridSpan w:val="2"/>
            <w:shd w:val="clear" w:color="auto" w:fill="E2E8F1"/>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spacing w:after="0" w:line="141" w:lineRule="exact"/>
              <w:rPr>
                <w:sz w:val="20"/>
                <w:szCs w:val="20"/>
                <w:color w:val="auto"/>
              </w:rPr>
            </w:pPr>
            <w:r>
              <w:rPr>
                <w:rFonts w:ascii="Arial" w:cs="Arial" w:eastAsia="Arial" w:hAnsi="Arial"/>
                <w:sz w:val="14"/>
                <w:szCs w:val="14"/>
                <w:color w:val="auto"/>
              </w:rPr>
              <w:t>1.24</w:t>
            </w: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1100" w:type="dxa"/>
            <w:vAlign w:val="bottom"/>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-216.3%</w:t>
            </w:r>
          </w:p>
        </w:tc>
        <w:tc>
          <w:tcPr>
            <w:tcW w:w="400" w:type="dxa"/>
            <w:vAlign w:val="bottom"/>
            <w:shd w:val="clear" w:color="auto" w:fill="E2E8F1"/>
          </w:tcPr>
          <w:p>
            <w:pPr>
              <w:spacing w:after="0"/>
              <w:rPr>
                <w:sz w:val="15"/>
                <w:szCs w:val="15"/>
                <w:color w:val="auto"/>
              </w:rPr>
            </w:pPr>
          </w:p>
        </w:tc>
        <w:tc>
          <w:tcPr>
            <w:tcW w:w="1140" w:type="dxa"/>
            <w:vAlign w:val="bottom"/>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60" w:type="dxa"/>
            <w:vAlign w:val="bottom"/>
            <w:tcBorders>
              <w:top w:val="single" w:sz="8" w:color="E2E8F1"/>
            </w:tcBorders>
          </w:tcPr>
          <w:p>
            <w:pPr>
              <w:spacing w:after="0" w:line="141" w:lineRule="exact"/>
              <w:rPr>
                <w:sz w:val="20"/>
                <w:szCs w:val="20"/>
                <w:color w:val="auto"/>
              </w:rPr>
            </w:pPr>
            <w:r>
              <w:rPr>
                <w:rFonts w:ascii="Arial" w:cs="Arial" w:eastAsia="Arial" w:hAnsi="Arial"/>
                <w:sz w:val="14"/>
                <w:szCs w:val="14"/>
                <w:color w:val="auto"/>
              </w:rPr>
              <w:t>Weighted average shares - basic</w:t>
            </w:r>
          </w:p>
        </w:tc>
        <w:tc>
          <w:tcPr>
            <w:tcW w:w="1520" w:type="dxa"/>
            <w:vAlign w:val="bottom"/>
            <w:tcBorders>
              <w:top w:val="single" w:sz="8" w:color="E2E8F1"/>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46.5</w:t>
            </w:r>
          </w:p>
        </w:tc>
        <w:tc>
          <w:tcPr>
            <w:tcW w:w="12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47.9</w:t>
            </w:r>
          </w:p>
        </w:tc>
        <w:tc>
          <w:tcPr>
            <w:tcW w:w="100" w:type="dxa"/>
            <w:vAlign w:val="bottom"/>
            <w:tcBorders>
              <w:top w:val="single" w:sz="8" w:color="E2E8F1"/>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320" w:type="dxa"/>
            <w:vAlign w:val="bottom"/>
            <w:tcBorders>
              <w:top w:val="single" w:sz="8" w:color="E2E8F1"/>
            </w:tcBorders>
          </w:tcPr>
          <w:p>
            <w:pPr>
              <w:spacing w:after="0"/>
              <w:rPr>
                <w:sz w:val="12"/>
                <w:szCs w:val="12"/>
                <w:color w:val="auto"/>
              </w:rPr>
            </w:pPr>
          </w:p>
        </w:tc>
        <w:tc>
          <w:tcPr>
            <w:tcW w:w="1100" w:type="dxa"/>
            <w:vAlign w:val="bottom"/>
            <w:tcBorders>
              <w:top w:val="single" w:sz="8" w:color="E2E8F1"/>
            </w:tcBorders>
            <w:gridSpan w:val="2"/>
          </w:tcPr>
          <w:p>
            <w:pPr>
              <w:jc w:val="right"/>
              <w:ind w:right="20"/>
              <w:spacing w:after="0" w:line="141" w:lineRule="exact"/>
              <w:rPr>
                <w:sz w:val="20"/>
                <w:szCs w:val="20"/>
                <w:color w:val="auto"/>
              </w:rPr>
            </w:pPr>
            <w:r>
              <w:rPr>
                <w:rFonts w:ascii="Arial" w:cs="Arial" w:eastAsia="Arial" w:hAnsi="Arial"/>
                <w:sz w:val="14"/>
                <w:szCs w:val="14"/>
                <w:color w:val="auto"/>
              </w:rPr>
              <w:t>-3.0%</w:t>
            </w:r>
          </w:p>
        </w:tc>
        <w:tc>
          <w:tcPr>
            <w:tcW w:w="400" w:type="dxa"/>
            <w:vAlign w:val="bottom"/>
            <w:tcBorders>
              <w:top w:val="single" w:sz="8" w:color="E2E8F1"/>
            </w:tcBorders>
          </w:tcPr>
          <w:p>
            <w:pPr>
              <w:spacing w:after="0"/>
              <w:rPr>
                <w:sz w:val="12"/>
                <w:szCs w:val="12"/>
                <w:color w:val="auto"/>
              </w:rPr>
            </w:pPr>
          </w:p>
        </w:tc>
        <w:tc>
          <w:tcPr>
            <w:tcW w:w="100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tcBorders>
              <w:bottom w:val="single" w:sz="8" w:color="E2E8F1"/>
            </w:tcBorders>
            <w:shd w:val="clear" w:color="auto" w:fill="E2E8F1"/>
          </w:tcPr>
          <w:p>
            <w:pPr>
              <w:spacing w:after="0" w:line="141" w:lineRule="exact"/>
              <w:rPr>
                <w:sz w:val="20"/>
                <w:szCs w:val="20"/>
                <w:color w:val="auto"/>
              </w:rPr>
            </w:pPr>
            <w:r>
              <w:rPr>
                <w:rFonts w:ascii="Arial" w:cs="Arial" w:eastAsia="Arial" w:hAnsi="Arial"/>
                <w:sz w:val="14"/>
                <w:szCs w:val="14"/>
                <w:color w:val="auto"/>
              </w:rPr>
              <w:t>Weighted average shares - diluted</w:t>
            </w:r>
          </w:p>
        </w:tc>
        <w:tc>
          <w:tcPr>
            <w:tcW w:w="1520" w:type="dxa"/>
            <w:vAlign w:val="bottom"/>
            <w:tcBorders>
              <w:bottom w:val="single" w:sz="8" w:color="E2E8F1"/>
            </w:tcBorders>
            <w:shd w:val="clear" w:color="auto" w:fill="E2E8F1"/>
          </w:tcPr>
          <w:p>
            <w:pPr>
              <w:spacing w:after="0"/>
              <w:rPr>
                <w:sz w:val="15"/>
                <w:szCs w:val="15"/>
                <w:color w:val="auto"/>
              </w:rPr>
            </w:pPr>
          </w:p>
        </w:tc>
        <w:tc>
          <w:tcPr>
            <w:tcW w:w="280" w:type="dxa"/>
            <w:vAlign w:val="bottom"/>
            <w:tcBorders>
              <w:bottom w:val="single" w:sz="8" w:color="auto"/>
            </w:tcBorders>
            <w:shd w:val="clear" w:color="auto" w:fill="E2E8F1"/>
          </w:tcPr>
          <w:p>
            <w:pPr>
              <w:spacing w:after="0"/>
              <w:rPr>
                <w:sz w:val="15"/>
                <w:szCs w:val="15"/>
                <w:color w:val="auto"/>
              </w:rPr>
            </w:pPr>
          </w:p>
        </w:tc>
        <w:tc>
          <w:tcPr>
            <w:tcW w:w="940" w:type="dxa"/>
            <w:vAlign w:val="bottom"/>
            <w:tcBorders>
              <w:bottom w:val="single" w:sz="8" w:color="auto"/>
            </w:tcBorders>
            <w:shd w:val="clear" w:color="auto" w:fill="E2E8F1"/>
          </w:tcPr>
          <w:p>
            <w:pPr>
              <w:jc w:val="right"/>
              <w:spacing w:after="0" w:line="141" w:lineRule="exact"/>
              <w:rPr>
                <w:sz w:val="20"/>
                <w:szCs w:val="20"/>
                <w:color w:val="auto"/>
              </w:rPr>
            </w:pPr>
            <w:r>
              <w:rPr>
                <w:rFonts w:ascii="Arial" w:cs="Arial" w:eastAsia="Arial" w:hAnsi="Arial"/>
                <w:sz w:val="14"/>
                <w:szCs w:val="14"/>
                <w:color w:val="auto"/>
              </w:rPr>
              <w:t>46.5</w:t>
            </w:r>
          </w:p>
        </w:tc>
        <w:tc>
          <w:tcPr>
            <w:tcW w:w="12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E2E8F1"/>
            </w:tcBorders>
            <w:shd w:val="clear" w:color="auto" w:fill="E2E8F1"/>
          </w:tcPr>
          <w:p>
            <w:pPr>
              <w:spacing w:after="0"/>
              <w:rPr>
                <w:sz w:val="15"/>
                <w:szCs w:val="15"/>
                <w:color w:val="auto"/>
              </w:rPr>
            </w:pPr>
          </w:p>
        </w:tc>
        <w:tc>
          <w:tcPr>
            <w:tcW w:w="260" w:type="dxa"/>
            <w:vAlign w:val="bottom"/>
            <w:tcBorders>
              <w:bottom w:val="single" w:sz="8" w:color="auto"/>
            </w:tcBorders>
            <w:shd w:val="clear" w:color="auto" w:fill="E2E8F1"/>
          </w:tcPr>
          <w:p>
            <w:pPr>
              <w:spacing w:after="0"/>
              <w:rPr>
                <w:sz w:val="15"/>
                <w:szCs w:val="15"/>
                <w:color w:val="auto"/>
              </w:rPr>
            </w:pPr>
          </w:p>
        </w:tc>
        <w:tc>
          <w:tcPr>
            <w:tcW w:w="960" w:type="dxa"/>
            <w:vAlign w:val="bottom"/>
            <w:tcBorders>
              <w:bottom w:val="single" w:sz="8" w:color="auto"/>
            </w:tcBorders>
            <w:shd w:val="clear" w:color="auto" w:fill="E2E8F1"/>
          </w:tcPr>
          <w:p>
            <w:pPr>
              <w:jc w:val="right"/>
              <w:spacing w:after="0" w:line="141" w:lineRule="exact"/>
              <w:rPr>
                <w:sz w:val="20"/>
                <w:szCs w:val="20"/>
                <w:color w:val="auto"/>
              </w:rPr>
            </w:pPr>
            <w:r>
              <w:rPr>
                <w:rFonts w:ascii="Arial" w:cs="Arial" w:eastAsia="Arial" w:hAnsi="Arial"/>
                <w:sz w:val="14"/>
                <w:szCs w:val="14"/>
                <w:color w:val="auto"/>
              </w:rPr>
              <w:t>48.4</w:t>
            </w:r>
          </w:p>
        </w:tc>
        <w:tc>
          <w:tcPr>
            <w:tcW w:w="100" w:type="dxa"/>
            <w:vAlign w:val="bottom"/>
            <w:tcBorders>
              <w:bottom w:val="single" w:sz="8" w:color="E2E8F1"/>
            </w:tcBorders>
            <w:shd w:val="clear" w:color="auto" w:fill="E2E8F1"/>
          </w:tcPr>
          <w:p>
            <w:pPr>
              <w:spacing w:after="0"/>
              <w:rPr>
                <w:sz w:val="15"/>
                <w:szCs w:val="15"/>
                <w:color w:val="auto"/>
              </w:rPr>
            </w:pPr>
          </w:p>
        </w:tc>
        <w:tc>
          <w:tcPr>
            <w:tcW w:w="100" w:type="dxa"/>
            <w:vAlign w:val="bottom"/>
            <w:tcBorders>
              <w:bottom w:val="single" w:sz="8" w:color="E2E8F1"/>
            </w:tcBorders>
            <w:shd w:val="clear" w:color="auto" w:fill="E2E8F1"/>
          </w:tcPr>
          <w:p>
            <w:pPr>
              <w:spacing w:after="0"/>
              <w:rPr>
                <w:sz w:val="15"/>
                <w:szCs w:val="15"/>
                <w:color w:val="auto"/>
              </w:rPr>
            </w:pPr>
          </w:p>
        </w:tc>
        <w:tc>
          <w:tcPr>
            <w:tcW w:w="320" w:type="dxa"/>
            <w:vAlign w:val="bottom"/>
            <w:tcBorders>
              <w:bottom w:val="single" w:sz="8" w:color="E2E8F1"/>
            </w:tcBorders>
            <w:shd w:val="clear" w:color="auto" w:fill="E2E8F1"/>
          </w:tcPr>
          <w:p>
            <w:pPr>
              <w:spacing w:after="0"/>
              <w:rPr>
                <w:sz w:val="15"/>
                <w:szCs w:val="15"/>
                <w:color w:val="auto"/>
              </w:rPr>
            </w:pPr>
          </w:p>
        </w:tc>
        <w:tc>
          <w:tcPr>
            <w:tcW w:w="1100" w:type="dxa"/>
            <w:vAlign w:val="bottom"/>
            <w:tcBorders>
              <w:bottom w:val="single" w:sz="8" w:color="E2E8F1"/>
            </w:tcBorders>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-4.0%</w:t>
            </w:r>
          </w:p>
        </w:tc>
        <w:tc>
          <w:tcPr>
            <w:tcW w:w="400" w:type="dxa"/>
            <w:vAlign w:val="bottom"/>
            <w:tcBorders>
              <w:bottom w:val="single" w:sz="8" w:color="E2E8F1"/>
            </w:tcBorders>
            <w:shd w:val="clear" w:color="auto" w:fill="E2E8F1"/>
          </w:tcPr>
          <w:p>
            <w:pPr>
              <w:spacing w:after="0"/>
              <w:rPr>
                <w:sz w:val="15"/>
                <w:szCs w:val="15"/>
                <w:color w:val="auto"/>
              </w:rPr>
            </w:pPr>
          </w:p>
        </w:tc>
        <w:tc>
          <w:tcPr>
            <w:tcW w:w="100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E2E8F1"/>
            </w:tcBorders>
            <w:shd w:val="clear" w:color="auto" w:fill="E2E8F1"/>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-1193165</wp:posOffset>
            </wp:positionV>
            <wp:extent cx="6731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-1193165</wp:posOffset>
            </wp:positionV>
            <wp:extent cx="673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-532765</wp:posOffset>
            </wp:positionV>
            <wp:extent cx="673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-517525</wp:posOffset>
            </wp:positionV>
            <wp:extent cx="673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-532765</wp:posOffset>
            </wp:positionV>
            <wp:extent cx="673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-517525</wp:posOffset>
            </wp:positionV>
            <wp:extent cx="673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-277495</wp:posOffset>
            </wp:positionV>
            <wp:extent cx="673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-262255</wp:posOffset>
            </wp:positionV>
            <wp:extent cx="673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-277495</wp:posOffset>
            </wp:positionV>
            <wp:extent cx="673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-262255</wp:posOffset>
            </wp:positionV>
            <wp:extent cx="673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-21590</wp:posOffset>
            </wp:positionV>
            <wp:extent cx="67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-6985</wp:posOffset>
            </wp:positionV>
            <wp:extent cx="673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-21590</wp:posOffset>
            </wp:positionV>
            <wp:extent cx="67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-6985</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33" w:lineRule="exact"/>
        <w:rPr>
          <w:sz w:val="20"/>
          <w:szCs w:val="20"/>
          <w:color w:val="auto"/>
        </w:rPr>
      </w:pPr>
    </w:p>
    <w:p>
      <w:pPr>
        <w:jc w:val="both"/>
        <w:ind w:left="505" w:right="20" w:hanging="505"/>
        <w:spacing w:after="0" w:line="226" w:lineRule="auto"/>
        <w:tabs>
          <w:tab w:leader="none" w:pos="505"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Revenues from services include fees received from our franchise offices of $4.4 million and $4.0 million for the three months ended June 30, 2025 and 2024, respectively. These fees are primarily based on revenues generated by the franchise offices, which were $428.7 million and $287.7 million for the three months ended June 30, 2025 and 2024, respectively.</w:t>
      </w:r>
    </w:p>
    <w:p>
      <w:pPr>
        <w:spacing w:after="0" w:line="1" w:lineRule="exact"/>
        <w:rPr>
          <w:rFonts w:ascii="Arial" w:cs="Arial" w:eastAsia="Arial" w:hAnsi="Arial"/>
          <w:sz w:val="19"/>
          <w:szCs w:val="19"/>
          <w:color w:val="auto"/>
          <w:vertAlign w:val="superscript"/>
        </w:rPr>
      </w:pPr>
    </w:p>
    <w:p>
      <w:pPr>
        <w:ind w:left="505" w:right="20" w:hanging="505"/>
        <w:spacing w:after="0" w:line="213" w:lineRule="auto"/>
        <w:tabs>
          <w:tab w:leader="none" w:pos="505"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Impairment charges for the three months ended June 30, 2025 consist of a goodwill impairment related to our investments in Switzerland and the United Kingdom and an impairment of an indefinite lived intangible asset in our Switzerland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598170</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82" w:right="319" w:bottom="1440" w:gutter="0" w:footer="0" w:header="0"/>
        </w:sectPr>
      </w:pPr>
    </w:p>
    <w:bookmarkStart w:id="7" w:name="page8"/>
    <w:bookmarkEnd w:id="7"/>
    <w:p>
      <w:pPr>
        <w:ind w:left="5046"/>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846"/>
        <w:spacing w:after="0"/>
        <w:rPr>
          <w:sz w:val="20"/>
          <w:szCs w:val="20"/>
          <w:color w:val="auto"/>
        </w:rPr>
      </w:pPr>
      <w:r>
        <w:rPr>
          <w:rFonts w:ascii="Arial" w:cs="Arial" w:eastAsia="Arial" w:hAnsi="Arial"/>
          <w:sz w:val="16"/>
          <w:szCs w:val="16"/>
          <w:color w:val="auto"/>
        </w:rPr>
        <w:t>Operating Unit Results</w:t>
      </w:r>
    </w:p>
    <w:p>
      <w:pPr>
        <w:spacing w:after="0" w:line="2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(In millions)</w:t>
      </w:r>
    </w:p>
    <w:p>
      <w:pPr>
        <w:spacing w:after="0" w:line="172"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5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7"/>
          </w:tcPr>
          <w:p>
            <w:pPr>
              <w:jc w:val="center"/>
              <w:ind w:right="740"/>
              <w:spacing w:after="0"/>
              <w:rPr>
                <w:sz w:val="20"/>
                <w:szCs w:val="20"/>
                <w:color w:val="auto"/>
              </w:rPr>
            </w:pPr>
            <w:r>
              <w:rPr>
                <w:rFonts w:ascii="Arial" w:cs="Arial" w:eastAsia="Arial" w:hAnsi="Arial"/>
                <w:sz w:val="13"/>
                <w:szCs w:val="13"/>
                <w:b w:val="1"/>
                <w:bCs w:val="1"/>
                <w:color w:val="auto"/>
                <w:w w:val="96"/>
              </w:rPr>
              <w:t>Three Months Ended June 30</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740"/>
              <w:spacing w:after="0" w:line="134" w:lineRule="exact"/>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6"/>
                <w:szCs w:val="16"/>
                <w:b w:val="1"/>
                <w:bCs w:val="1"/>
                <w:color w:val="auto"/>
                <w:vertAlign w:val="superscript"/>
              </w:rPr>
              <w:t>(a)</w:t>
            </w:r>
          </w:p>
        </w:tc>
        <w:tc>
          <w:tcPr>
            <w:tcW w:w="100" w:type="dxa"/>
            <w:vAlign w:val="bottom"/>
            <w:vMerge w:val="restart"/>
          </w:tcPr>
          <w:p>
            <w:pPr>
              <w:spacing w:after="0"/>
              <w:rPr>
                <w:sz w:val="10"/>
                <w:szCs w:val="10"/>
                <w:color w:val="auto"/>
              </w:rPr>
            </w:pPr>
          </w:p>
        </w:tc>
        <w:tc>
          <w:tcPr>
            <w:tcW w:w="420" w:type="dxa"/>
            <w:vAlign w:val="bottom"/>
            <w:gridSpan w:val="2"/>
            <w:vMerge w:val="restart"/>
          </w:tcPr>
          <w:p>
            <w:pPr>
              <w:spacing w:after="0"/>
              <w:rPr>
                <w:sz w:val="10"/>
                <w:szCs w:val="10"/>
                <w:color w:val="auto"/>
              </w:rPr>
            </w:pPr>
          </w:p>
        </w:tc>
        <w:tc>
          <w:tcPr>
            <w:tcW w:w="1500" w:type="dxa"/>
            <w:vAlign w:val="bottom"/>
            <w:gridSpan w:val="3"/>
          </w:tcPr>
          <w:p>
            <w:pPr>
              <w:jc w:val="center"/>
              <w:ind w:right="860"/>
              <w:spacing w:after="0" w:line="126" w:lineRule="exact"/>
              <w:rPr>
                <w:sz w:val="20"/>
                <w:szCs w:val="20"/>
                <w:color w:val="auto"/>
              </w:rPr>
            </w:pPr>
            <w:r>
              <w:rPr>
                <w:rFonts w:ascii="Arial" w:cs="Arial" w:eastAsia="Arial" w:hAnsi="Arial"/>
                <w:sz w:val="13"/>
                <w:szCs w:val="13"/>
                <w:b w:val="1"/>
                <w:bCs w:val="1"/>
                <w:color w:val="auto"/>
                <w:w w:val="97"/>
              </w:rPr>
              <w:t>Amount</w:t>
            </w:r>
          </w:p>
        </w:tc>
        <w:tc>
          <w:tcPr>
            <w:tcW w:w="1000" w:type="dxa"/>
            <w:vAlign w:val="bottom"/>
          </w:tcPr>
          <w:p>
            <w:pPr>
              <w:ind w:left="60"/>
              <w:spacing w:after="0" w:line="126" w:lineRule="exact"/>
              <w:rPr>
                <w:sz w:val="20"/>
                <w:szCs w:val="20"/>
                <w:color w:val="auto"/>
              </w:rPr>
            </w:pPr>
            <w:r>
              <w:rPr>
                <w:rFonts w:ascii="Arial" w:cs="Arial" w:eastAsia="Arial" w:hAnsi="Arial"/>
                <w:sz w:val="13"/>
                <w:szCs w:val="13"/>
                <w:b w:val="1"/>
                <w:bCs w:val="1"/>
                <w:color w:val="auto"/>
              </w:rPr>
              <w:t>Constant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5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20" w:type="dxa"/>
            <w:vAlign w:val="bottom"/>
            <w:tcBorders>
              <w:bottom w:val="single" w:sz="8" w:color="auto"/>
            </w:tcBorders>
            <w:gridSpan w:val="2"/>
            <w:vMerge w:val="continue"/>
          </w:tcPr>
          <w:p>
            <w:pPr>
              <w:spacing w:after="0"/>
              <w:rPr>
                <w:sz w:val="13"/>
                <w:szCs w:val="13"/>
                <w:color w:val="auto"/>
              </w:rPr>
            </w:pPr>
          </w:p>
        </w:tc>
        <w:tc>
          <w:tcPr>
            <w:tcW w:w="96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8"/>
              </w:rPr>
              <w:t>Reported</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Currency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4"/>
          </w:tcPr>
          <w:p>
            <w:pPr>
              <w:jc w:val="center"/>
              <w:ind w:left="690"/>
              <w:spacing w:after="0" w:line="134" w:lineRule="exact"/>
              <w:rPr>
                <w:sz w:val="20"/>
                <w:szCs w:val="20"/>
                <w:color w:val="auto"/>
              </w:rPr>
            </w:pPr>
            <w:r>
              <w:rPr>
                <w:rFonts w:ascii="Arial" w:cs="Arial" w:eastAsia="Arial" w:hAnsi="Arial"/>
                <w:sz w:val="13"/>
                <w:szCs w:val="13"/>
                <w:color w:val="auto"/>
                <w:w w:val="97"/>
              </w:rPr>
              <w:t>(Unaudited)</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40"/>
              <w:spacing w:after="0"/>
              <w:rPr>
                <w:sz w:val="20"/>
                <w:szCs w:val="20"/>
                <w:color w:val="auto"/>
              </w:rPr>
            </w:pPr>
            <w:r>
              <w:rPr>
                <w:rFonts w:ascii="Arial" w:cs="Arial" w:eastAsia="Arial" w:hAnsi="Arial"/>
                <w:sz w:val="14"/>
                <w:szCs w:val="14"/>
                <w:color w:val="auto"/>
              </w:rPr>
              <w:t>Revenues from Services:</w:t>
            </w: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180"/>
              <w:spacing w:after="0"/>
              <w:rPr>
                <w:sz w:val="20"/>
                <w:szCs w:val="20"/>
                <w:color w:val="auto"/>
              </w:rPr>
            </w:pPr>
            <w:r>
              <w:rPr>
                <w:rFonts w:ascii="Arial" w:cs="Arial" w:eastAsia="Arial" w:hAnsi="Arial"/>
                <w:sz w:val="14"/>
                <w:szCs w:val="14"/>
                <w:color w:val="auto"/>
              </w:rPr>
              <w:t>Americas: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380"/>
              <w:spacing w:after="0" w:line="165" w:lineRule="exact"/>
              <w:rPr>
                <w:sz w:val="20"/>
                <w:szCs w:val="20"/>
                <w:color w:val="auto"/>
              </w:rPr>
            </w:pPr>
            <w:r>
              <w:rPr>
                <w:rFonts w:ascii="Arial" w:cs="Arial" w:eastAsia="Arial" w:hAnsi="Arial"/>
                <w:sz w:val="14"/>
                <w:szCs w:val="14"/>
                <w:color w:val="auto"/>
              </w:rPr>
              <w:t xml:space="preserve">United States </w:t>
            </w:r>
            <w:r>
              <w:rPr>
                <w:rFonts w:ascii="Arial" w:cs="Arial" w:eastAsia="Arial" w:hAnsi="Arial"/>
                <w:sz w:val="19"/>
                <w:szCs w:val="19"/>
                <w:color w:val="auto"/>
                <w:vertAlign w:val="superscript"/>
              </w:rPr>
              <w:t>(b)</w:t>
            </w:r>
          </w:p>
        </w:tc>
        <w:tc>
          <w:tcPr>
            <w:tcW w:w="280" w:type="dxa"/>
            <w:vAlign w:val="bottom"/>
            <w:shd w:val="clear" w:color="auto" w:fill="E2E8F1"/>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674.1</w:t>
            </w:r>
          </w:p>
        </w:tc>
        <w:tc>
          <w:tcPr>
            <w:tcW w:w="120" w:type="dxa"/>
            <w:vAlign w:val="bottom"/>
            <w:shd w:val="clear" w:color="auto" w:fill="E2E8F1"/>
          </w:tcPr>
          <w:p>
            <w:pPr>
              <w:spacing w:after="0"/>
              <w:rPr>
                <w:sz w:val="14"/>
                <w:szCs w:val="14"/>
                <w:color w:val="auto"/>
              </w:rPr>
            </w:pPr>
          </w:p>
        </w:tc>
        <w:tc>
          <w:tcPr>
            <w:tcW w:w="380" w:type="dxa"/>
            <w:vAlign w:val="bottom"/>
            <w:gridSpan w:val="2"/>
            <w:shd w:val="clear" w:color="auto" w:fill="E2E8F1"/>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697.0</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-3.3%</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6"/>
        </w:trPr>
        <w:tc>
          <w:tcPr>
            <w:tcW w:w="5400" w:type="dxa"/>
            <w:vAlign w:val="bottom"/>
          </w:tcPr>
          <w:p>
            <w:pPr>
              <w:ind w:left="380"/>
              <w:spacing w:after="0"/>
              <w:rPr>
                <w:sz w:val="20"/>
                <w:szCs w:val="20"/>
                <w:color w:val="auto"/>
              </w:rPr>
            </w:pPr>
            <w:r>
              <w:rPr>
                <w:rFonts w:ascii="Arial" w:cs="Arial" w:eastAsia="Arial" w:hAnsi="Arial"/>
                <w:sz w:val="14"/>
                <w:szCs w:val="14"/>
                <w:color w:val="auto"/>
              </w:rPr>
              <w:t>Other Americas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5.1%</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57"/>
        </w:trPr>
        <w:tc>
          <w:tcPr>
            <w:tcW w:w="540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1,060.0</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9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1,064.4</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-0.4%</w:t>
            </w:r>
          </w:p>
        </w:tc>
        <w:tc>
          <w:tcPr>
            <w:tcW w:w="400" w:type="dxa"/>
            <w:vAlign w:val="bottom"/>
            <w:tcBorders>
              <w:bottom w:val="single" w:sz="8" w:color="E2E8F1"/>
            </w:tcBorders>
            <w:shd w:val="clear" w:color="auto" w:fill="E2E8F1"/>
          </w:tcPr>
          <w:p>
            <w:pPr>
              <w:spacing w:after="0"/>
              <w:rPr>
                <w:sz w:val="13"/>
                <w:szCs w:val="13"/>
                <w:color w:val="auto"/>
              </w:rPr>
            </w:pPr>
          </w:p>
        </w:tc>
        <w:tc>
          <w:tcPr>
            <w:tcW w:w="114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7"/>
        </w:trPr>
        <w:tc>
          <w:tcPr>
            <w:tcW w:w="5400" w:type="dxa"/>
            <w:vAlign w:val="bottom"/>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380"/>
              <w:spacing w:after="0"/>
              <w:rPr>
                <w:sz w:val="20"/>
                <w:szCs w:val="20"/>
                <w:color w:val="auto"/>
              </w:rPr>
            </w:pPr>
            <w:r>
              <w:rPr>
                <w:rFonts w:ascii="Arial" w:cs="Arial" w:eastAsia="Arial" w:hAnsi="Arial"/>
                <w:sz w:val="14"/>
                <w:szCs w:val="14"/>
                <w:color w:val="auto"/>
              </w:rPr>
              <w:t>France</w:t>
            </w: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1,149.3</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1,164.1</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-1.3%</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6"/>
        </w:trPr>
        <w:tc>
          <w:tcPr>
            <w:tcW w:w="5400" w:type="dxa"/>
            <w:vAlign w:val="bottom"/>
          </w:tcPr>
          <w:p>
            <w:pPr>
              <w:ind w:left="380"/>
              <w:spacing w:after="0"/>
              <w:rPr>
                <w:sz w:val="20"/>
                <w:szCs w:val="20"/>
                <w:color w:val="auto"/>
              </w:rPr>
            </w:pPr>
            <w:r>
              <w:rPr>
                <w:rFonts w:ascii="Arial" w:cs="Arial" w:eastAsia="Arial" w:hAnsi="Arial"/>
                <w:sz w:val="14"/>
                <w:szCs w:val="14"/>
                <w:color w:val="auto"/>
              </w:rPr>
              <w:t>Italy</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9.4%</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6"/>
        </w:trPr>
        <w:tc>
          <w:tcPr>
            <w:tcW w:w="540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Southern Europe</w:t>
            </w: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524.1</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499.0</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5.0%</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2,149.3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2,098.0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2.4%</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7"/>
        </w:trPr>
        <w:tc>
          <w:tcPr>
            <w:tcW w:w="540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794.4</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9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837.3</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-5.1%</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6"/>
        </w:trPr>
        <w:tc>
          <w:tcPr>
            <w:tcW w:w="5400" w:type="dxa"/>
            <w:vAlign w:val="bottom"/>
          </w:tcPr>
          <w:p>
            <w:pPr>
              <w:ind w:left="180"/>
              <w:spacing w:after="0"/>
              <w:rPr>
                <w:sz w:val="20"/>
                <w:szCs w:val="20"/>
                <w:color w:val="auto"/>
              </w:rPr>
            </w:pPr>
            <w:r>
              <w:rPr>
                <w:rFonts w:ascii="Arial" w:cs="Arial" w:eastAsia="Arial" w:hAnsi="Arial"/>
                <w:sz w:val="14"/>
                <w:szCs w:val="14"/>
                <w:color w:val="auto"/>
              </w:rPr>
              <w:t>APME</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7"/>
        </w:trPr>
        <w:tc>
          <w:tcPr>
            <w:tcW w:w="540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4,529.0</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9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4,541.1</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96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400" w:type="dxa"/>
            <w:vAlign w:val="bottom"/>
            <w:tcBorders>
              <w:bottom w:val="single" w:sz="8" w:color="E2E8F1"/>
            </w:tcBorders>
            <w:shd w:val="clear" w:color="auto" w:fill="E2E8F1"/>
          </w:tcPr>
          <w:p>
            <w:pPr>
              <w:spacing w:after="0"/>
              <w:rPr>
                <w:sz w:val="13"/>
                <w:szCs w:val="13"/>
                <w:color w:val="auto"/>
              </w:rPr>
            </w:pPr>
          </w:p>
        </w:tc>
        <w:tc>
          <w:tcPr>
            <w:tcW w:w="10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ind w:left="180"/>
              <w:spacing w:after="0" w:line="157" w:lineRule="exact"/>
              <w:rPr>
                <w:sz w:val="20"/>
                <w:szCs w:val="20"/>
                <w:color w:val="auto"/>
              </w:rPr>
            </w:pPr>
            <w:r>
              <w:rPr>
                <w:rFonts w:ascii="Arial" w:cs="Arial" w:eastAsia="Arial" w:hAnsi="Arial"/>
                <w:sz w:val="14"/>
                <w:szCs w:val="14"/>
                <w:color w:val="auto"/>
              </w:rPr>
              <w:t>Intercompany Eliminations</w:t>
            </w:r>
          </w:p>
        </w:tc>
        <w:tc>
          <w:tcPr>
            <w:tcW w:w="28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(9.7)</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(20.4)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shd w:val="clear" w:color="auto" w:fill="E2E8F1"/>
          </w:tcPr>
          <w:p>
            <w:pPr>
              <w:spacing w:after="0"/>
              <w:rPr>
                <w:sz w:val="17"/>
                <w:szCs w:val="17"/>
                <w:color w:val="auto"/>
              </w:rPr>
            </w:pPr>
          </w:p>
        </w:tc>
        <w:tc>
          <w:tcPr>
            <w:tcW w:w="280" w:type="dxa"/>
            <w:vAlign w:val="bottom"/>
            <w:shd w:val="clear" w:color="auto" w:fill="E2E8F1"/>
          </w:tcPr>
          <w:p>
            <w:pPr>
              <w:jc w:val="right"/>
              <w:ind w:right="129"/>
              <w:spacing w:after="0" w:line="146"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4,519.3</w:t>
            </w:r>
          </w:p>
        </w:tc>
        <w:tc>
          <w:tcPr>
            <w:tcW w:w="120" w:type="dxa"/>
            <w:vAlign w:val="bottom"/>
            <w:shd w:val="clear" w:color="auto" w:fill="E2E8F1"/>
          </w:tcPr>
          <w:p>
            <w:pPr>
              <w:spacing w:after="0"/>
              <w:rPr>
                <w:sz w:val="17"/>
                <w:szCs w:val="17"/>
                <w:color w:val="auto"/>
              </w:rPr>
            </w:pPr>
          </w:p>
        </w:tc>
        <w:tc>
          <w:tcPr>
            <w:tcW w:w="380" w:type="dxa"/>
            <w:vAlign w:val="bottom"/>
            <w:gridSpan w:val="2"/>
            <w:shd w:val="clear" w:color="auto" w:fill="E2E8F1"/>
          </w:tcPr>
          <w:p>
            <w:pPr>
              <w:jc w:val="right"/>
              <w:ind w:right="160"/>
              <w:spacing w:after="0" w:line="146" w:lineRule="exact"/>
              <w:rPr>
                <w:sz w:val="20"/>
                <w:szCs w:val="20"/>
                <w:color w:val="auto"/>
              </w:rPr>
            </w:pPr>
            <w:r>
              <w:rPr>
                <w:rFonts w:ascii="Arial" w:cs="Arial" w:eastAsia="Arial" w:hAnsi="Arial"/>
                <w:sz w:val="14"/>
                <w:szCs w:val="14"/>
                <w:color w:val="auto"/>
              </w:rPr>
              <w:t>$</w:t>
            </w:r>
          </w:p>
        </w:tc>
        <w:tc>
          <w:tcPr>
            <w:tcW w:w="98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4,520.7</w:t>
            </w:r>
          </w:p>
        </w:tc>
        <w:tc>
          <w:tcPr>
            <w:tcW w:w="10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32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0.0%</w:t>
            </w:r>
          </w:p>
        </w:tc>
        <w:tc>
          <w:tcPr>
            <w:tcW w:w="400" w:type="dxa"/>
            <w:vAlign w:val="bottom"/>
            <w:shd w:val="clear" w:color="auto" w:fill="E2E8F1"/>
          </w:tcPr>
          <w:p>
            <w:pPr>
              <w:spacing w:after="0"/>
              <w:rPr>
                <w:sz w:val="17"/>
                <w:szCs w:val="17"/>
                <w:color w:val="auto"/>
              </w:rPr>
            </w:pPr>
          </w:p>
        </w:tc>
        <w:tc>
          <w:tcPr>
            <w:tcW w:w="114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1"/>
        </w:trPr>
        <w:tc>
          <w:tcPr>
            <w:tcW w:w="5400" w:type="dxa"/>
            <w:vAlign w:val="bottom"/>
            <w:tcBorders>
              <w:top w:val="single" w:sz="8" w:color="E2E8F1"/>
            </w:tcBorders>
          </w:tcPr>
          <w:p>
            <w:pPr>
              <w:ind w:left="40"/>
              <w:spacing w:after="0" w:line="141" w:lineRule="exact"/>
              <w:rPr>
                <w:sz w:val="20"/>
                <w:szCs w:val="20"/>
                <w:color w:val="auto"/>
              </w:rPr>
            </w:pPr>
            <w:r>
              <w:rPr>
                <w:rFonts w:ascii="Arial" w:cs="Arial" w:eastAsia="Arial" w:hAnsi="Arial"/>
                <w:sz w:val="14"/>
                <w:szCs w:val="14"/>
                <w:color w:val="auto"/>
              </w:rPr>
              <w:t>Operating Unit Profit (Loss):</w:t>
            </w: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320" w:type="dxa"/>
            <w:vAlign w:val="bottom"/>
            <w:tcBorders>
              <w:top w:val="single" w:sz="8" w:color="E2E8F1"/>
            </w:tcBorders>
          </w:tcPr>
          <w:p>
            <w:pPr>
              <w:spacing w:after="0"/>
              <w:rPr>
                <w:sz w:val="12"/>
                <w:szCs w:val="12"/>
                <w:color w:val="auto"/>
              </w:rPr>
            </w:pPr>
          </w:p>
        </w:tc>
        <w:tc>
          <w:tcPr>
            <w:tcW w:w="96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400" w:type="dxa"/>
            <w:vAlign w:val="bottom"/>
            <w:tcBorders>
              <w:top w:val="single" w:sz="8" w:color="E2E8F1"/>
            </w:tcBorders>
          </w:tcPr>
          <w:p>
            <w:pPr>
              <w:spacing w:after="0"/>
              <w:rPr>
                <w:sz w:val="12"/>
                <w:szCs w:val="12"/>
                <w:color w:val="auto"/>
              </w:rPr>
            </w:pPr>
          </w:p>
        </w:tc>
        <w:tc>
          <w:tcPr>
            <w:tcW w:w="100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180"/>
              <w:spacing w:after="0"/>
              <w:rPr>
                <w:sz w:val="20"/>
                <w:szCs w:val="20"/>
                <w:color w:val="auto"/>
              </w:rPr>
            </w:pPr>
            <w:r>
              <w:rPr>
                <w:rFonts w:ascii="Arial" w:cs="Arial" w:eastAsia="Arial" w:hAnsi="Arial"/>
                <w:sz w:val="14"/>
                <w:szCs w:val="14"/>
                <w:color w:val="auto"/>
              </w:rPr>
              <w:t>Americas:</w:t>
            </w: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-28.4%</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66"/>
        </w:trPr>
        <w:tc>
          <w:tcPr>
            <w:tcW w:w="540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Americas</w:t>
            </w: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-6.6%</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36.1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-19.9%</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57"/>
        </w:trPr>
        <w:tc>
          <w:tcPr>
            <w:tcW w:w="540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98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380"/>
              <w:spacing w:after="0"/>
              <w:rPr>
                <w:sz w:val="20"/>
                <w:szCs w:val="20"/>
                <w:color w:val="auto"/>
              </w:rPr>
            </w:pPr>
            <w:r>
              <w:rPr>
                <w:rFonts w:ascii="Arial" w:cs="Arial" w:eastAsia="Arial" w:hAnsi="Arial"/>
                <w:sz w:val="14"/>
                <w:szCs w:val="14"/>
                <w:color w:val="auto"/>
              </w:rPr>
              <w:t>France</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-19.0%</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380"/>
              <w:spacing w:after="0"/>
              <w:rPr>
                <w:sz w:val="20"/>
                <w:szCs w:val="20"/>
                <w:color w:val="auto"/>
              </w:rPr>
            </w:pPr>
            <w:r>
              <w:rPr>
                <w:rFonts w:ascii="Arial" w:cs="Arial" w:eastAsia="Arial" w:hAnsi="Arial"/>
                <w:sz w:val="14"/>
                <w:szCs w:val="14"/>
                <w:color w:val="auto"/>
              </w:rPr>
              <w:t>Italy</w:t>
            </w: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-6.2%</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6"/>
        </w:trPr>
        <w:tc>
          <w:tcPr>
            <w:tcW w:w="5400" w:type="dxa"/>
            <w:vAlign w:val="bottom"/>
          </w:tcPr>
          <w:p>
            <w:pPr>
              <w:ind w:left="380"/>
              <w:spacing w:after="0"/>
              <w:rPr>
                <w:sz w:val="20"/>
                <w:szCs w:val="20"/>
                <w:color w:val="auto"/>
              </w:rPr>
            </w:pPr>
            <w:r>
              <w:rPr>
                <w:rFonts w:ascii="Arial" w:cs="Arial" w:eastAsia="Arial" w:hAnsi="Arial"/>
                <w:sz w:val="14"/>
                <w:szCs w:val="14"/>
                <w:color w:val="auto"/>
              </w:rPr>
              <w:t>Other Southern Europe</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57"/>
        </w:trPr>
        <w:tc>
          <w:tcPr>
            <w:tcW w:w="540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73.3</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9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83.2</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-11.9%</w:t>
            </w:r>
          </w:p>
        </w:tc>
        <w:tc>
          <w:tcPr>
            <w:tcW w:w="400" w:type="dxa"/>
            <w:vAlign w:val="bottom"/>
            <w:tcBorders>
              <w:bottom w:val="single" w:sz="8" w:color="E2E8F1"/>
            </w:tcBorders>
            <w:shd w:val="clear" w:color="auto" w:fill="E2E8F1"/>
          </w:tcPr>
          <w:p>
            <w:pPr>
              <w:spacing w:after="0"/>
              <w:rPr>
                <w:sz w:val="13"/>
                <w:szCs w:val="13"/>
                <w:color w:val="auto"/>
              </w:rPr>
            </w:pPr>
          </w:p>
        </w:tc>
        <w:tc>
          <w:tcPr>
            <w:tcW w:w="114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57"/>
        </w:trPr>
        <w:tc>
          <w:tcPr>
            <w:tcW w:w="5400" w:type="dxa"/>
            <w:vAlign w:val="bottom"/>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28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(9.0)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-279.7%</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-526.6%</w:t>
            </w:r>
          </w:p>
        </w:tc>
        <w:tc>
          <w:tcPr>
            <w:tcW w:w="0" w:type="dxa"/>
            <w:vAlign w:val="bottom"/>
          </w:tcPr>
          <w:p>
            <w:pPr>
              <w:spacing w:after="0"/>
              <w:rPr>
                <w:sz w:val="1"/>
                <w:szCs w:val="1"/>
                <w:color w:val="auto"/>
              </w:rPr>
            </w:pPr>
          </w:p>
        </w:tc>
      </w:tr>
      <w:tr>
        <w:trPr>
          <w:trHeight w:val="166"/>
        </w:trPr>
        <w:tc>
          <w:tcPr>
            <w:tcW w:w="540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APME</w:t>
            </w: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5.0%</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126.8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150.9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40"/>
              <w:spacing w:after="0"/>
              <w:rPr>
                <w:sz w:val="20"/>
                <w:szCs w:val="20"/>
                <w:color w:val="auto"/>
              </w:rPr>
            </w:pPr>
            <w:r>
              <w:rPr>
                <w:rFonts w:ascii="Arial" w:cs="Arial" w:eastAsia="Arial" w:hAnsi="Arial"/>
                <w:sz w:val="14"/>
                <w:szCs w:val="14"/>
                <w:color w:val="auto"/>
              </w:rPr>
              <w:t>Corporate expenses</w:t>
            </w:r>
          </w:p>
        </w:tc>
        <w:tc>
          <w:tcPr>
            <w:tcW w:w="280" w:type="dxa"/>
            <w:vAlign w:val="bottom"/>
            <w:shd w:val="clear" w:color="auto" w:fill="E2E8F1"/>
          </w:tcPr>
          <w:p>
            <w:pPr>
              <w:spacing w:after="0"/>
              <w:rPr>
                <w:sz w:val="14"/>
                <w:szCs w:val="14"/>
                <w:color w:val="auto"/>
              </w:rPr>
            </w:pPr>
          </w:p>
        </w:tc>
        <w:tc>
          <w:tcPr>
            <w:tcW w:w="10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(55.1)</w:t>
            </w: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0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40"/>
              <w:spacing w:after="0" w:line="165" w:lineRule="exact"/>
              <w:rPr>
                <w:sz w:val="20"/>
                <w:szCs w:val="20"/>
                <w:color w:val="auto"/>
              </w:rPr>
            </w:pPr>
            <w:r>
              <w:rPr>
                <w:rFonts w:ascii="Arial" w:cs="Arial" w:eastAsia="Arial" w:hAnsi="Arial"/>
                <w:sz w:val="14"/>
                <w:szCs w:val="14"/>
                <w:color w:val="auto"/>
              </w:rPr>
              <w:t xml:space="preserve">Impairment charges </w:t>
            </w:r>
            <w:r>
              <w:rPr>
                <w:rFonts w:ascii="Arial" w:cs="Arial" w:eastAsia="Arial" w:hAnsi="Arial"/>
                <w:sz w:val="19"/>
                <w:szCs w:val="19"/>
                <w:color w:val="auto"/>
                <w:vertAlign w:val="superscript"/>
              </w:rPr>
              <w:t>(c)</w:t>
            </w: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(88.7)</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tcPr>
          <w:p>
            <w:pPr>
              <w:jc w:val="right"/>
              <w:ind w:right="5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40"/>
              <w:spacing w:after="0"/>
              <w:rPr>
                <w:sz w:val="20"/>
                <w:szCs w:val="20"/>
                <w:color w:val="auto"/>
              </w:rPr>
            </w:pPr>
            <w:r>
              <w:rPr>
                <w:rFonts w:ascii="Arial" w:cs="Arial" w:eastAsia="Arial" w:hAnsi="Arial"/>
                <w:sz w:val="14"/>
                <w:szCs w:val="14"/>
                <w:color w:val="auto"/>
              </w:rPr>
              <w:t>Intangible asset amortization expense</w:t>
            </w:r>
          </w:p>
        </w:tc>
        <w:tc>
          <w:tcPr>
            <w:tcW w:w="280" w:type="dxa"/>
            <w:vAlign w:val="bottom"/>
            <w:shd w:val="clear" w:color="auto" w:fill="E2E8F1"/>
          </w:tcPr>
          <w:p>
            <w:pPr>
              <w:spacing w:after="0"/>
              <w:rPr>
                <w:sz w:val="14"/>
                <w:szCs w:val="14"/>
                <w:color w:val="auto"/>
              </w:rPr>
            </w:pPr>
          </w:p>
        </w:tc>
        <w:tc>
          <w:tcPr>
            <w:tcW w:w="10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(8.3)</w:t>
            </w: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0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(8.1)</w:t>
            </w: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E2E8F1"/>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320" w:type="dxa"/>
            <w:vAlign w:val="bottom"/>
            <w:shd w:val="clear" w:color="auto" w:fill="E2E8F1"/>
          </w:tcPr>
          <w:p>
            <w:pPr>
              <w:spacing w:after="0" w:line="20" w:lineRule="exact"/>
              <w:rPr>
                <w:sz w:val="1"/>
                <w:szCs w:val="1"/>
                <w:color w:val="auto"/>
              </w:rPr>
            </w:pPr>
          </w:p>
        </w:tc>
        <w:tc>
          <w:tcPr>
            <w:tcW w:w="96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400" w:type="dxa"/>
            <w:vAlign w:val="bottom"/>
            <w:shd w:val="clear" w:color="auto" w:fill="E2E8F1"/>
          </w:tcPr>
          <w:p>
            <w:pPr>
              <w:spacing w:after="0" w:line="20" w:lineRule="exact"/>
              <w:rPr>
                <w:sz w:val="1"/>
                <w:szCs w:val="1"/>
                <w:color w:val="auto"/>
              </w:rPr>
            </w:pPr>
          </w:p>
        </w:tc>
        <w:tc>
          <w:tcPr>
            <w:tcW w:w="100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tcPr>
          <w:p>
            <w:pPr>
              <w:ind w:left="240"/>
              <w:spacing w:after="0" w:line="157" w:lineRule="exact"/>
              <w:rPr>
                <w:sz w:val="20"/>
                <w:szCs w:val="20"/>
                <w:color w:val="auto"/>
              </w:rPr>
            </w:pPr>
            <w:r>
              <w:rPr>
                <w:rFonts w:ascii="Arial" w:cs="Arial" w:eastAsia="Arial" w:hAnsi="Arial"/>
                <w:sz w:val="14"/>
                <w:szCs w:val="14"/>
                <w:color w:val="auto"/>
              </w:rPr>
              <w:t>Operating (loss) profit</w:t>
            </w:r>
          </w:p>
        </w:tc>
        <w:tc>
          <w:tcPr>
            <w:tcW w:w="28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(25.3)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101.1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-125.0%</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40"/>
              <w:spacing w:after="0" w:line="165" w:lineRule="exact"/>
              <w:rPr>
                <w:sz w:val="20"/>
                <w:szCs w:val="20"/>
                <w:color w:val="auto"/>
              </w:rPr>
            </w:pPr>
            <w:r>
              <w:rPr>
                <w:rFonts w:ascii="Arial" w:cs="Arial" w:eastAsia="Arial" w:hAnsi="Arial"/>
                <w:sz w:val="14"/>
                <w:szCs w:val="14"/>
                <w:color w:val="auto"/>
              </w:rPr>
              <w:t xml:space="preserve">Interest and other expenses, net </w:t>
            </w:r>
            <w:r>
              <w:rPr>
                <w:rFonts w:ascii="Arial" w:cs="Arial" w:eastAsia="Arial" w:hAnsi="Arial"/>
                <w:sz w:val="19"/>
                <w:szCs w:val="19"/>
                <w:color w:val="auto"/>
                <w:vertAlign w:val="superscript"/>
              </w:rPr>
              <w:t>(d)</w:t>
            </w:r>
          </w:p>
        </w:tc>
        <w:tc>
          <w:tcPr>
            <w:tcW w:w="280" w:type="dxa"/>
            <w:vAlign w:val="bottom"/>
            <w:shd w:val="clear" w:color="auto" w:fill="E2E8F1"/>
          </w:tcPr>
          <w:p>
            <w:pPr>
              <w:spacing w:after="0"/>
              <w:rPr>
                <w:sz w:val="14"/>
                <w:szCs w:val="14"/>
                <w:color w:val="auto"/>
              </w:rPr>
            </w:pPr>
          </w:p>
        </w:tc>
        <w:tc>
          <w:tcPr>
            <w:tcW w:w="10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(16.5)</w:t>
            </w: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0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(8.7)</w:t>
            </w: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E2E8F1"/>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320" w:type="dxa"/>
            <w:vAlign w:val="bottom"/>
            <w:shd w:val="clear" w:color="auto" w:fill="E2E8F1"/>
          </w:tcPr>
          <w:p>
            <w:pPr>
              <w:spacing w:after="0" w:line="20" w:lineRule="exact"/>
              <w:rPr>
                <w:sz w:val="1"/>
                <w:szCs w:val="1"/>
                <w:color w:val="auto"/>
              </w:rPr>
            </w:pPr>
          </w:p>
        </w:tc>
        <w:tc>
          <w:tcPr>
            <w:tcW w:w="96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400" w:type="dxa"/>
            <w:vAlign w:val="bottom"/>
            <w:shd w:val="clear" w:color="auto" w:fill="E2E8F1"/>
          </w:tcPr>
          <w:p>
            <w:pPr>
              <w:spacing w:after="0" w:line="20" w:lineRule="exact"/>
              <w:rPr>
                <w:sz w:val="1"/>
                <w:szCs w:val="1"/>
                <w:color w:val="auto"/>
              </w:rPr>
            </w:pPr>
          </w:p>
        </w:tc>
        <w:tc>
          <w:tcPr>
            <w:tcW w:w="100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tcPr>
          <w:p>
            <w:pPr>
              <w:ind w:left="240"/>
              <w:spacing w:after="0" w:line="157" w:lineRule="exact"/>
              <w:rPr>
                <w:sz w:val="20"/>
                <w:szCs w:val="20"/>
                <w:color w:val="auto"/>
              </w:rPr>
            </w:pPr>
            <w:r>
              <w:rPr>
                <w:rFonts w:ascii="Arial" w:cs="Arial" w:eastAsia="Arial" w:hAnsi="Arial"/>
                <w:sz w:val="14"/>
                <w:szCs w:val="14"/>
                <w:color w:val="auto"/>
              </w:rPr>
              <w:t>(Loss) earnings before income taxes</w:t>
            </w:r>
          </w:p>
        </w:tc>
        <w:tc>
          <w:tcPr>
            <w:tcW w:w="280" w:type="dxa"/>
            <w:vAlign w:val="bottom"/>
          </w:tcPr>
          <w:p>
            <w:pPr>
              <w:jc w:val="right"/>
              <w:ind w:right="129"/>
              <w:spacing w:after="0" w:line="157"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(41.8)</w:t>
            </w: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92.4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-3190875</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-3190875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-2762885</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-2762885</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-2319655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-2319655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-2094865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-2079625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-2094865</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-2079625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-1651635</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-1651635</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-998220</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-998220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-780415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-780415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-352425</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-352425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-134620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-134620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69" w:lineRule="exact"/>
        <w:rPr>
          <w:sz w:val="20"/>
          <w:szCs w:val="20"/>
          <w:color w:val="auto"/>
        </w:rPr>
      </w:pPr>
    </w:p>
    <w:p>
      <w:pPr>
        <w:ind w:left="506" w:right="420" w:hanging="506"/>
        <w:spacing w:after="0" w:line="222" w:lineRule="auto"/>
        <w:tabs>
          <w:tab w:leader="none" w:pos="374"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ind w:left="506" w:right="120" w:hanging="506"/>
        <w:spacing w:after="0" w:line="225" w:lineRule="auto"/>
        <w:tabs>
          <w:tab w:leader="none" w:pos="387"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 the United States, revenues from services include fees received from our franchise offices of $2.6 million and $3.2 million for the three months ended June 30, 2025 and 2024, respectively. These fees are primarily based on revenues generated by the franchise offices, which were $87.1 million and $99.8 million for the three months ended June 30, 2025 and 2024, respectively.</w:t>
      </w:r>
    </w:p>
    <w:p>
      <w:pPr>
        <w:spacing w:after="0" w:line="1" w:lineRule="exact"/>
        <w:rPr>
          <w:rFonts w:ascii="Arial" w:cs="Arial" w:eastAsia="Arial" w:hAnsi="Arial"/>
          <w:sz w:val="19"/>
          <w:szCs w:val="19"/>
          <w:color w:val="auto"/>
          <w:vertAlign w:val="superscript"/>
        </w:rPr>
      </w:pPr>
    </w:p>
    <w:p>
      <w:pPr>
        <w:ind w:left="506" w:right="440" w:hanging="506"/>
        <w:spacing w:after="0" w:line="216" w:lineRule="auto"/>
        <w:tabs>
          <w:tab w:leader="none" w:pos="206"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Impairment charges for the three months ended June 30, 2025 consist of a goodwill impairment related to our investments in Switzerland and the United Kingdom and an impairment of an indefinite lived intangible asset in our Switzerland business.</w:t>
      </w:r>
    </w:p>
    <w:p>
      <w:pPr>
        <w:spacing w:after="0" w:line="1" w:lineRule="exact"/>
        <w:rPr>
          <w:rFonts w:ascii="Arial" w:cs="Arial" w:eastAsia="Arial" w:hAnsi="Arial"/>
          <w:sz w:val="19"/>
          <w:szCs w:val="19"/>
          <w:color w:val="auto"/>
          <w:vertAlign w:val="superscript"/>
        </w:rPr>
      </w:pPr>
    </w:p>
    <w:p>
      <w:pPr>
        <w:ind w:left="386" w:hanging="386"/>
        <w:spacing w:after="0" w:line="190" w:lineRule="auto"/>
        <w:tabs>
          <w:tab w:leader="none" w:pos="386"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components of interest and other expenses, net were:</w:t>
      </w:r>
    </w:p>
    <w:tbl>
      <w:tblPr>
        <w:tblLayout w:type="fixed"/>
        <w:tblInd w:w="6" w:type="dxa"/>
        <w:tblCellMar>
          <w:top w:w="0" w:type="dxa"/>
          <w:left w:w="0" w:type="dxa"/>
          <w:bottom w:w="0" w:type="dxa"/>
          <w:right w:w="0" w:type="dxa"/>
        </w:tblCellMar>
      </w:tblPr>
      <w:tr>
        <w:trPr>
          <w:trHeight w:val="138"/>
        </w:trPr>
        <w:tc>
          <w:tcPr>
            <w:tcW w:w="46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40" w:type="dxa"/>
            <w:vAlign w:val="bottom"/>
            <w:tcBorders>
              <w:bottom w:val="single" w:sz="8" w:color="auto"/>
            </w:tcBorders>
          </w:tcPr>
          <w:p>
            <w:pPr>
              <w:jc w:val="right"/>
              <w:ind w:right="153"/>
              <w:spacing w:after="0" w:line="138" w:lineRule="exact"/>
              <w:rPr>
                <w:sz w:val="20"/>
                <w:szCs w:val="20"/>
                <w:color w:val="auto"/>
              </w:rPr>
            </w:pPr>
            <w:r>
              <w:rPr>
                <w:rFonts w:ascii="Arial" w:cs="Arial" w:eastAsia="Arial" w:hAnsi="Arial"/>
                <w:sz w:val="13"/>
                <w:szCs w:val="13"/>
                <w:b w:val="1"/>
                <w:bCs w:val="1"/>
                <w:color w:val="auto"/>
              </w:rPr>
              <w:t>2025</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50"/>
              <w:spacing w:after="0" w:line="138"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r>
      <w:tr>
        <w:trPr>
          <w:trHeight w:val="157"/>
        </w:trPr>
        <w:tc>
          <w:tcPr>
            <w:tcW w:w="4680" w:type="dxa"/>
            <w:vAlign w:val="bottom"/>
            <w:shd w:val="clear" w:color="auto" w:fill="E2E8F1"/>
          </w:tcPr>
          <w:p>
            <w:pPr>
              <w:ind w:left="320"/>
              <w:spacing w:after="0" w:line="157" w:lineRule="exact"/>
              <w:rPr>
                <w:sz w:val="20"/>
                <w:szCs w:val="20"/>
                <w:color w:val="auto"/>
              </w:rPr>
            </w:pPr>
            <w:r>
              <w:rPr>
                <w:rFonts w:ascii="Arial" w:cs="Arial" w:eastAsia="Arial" w:hAnsi="Arial"/>
                <w:sz w:val="14"/>
                <w:szCs w:val="14"/>
                <w:color w:val="auto"/>
              </w:rPr>
              <w:t>Interest expense</w:t>
            </w:r>
          </w:p>
        </w:tc>
        <w:tc>
          <w:tcPr>
            <w:tcW w:w="3920" w:type="dxa"/>
            <w:vAlign w:val="bottom"/>
            <w:gridSpan w:val="2"/>
            <w:shd w:val="clear" w:color="auto" w:fill="E2E8F1"/>
          </w:tcPr>
          <w:p>
            <w:pPr>
              <w:jc w:val="right"/>
              <w:ind w:right="1093"/>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26.0</w:t>
            </w:r>
          </w:p>
        </w:tc>
        <w:tc>
          <w:tcPr>
            <w:tcW w:w="100" w:type="dxa"/>
            <w:vAlign w:val="bottom"/>
            <w:shd w:val="clear" w:color="auto" w:fill="E2E8F1"/>
          </w:tcPr>
          <w:p>
            <w:pPr>
              <w:spacing w:after="0"/>
              <w:rPr>
                <w:sz w:val="13"/>
                <w:szCs w:val="13"/>
                <w:color w:val="auto"/>
              </w:rPr>
            </w:pPr>
          </w:p>
        </w:tc>
        <w:tc>
          <w:tcPr>
            <w:tcW w:w="600" w:type="dxa"/>
            <w:vAlign w:val="bottom"/>
            <w:gridSpan w:val="2"/>
            <w:shd w:val="clear" w:color="auto" w:fill="E2E8F1"/>
          </w:tcPr>
          <w:p>
            <w:pPr>
              <w:jc w:val="right"/>
              <w:ind w:right="249"/>
              <w:spacing w:after="0" w:line="157"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E2E8F1"/>
          </w:tcPr>
          <w:p>
            <w:pPr>
              <w:jc w:val="right"/>
              <w:ind w:right="120"/>
              <w:spacing w:after="0" w:line="157" w:lineRule="exact"/>
              <w:rPr>
                <w:sz w:val="20"/>
                <w:szCs w:val="20"/>
                <w:color w:val="auto"/>
              </w:rPr>
            </w:pPr>
            <w:r>
              <w:rPr>
                <w:rFonts w:ascii="Arial" w:cs="Arial" w:eastAsia="Arial" w:hAnsi="Arial"/>
                <w:sz w:val="14"/>
                <w:szCs w:val="14"/>
                <w:color w:val="auto"/>
              </w:rPr>
              <w:t>22.0</w:t>
            </w:r>
          </w:p>
        </w:tc>
      </w:tr>
      <w:tr>
        <w:trPr>
          <w:trHeight w:val="166"/>
        </w:trPr>
        <w:tc>
          <w:tcPr>
            <w:tcW w:w="4680" w:type="dxa"/>
            <w:vAlign w:val="bottom"/>
          </w:tcPr>
          <w:p>
            <w:pPr>
              <w:ind w:left="320"/>
              <w:spacing w:after="0"/>
              <w:rPr>
                <w:sz w:val="20"/>
                <w:szCs w:val="20"/>
                <w:color w:val="auto"/>
              </w:rPr>
            </w:pPr>
            <w:r>
              <w:rPr>
                <w:rFonts w:ascii="Arial" w:cs="Arial" w:eastAsia="Arial" w:hAnsi="Arial"/>
                <w:sz w:val="14"/>
                <w:szCs w:val="14"/>
                <w:color w:val="auto"/>
              </w:rPr>
              <w:t>Interest income</w:t>
            </w:r>
          </w:p>
        </w:tc>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(8.2)</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(8.6)</w:t>
            </w:r>
          </w:p>
        </w:tc>
      </w:tr>
      <w:tr>
        <w:trPr>
          <w:trHeight w:val="166"/>
        </w:trPr>
        <w:tc>
          <w:tcPr>
            <w:tcW w:w="46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Foreign exchange loss</w:t>
            </w:r>
          </w:p>
        </w:tc>
        <w:tc>
          <w:tcPr>
            <w:tcW w:w="2680" w:type="dxa"/>
            <w:vAlign w:val="bottom"/>
            <w:shd w:val="clear" w:color="auto" w:fill="E2E8F1"/>
          </w:tcPr>
          <w:p>
            <w:pPr>
              <w:spacing w:after="0"/>
              <w:rPr>
                <w:sz w:val="14"/>
                <w:szCs w:val="14"/>
                <w:color w:val="auto"/>
              </w:rPr>
            </w:pPr>
          </w:p>
        </w:tc>
        <w:tc>
          <w:tcPr>
            <w:tcW w:w="1240" w:type="dxa"/>
            <w:vAlign w:val="bottom"/>
            <w:shd w:val="clear" w:color="auto" w:fill="E2E8F1"/>
          </w:tcPr>
          <w:p>
            <w:pPr>
              <w:spacing w:after="0"/>
              <w:rPr>
                <w:sz w:val="14"/>
                <w:szCs w:val="14"/>
                <w:color w:val="auto"/>
              </w:rPr>
            </w:pPr>
          </w:p>
        </w:tc>
        <w:tc>
          <w:tcPr>
            <w:tcW w:w="5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440" w:type="dxa"/>
            <w:vAlign w:val="bottom"/>
            <w:gridSpan w:val="2"/>
            <w:shd w:val="clear" w:color="auto" w:fill="E2E8F1"/>
          </w:tcPr>
          <w:p>
            <w:pPr>
              <w:jc w:val="right"/>
              <w:ind w:right="120"/>
              <w:spacing w:after="0"/>
              <w:rPr>
                <w:sz w:val="20"/>
                <w:szCs w:val="20"/>
                <w:color w:val="auto"/>
              </w:rPr>
            </w:pPr>
            <w:r>
              <w:rPr>
                <w:rFonts w:ascii="Arial" w:cs="Arial" w:eastAsia="Arial" w:hAnsi="Arial"/>
                <w:sz w:val="14"/>
                <w:szCs w:val="14"/>
                <w:color w:val="auto"/>
              </w:rPr>
              <w:t>1.8</w:t>
            </w:r>
          </w:p>
        </w:tc>
      </w:tr>
      <w:tr>
        <w:trPr>
          <w:trHeight w:val="166"/>
        </w:trPr>
        <w:tc>
          <w:tcPr>
            <w:tcW w:w="4680" w:type="dxa"/>
            <w:vAlign w:val="bottom"/>
          </w:tcPr>
          <w:p>
            <w:pPr>
              <w:ind w:left="320"/>
              <w:spacing w:after="0"/>
              <w:rPr>
                <w:sz w:val="20"/>
                <w:szCs w:val="20"/>
                <w:color w:val="auto"/>
              </w:rPr>
            </w:pPr>
            <w:r>
              <w:rPr>
                <w:rFonts w:ascii="Arial" w:cs="Arial" w:eastAsia="Arial" w:hAnsi="Arial"/>
                <w:sz w:val="14"/>
                <w:szCs w:val="14"/>
                <w:color w:val="auto"/>
              </w:rPr>
              <w:t>Miscellaneous income, net</w:t>
            </w:r>
          </w:p>
        </w:tc>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(6.5)</w:t>
            </w:r>
          </w:p>
        </w:tc>
      </w:tr>
      <w:tr>
        <w:trPr>
          <w:trHeight w:val="20"/>
        </w:trPr>
        <w:tc>
          <w:tcPr>
            <w:tcW w:w="4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680" w:type="dxa"/>
            <w:vAlign w:val="bottom"/>
            <w:shd w:val="clear" w:color="auto" w:fill="E2E8F1"/>
          </w:tcPr>
          <w:p>
            <w:pPr>
              <w:spacing w:after="0"/>
              <w:rPr>
                <w:sz w:val="17"/>
                <w:szCs w:val="17"/>
                <w:color w:val="auto"/>
              </w:rPr>
            </w:pPr>
          </w:p>
        </w:tc>
        <w:tc>
          <w:tcPr>
            <w:tcW w:w="2680" w:type="dxa"/>
            <w:vAlign w:val="bottom"/>
            <w:shd w:val="clear" w:color="auto" w:fill="E2E8F1"/>
          </w:tcPr>
          <w:p>
            <w:pPr>
              <w:spacing w:after="0"/>
              <w:rPr>
                <w:sz w:val="17"/>
                <w:szCs w:val="17"/>
                <w:color w:val="auto"/>
              </w:rPr>
            </w:pPr>
          </w:p>
        </w:tc>
        <w:tc>
          <w:tcPr>
            <w:tcW w:w="1240" w:type="dxa"/>
            <w:vAlign w:val="bottom"/>
            <w:shd w:val="clear" w:color="auto" w:fill="E2E8F1"/>
          </w:tcPr>
          <w:p>
            <w:pPr>
              <w:jc w:val="right"/>
              <w:ind w:right="1093"/>
              <w:spacing w:after="0" w:line="157"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16.5</w:t>
            </w: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400" w:type="dxa"/>
            <w:vAlign w:val="bottom"/>
            <w:shd w:val="clear" w:color="auto" w:fill="E2E8F1"/>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E2E8F1"/>
          </w:tcPr>
          <w:p>
            <w:pPr>
              <w:jc w:val="right"/>
              <w:ind w:right="120"/>
              <w:spacing w:after="0" w:line="157" w:lineRule="exact"/>
              <w:rPr>
                <w:sz w:val="20"/>
                <w:szCs w:val="20"/>
                <w:color w:val="auto"/>
              </w:rPr>
            </w:pPr>
            <w:r>
              <w:rPr>
                <w:rFonts w:ascii="Arial" w:cs="Arial" w:eastAsia="Arial" w:hAnsi="Arial"/>
                <w:sz w:val="14"/>
                <w:szCs w:val="14"/>
                <w:color w:val="auto"/>
              </w:rPr>
              <w:t>8.7</w:t>
            </w:r>
          </w:p>
        </w:tc>
      </w:tr>
      <w:tr>
        <w:trPr>
          <w:trHeight w:val="949"/>
        </w:trPr>
        <w:tc>
          <w:tcPr>
            <w:tcW w:w="4680" w:type="dxa"/>
            <w:vAlign w:val="bottom"/>
            <w:tcBorders>
              <w:top w:val="single" w:sz="8" w:color="E2E8F1"/>
              <w:bottom w:val="single" w:sz="8" w:color="9A9A9A"/>
            </w:tcBorders>
          </w:tcPr>
          <w:p>
            <w:pPr>
              <w:spacing w:after="0"/>
              <w:rPr>
                <w:sz w:val="24"/>
                <w:szCs w:val="24"/>
                <w:color w:val="auto"/>
              </w:rPr>
            </w:pPr>
          </w:p>
        </w:tc>
        <w:tc>
          <w:tcPr>
            <w:tcW w:w="2680" w:type="dxa"/>
            <w:vAlign w:val="bottom"/>
            <w:tcBorders>
              <w:top w:val="single" w:sz="8" w:color="E2E8F1"/>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E2E8F1"/>
              <w:bottom w:val="single" w:sz="8" w:color="9A9A9A"/>
            </w:tcBorders>
          </w:tcPr>
          <w:p>
            <w:pPr>
              <w:spacing w:after="0"/>
              <w:rPr>
                <w:sz w:val="24"/>
                <w:szCs w:val="24"/>
                <w:color w:val="auto"/>
              </w:rPr>
            </w:pPr>
          </w:p>
        </w:tc>
        <w:tc>
          <w:tcPr>
            <w:tcW w:w="200" w:type="dxa"/>
            <w:vAlign w:val="bottom"/>
            <w:tcBorders>
              <w:top w:val="single" w:sz="8" w:color="E2E8F1"/>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13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E2E8F1"/>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-652780</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-637540</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-652780</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-637540</wp:posOffset>
            </wp:positionV>
            <wp:extent cx="67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6"/>
          </w:cols>
          <w:pgMar w:left="314" w:top="882" w:right="319" w:bottom="1440" w:gutter="0" w:footer="0" w:header="0"/>
        </w:sectPr>
      </w:pPr>
    </w:p>
    <w:bookmarkStart w:id="8" w:name="page9"/>
    <w:bookmarkEnd w:id="8"/>
    <w:p>
      <w:pPr>
        <w:jc w:val="center"/>
        <w:ind w:right="-4"/>
        <w:spacing w:after="0"/>
        <w:rPr>
          <w:sz w:val="20"/>
          <w:szCs w:val="20"/>
          <w:color w:val="auto"/>
        </w:rPr>
      </w:pPr>
      <w:r>
        <w:rPr>
          <w:rFonts w:ascii="Arial" w:cs="Arial" w:eastAsia="Arial" w:hAnsi="Arial"/>
          <w:sz w:val="16"/>
          <w:szCs w:val="16"/>
          <w:color w:val="auto"/>
        </w:rPr>
        <w:t>ManpowerGroup</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164"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7"/>
          </w:tcPr>
          <w:p>
            <w:pPr>
              <w:jc w:val="center"/>
              <w:ind w:right="760"/>
              <w:spacing w:after="0"/>
              <w:rPr>
                <w:sz w:val="20"/>
                <w:szCs w:val="20"/>
                <w:color w:val="auto"/>
              </w:rPr>
            </w:pPr>
            <w:r>
              <w:rPr>
                <w:rFonts w:ascii="Arial" w:cs="Arial" w:eastAsia="Arial" w:hAnsi="Arial"/>
                <w:sz w:val="13"/>
                <w:szCs w:val="13"/>
                <w:b w:val="1"/>
                <w:bCs w:val="1"/>
                <w:color w:val="auto"/>
                <w:w w:val="95"/>
              </w:rPr>
              <w:t>Six Months Ended June 30</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740"/>
              <w:spacing w:after="0" w:line="134" w:lineRule="exact"/>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gridSpan w:val="3"/>
          </w:tcPr>
          <w:p>
            <w:pPr>
              <w:jc w:val="center"/>
              <w:ind w:right="860"/>
              <w:spacing w:after="0" w:line="126" w:lineRule="exact"/>
              <w:rPr>
                <w:sz w:val="20"/>
                <w:szCs w:val="20"/>
                <w:color w:val="auto"/>
              </w:rPr>
            </w:pPr>
            <w:r>
              <w:rPr>
                <w:rFonts w:ascii="Arial" w:cs="Arial" w:eastAsia="Arial" w:hAnsi="Arial"/>
                <w:sz w:val="13"/>
                <w:szCs w:val="13"/>
                <w:b w:val="1"/>
                <w:bCs w:val="1"/>
                <w:color w:val="auto"/>
                <w:w w:val="97"/>
              </w:rPr>
              <w:t>Amount</w:t>
            </w:r>
          </w:p>
        </w:tc>
        <w:tc>
          <w:tcPr>
            <w:tcW w:w="1000" w:type="dxa"/>
            <w:vAlign w:val="bottom"/>
          </w:tcPr>
          <w:p>
            <w:pPr>
              <w:jc w:val="right"/>
              <w:ind w:right="310"/>
              <w:spacing w:after="0" w:line="126" w:lineRule="exact"/>
              <w:rPr>
                <w:sz w:val="20"/>
                <w:szCs w:val="20"/>
                <w:color w:val="auto"/>
              </w:rPr>
            </w:pPr>
            <w:r>
              <w:rPr>
                <w:rFonts w:ascii="Arial" w:cs="Arial" w:eastAsia="Arial" w:hAnsi="Arial"/>
                <w:sz w:val="13"/>
                <w:szCs w:val="13"/>
                <w:b w:val="1"/>
                <w:bCs w:val="1"/>
                <w:color w:val="auto"/>
              </w:rPr>
              <w:t>Constant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8"/>
              </w:rPr>
              <w:t>Reported</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Currency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4"/>
          </w:tcPr>
          <w:p>
            <w:pPr>
              <w:jc w:val="center"/>
              <w:ind w:left="670"/>
              <w:spacing w:after="0" w:line="134" w:lineRule="exact"/>
              <w:rPr>
                <w:sz w:val="20"/>
                <w:szCs w:val="20"/>
                <w:color w:val="auto"/>
              </w:rPr>
            </w:pPr>
            <w:r>
              <w:rPr>
                <w:rFonts w:ascii="Arial" w:cs="Arial" w:eastAsia="Arial" w:hAnsi="Arial"/>
                <w:sz w:val="13"/>
                <w:szCs w:val="13"/>
                <w:color w:val="auto"/>
                <w:w w:val="97"/>
              </w:rPr>
              <w:t>(Unaudited)</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E2E8F1"/>
          </w:tcPr>
          <w:p>
            <w:pPr>
              <w:spacing w:after="0" w:line="165" w:lineRule="exact"/>
              <w:rPr>
                <w:sz w:val="20"/>
                <w:szCs w:val="20"/>
                <w:color w:val="auto"/>
              </w:rPr>
            </w:pPr>
            <w:r>
              <w:rPr>
                <w:rFonts w:ascii="Arial" w:cs="Arial" w:eastAsia="Arial" w:hAnsi="Arial"/>
                <w:sz w:val="14"/>
                <w:szCs w:val="14"/>
                <w:color w:val="auto"/>
              </w:rPr>
              <w:t xml:space="preserve">Revenues from services </w:t>
            </w:r>
            <w:r>
              <w:rPr>
                <w:rFonts w:ascii="Arial" w:cs="Arial" w:eastAsia="Arial" w:hAnsi="Arial"/>
                <w:sz w:val="19"/>
                <w:szCs w:val="19"/>
                <w:color w:val="auto"/>
                <w:vertAlign w:val="superscript"/>
              </w:rPr>
              <w:t>(a)</w:t>
            </w:r>
          </w:p>
        </w:tc>
        <w:tc>
          <w:tcPr>
            <w:tcW w:w="1800" w:type="dxa"/>
            <w:vAlign w:val="bottom"/>
            <w:gridSpan w:val="2"/>
            <w:shd w:val="clear" w:color="auto" w:fill="E2E8F1"/>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8,609.6</w:t>
            </w:r>
          </w:p>
        </w:tc>
        <w:tc>
          <w:tcPr>
            <w:tcW w:w="120" w:type="dxa"/>
            <w:vAlign w:val="bottom"/>
            <w:shd w:val="clear" w:color="auto" w:fill="E2E8F1"/>
          </w:tcPr>
          <w:p>
            <w:pPr>
              <w:spacing w:after="0"/>
              <w:rPr>
                <w:sz w:val="14"/>
                <w:szCs w:val="14"/>
                <w:color w:val="auto"/>
              </w:rPr>
            </w:pPr>
          </w:p>
        </w:tc>
        <w:tc>
          <w:tcPr>
            <w:tcW w:w="400" w:type="dxa"/>
            <w:vAlign w:val="bottom"/>
            <w:gridSpan w:val="2"/>
            <w:shd w:val="clear" w:color="auto" w:fill="E2E8F1"/>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8,924.0</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-3.5%</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Cost of services</w:t>
            </w:r>
          </w:p>
        </w:tc>
        <w:tc>
          <w:tcPr>
            <w:tcW w:w="1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7,147.6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-3.1%</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Gross profit</w:t>
            </w:r>
          </w:p>
        </w:tc>
        <w:tc>
          <w:tcPr>
            <w:tcW w:w="152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1,462.0</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9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1,549.6</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-5.7%</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60" w:type="dxa"/>
            <w:vAlign w:val="bottom"/>
          </w:tcPr>
          <w:p>
            <w:pPr>
              <w:spacing w:after="0" w:line="153" w:lineRule="exact"/>
              <w:rPr>
                <w:sz w:val="20"/>
                <w:szCs w:val="20"/>
                <w:color w:val="auto"/>
              </w:rPr>
            </w:pPr>
            <w:r>
              <w:rPr>
                <w:rFonts w:ascii="Arial" w:cs="Arial" w:eastAsia="Arial" w:hAnsi="Arial"/>
                <w:sz w:val="14"/>
                <w:szCs w:val="14"/>
                <w:color w:val="auto"/>
              </w:rPr>
              <w:t>Selling and administrative expenses,</w:t>
            </w: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ind w:left="100"/>
              <w:spacing w:after="0"/>
              <w:rPr>
                <w:sz w:val="20"/>
                <w:szCs w:val="20"/>
                <w:color w:val="auto"/>
              </w:rPr>
            </w:pPr>
            <w:r>
              <w:rPr>
                <w:rFonts w:ascii="Arial" w:cs="Arial" w:eastAsia="Arial" w:hAnsi="Arial"/>
                <w:sz w:val="14"/>
                <w:szCs w:val="14"/>
                <w:color w:val="auto"/>
              </w:rPr>
              <w:t>excluding impairment charges</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1,370.4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-0.9%</w:t>
            </w:r>
          </w:p>
        </w:tc>
        <w:tc>
          <w:tcPr>
            <w:tcW w:w="40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E2E8F1"/>
          </w:tcPr>
          <w:p>
            <w:pPr>
              <w:spacing w:after="0" w:line="165" w:lineRule="exact"/>
              <w:rPr>
                <w:sz w:val="20"/>
                <w:szCs w:val="20"/>
                <w:color w:val="auto"/>
              </w:rPr>
            </w:pPr>
            <w:r>
              <w:rPr>
                <w:rFonts w:ascii="Arial" w:cs="Arial" w:eastAsia="Arial" w:hAnsi="Arial"/>
                <w:sz w:val="14"/>
                <w:szCs w:val="14"/>
                <w:color w:val="auto"/>
              </w:rPr>
              <w:t xml:space="preserve">Impairment charges </w:t>
            </w:r>
            <w:r>
              <w:rPr>
                <w:rFonts w:ascii="Arial" w:cs="Arial" w:eastAsia="Arial" w:hAnsi="Arial"/>
                <w:sz w:val="19"/>
                <w:szCs w:val="19"/>
                <w:color w:val="auto"/>
                <w:vertAlign w:val="superscript"/>
              </w:rPr>
              <w:t>(b)</w:t>
            </w:r>
          </w:p>
        </w:tc>
        <w:tc>
          <w:tcPr>
            <w:tcW w:w="15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88.7</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480" w:type="dxa"/>
            <w:vAlign w:val="bottom"/>
            <w:gridSpan w:val="4"/>
            <w:shd w:val="clear" w:color="auto" w:fill="E2E8F1"/>
          </w:tcPr>
          <w:p>
            <w:pPr>
              <w:jc w:val="right"/>
              <w:ind w:right="540"/>
              <w:spacing w:after="0"/>
              <w:rPr>
                <w:sz w:val="20"/>
                <w:szCs w:val="20"/>
                <w:color w:val="auto"/>
              </w:rPr>
            </w:pPr>
            <w:r>
              <w:rPr>
                <w:rFonts w:ascii="Arial" w:cs="Arial" w:eastAsia="Arial" w:hAnsi="Arial"/>
                <w:sz w:val="14"/>
                <w:szCs w:val="14"/>
                <w:color w:val="auto"/>
              </w:rPr>
              <w:t>—</w:t>
            </w:r>
          </w:p>
        </w:tc>
        <w:tc>
          <w:tcPr>
            <w:tcW w:w="1500" w:type="dxa"/>
            <w:vAlign w:val="bottom"/>
            <w:gridSpan w:val="3"/>
            <w:shd w:val="clear" w:color="auto" w:fill="E2E8F1"/>
          </w:tcPr>
          <w:p>
            <w:pPr>
              <w:ind w:left="700"/>
              <w:spacing w:after="0"/>
              <w:rPr>
                <w:sz w:val="20"/>
                <w:szCs w:val="20"/>
                <w:color w:val="auto"/>
              </w:rPr>
            </w:pPr>
            <w:r>
              <w:rPr>
                <w:rFonts w:ascii="Arial" w:cs="Arial" w:eastAsia="Arial" w:hAnsi="Arial"/>
                <w:sz w:val="14"/>
                <w:szCs w:val="14"/>
                <w:color w:val="auto"/>
              </w:rPr>
              <w:t>N/A</w:t>
            </w:r>
          </w:p>
        </w:tc>
        <w:tc>
          <w:tcPr>
            <w:tcW w:w="1140" w:type="dxa"/>
            <w:vAlign w:val="bottom"/>
            <w:gridSpan w:val="2"/>
            <w:shd w:val="clear" w:color="auto" w:fill="E2E8F1"/>
          </w:tcPr>
          <w:p>
            <w:pPr>
              <w:jc w:val="right"/>
              <w:ind w:right="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Borders>
              <w:top w:val="single" w:sz="8" w:color="E2E8F1"/>
            </w:tcBorders>
          </w:tcPr>
          <w:p>
            <w:pPr>
              <w:spacing w:after="0" w:line="157" w:lineRule="exact"/>
              <w:rPr>
                <w:sz w:val="20"/>
                <w:szCs w:val="20"/>
                <w:color w:val="auto"/>
              </w:rPr>
            </w:pPr>
            <w:r>
              <w:rPr>
                <w:rFonts w:ascii="Arial" w:cs="Arial" w:eastAsia="Arial" w:hAnsi="Arial"/>
                <w:sz w:val="14"/>
                <w:szCs w:val="14"/>
                <w:color w:val="auto"/>
              </w:rPr>
              <w:t>Selling and administrative expenses</w:t>
            </w:r>
          </w:p>
        </w:tc>
        <w:tc>
          <w:tcPr>
            <w:tcW w:w="1520" w:type="dxa"/>
            <w:vAlign w:val="bottom"/>
            <w:tcBorders>
              <w:top w:val="single" w:sz="8" w:color="E2E8F1"/>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1,459.1</w:t>
            </w:r>
          </w:p>
        </w:tc>
        <w:tc>
          <w:tcPr>
            <w:tcW w:w="120" w:type="dxa"/>
            <w:vAlign w:val="bottom"/>
            <w:tcBorders>
              <w:top w:val="single" w:sz="8" w:color="E2E8F1"/>
            </w:tcBorders>
          </w:tcPr>
          <w:p>
            <w:pPr>
              <w:spacing w:after="0"/>
              <w:rPr>
                <w:sz w:val="13"/>
                <w:szCs w:val="13"/>
                <w:color w:val="auto"/>
              </w:rPr>
            </w:pPr>
          </w:p>
        </w:tc>
        <w:tc>
          <w:tcPr>
            <w:tcW w:w="140" w:type="dxa"/>
            <w:vAlign w:val="bottom"/>
            <w:tcBorders>
              <w:top w:val="single" w:sz="8" w:color="E2E8F1"/>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1,382.6</w:t>
            </w:r>
          </w:p>
        </w:tc>
        <w:tc>
          <w:tcPr>
            <w:tcW w:w="100" w:type="dxa"/>
            <w:vAlign w:val="bottom"/>
            <w:tcBorders>
              <w:top w:val="single" w:sz="8" w:color="E2E8F1"/>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320" w:type="dxa"/>
            <w:vAlign w:val="bottom"/>
            <w:tcBorders>
              <w:top w:val="single" w:sz="8" w:color="E2E8F1"/>
            </w:tcBorders>
          </w:tcPr>
          <w:p>
            <w:pPr>
              <w:spacing w:after="0"/>
              <w:rPr>
                <w:sz w:val="13"/>
                <w:szCs w:val="13"/>
                <w:color w:val="auto"/>
              </w:rPr>
            </w:pPr>
          </w:p>
        </w:tc>
        <w:tc>
          <w:tcPr>
            <w:tcW w:w="1100" w:type="dxa"/>
            <w:vAlign w:val="bottom"/>
            <w:tcBorders>
              <w:top w:val="single" w:sz="8" w:color="E2E8F1"/>
            </w:tcBorders>
            <w:gridSpan w:val="2"/>
          </w:tcPr>
          <w:p>
            <w:pPr>
              <w:jc w:val="right"/>
              <w:ind w:right="20"/>
              <w:spacing w:after="0" w:line="157" w:lineRule="exact"/>
              <w:rPr>
                <w:sz w:val="20"/>
                <w:szCs w:val="20"/>
                <w:color w:val="auto"/>
              </w:rPr>
            </w:pPr>
            <w:r>
              <w:rPr>
                <w:rFonts w:ascii="Arial" w:cs="Arial" w:eastAsia="Arial" w:hAnsi="Arial"/>
                <w:sz w:val="14"/>
                <w:szCs w:val="14"/>
                <w:color w:val="auto"/>
              </w:rPr>
              <w:t>5.5%</w:t>
            </w:r>
          </w:p>
        </w:tc>
        <w:tc>
          <w:tcPr>
            <w:tcW w:w="400" w:type="dxa"/>
            <w:vAlign w:val="bottom"/>
            <w:tcBorders>
              <w:top w:val="single" w:sz="8" w:color="E2E8F1"/>
            </w:tcBorders>
          </w:tcPr>
          <w:p>
            <w:pPr>
              <w:spacing w:after="0"/>
              <w:rPr>
                <w:sz w:val="13"/>
                <w:szCs w:val="13"/>
                <w:color w:val="auto"/>
              </w:rPr>
            </w:pPr>
          </w:p>
        </w:tc>
        <w:tc>
          <w:tcPr>
            <w:tcW w:w="1140" w:type="dxa"/>
            <w:vAlign w:val="bottom"/>
            <w:tcBorders>
              <w:top w:val="single" w:sz="8" w:color="E2E8F1"/>
            </w:tcBorders>
            <w:gridSpan w:val="2"/>
          </w:tcPr>
          <w:p>
            <w:pPr>
              <w:jc w:val="right"/>
              <w:ind w:right="20"/>
              <w:spacing w:after="0" w:line="157"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Operating profit</w:t>
            </w:r>
          </w:p>
        </w:tc>
        <w:tc>
          <w:tcPr>
            <w:tcW w:w="152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2.9</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9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167.0</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-98.3%</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Interest and other expenses, net</w:t>
            </w:r>
          </w:p>
        </w:tc>
        <w:tc>
          <w:tcPr>
            <w:tcW w:w="1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63.7%</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(Loss) earnings before income taxes</w:t>
            </w:r>
          </w:p>
        </w:tc>
        <w:tc>
          <w:tcPr>
            <w:tcW w:w="152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06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(25.1)</w:t>
            </w:r>
          </w:p>
        </w:tc>
        <w:tc>
          <w:tcPr>
            <w:tcW w:w="14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9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149.9</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-116.8%</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-27.3%</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60" w:type="dxa"/>
            <w:vAlign w:val="bottom"/>
            <w:shd w:val="clear" w:color="auto" w:fill="E2E8F1"/>
          </w:tcPr>
          <w:p>
            <w:pPr>
              <w:ind w:left="60"/>
              <w:spacing w:after="0" w:line="146" w:lineRule="exact"/>
              <w:rPr>
                <w:sz w:val="20"/>
                <w:szCs w:val="20"/>
                <w:color w:val="auto"/>
              </w:rPr>
            </w:pPr>
            <w:r>
              <w:rPr>
                <w:rFonts w:ascii="Arial" w:cs="Arial" w:eastAsia="Arial" w:hAnsi="Arial"/>
                <w:sz w:val="14"/>
                <w:szCs w:val="14"/>
                <w:color w:val="auto"/>
              </w:rPr>
              <w:t>Net (loss) earnings</w:t>
            </w:r>
          </w:p>
        </w:tc>
        <w:tc>
          <w:tcPr>
            <w:tcW w:w="1800" w:type="dxa"/>
            <w:vAlign w:val="bottom"/>
            <w:gridSpan w:val="2"/>
            <w:shd w:val="clear" w:color="auto" w:fill="E2E8F1"/>
          </w:tcPr>
          <w:p>
            <w:pPr>
              <w:jc w:val="right"/>
              <w:ind w:right="200"/>
              <w:spacing w:after="0" w:line="146"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2E8F1"/>
          </w:tcPr>
          <w:p>
            <w:pPr>
              <w:jc w:val="right"/>
              <w:ind w:right="60"/>
              <w:spacing w:after="0" w:line="146" w:lineRule="exact"/>
              <w:rPr>
                <w:sz w:val="20"/>
                <w:szCs w:val="20"/>
                <w:color w:val="auto"/>
              </w:rPr>
            </w:pPr>
            <w:r>
              <w:rPr>
                <w:rFonts w:ascii="Arial" w:cs="Arial" w:eastAsia="Arial" w:hAnsi="Arial"/>
                <w:sz w:val="14"/>
                <w:szCs w:val="14"/>
                <w:color w:val="auto"/>
              </w:rPr>
              <w:t>(61.5)</w:t>
            </w:r>
          </w:p>
        </w:tc>
        <w:tc>
          <w:tcPr>
            <w:tcW w:w="400" w:type="dxa"/>
            <w:vAlign w:val="bottom"/>
            <w:gridSpan w:val="2"/>
            <w:shd w:val="clear" w:color="auto" w:fill="E2E8F1"/>
          </w:tcPr>
          <w:p>
            <w:pPr>
              <w:jc w:val="right"/>
              <w:ind w:right="180"/>
              <w:spacing w:after="0" w:line="146" w:lineRule="exact"/>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99.8</w:t>
            </w: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110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-161.6%</w:t>
            </w:r>
          </w:p>
        </w:tc>
        <w:tc>
          <w:tcPr>
            <w:tcW w:w="400" w:type="dxa"/>
            <w:vAlign w:val="bottom"/>
            <w:shd w:val="clear" w:color="auto" w:fill="E2E8F1"/>
          </w:tcPr>
          <w:p>
            <w:pPr>
              <w:spacing w:after="0"/>
              <w:rPr>
                <w:sz w:val="15"/>
                <w:szCs w:val="15"/>
                <w:color w:val="auto"/>
              </w:rPr>
            </w:pPr>
          </w:p>
        </w:tc>
        <w:tc>
          <w:tcPr>
            <w:tcW w:w="114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tcBorders>
              <w:top w:val="single" w:sz="8" w:color="E2E8F1"/>
            </w:tcBorders>
            <w:shd w:val="clear" w:color="auto" w:fill="E2E8F1"/>
          </w:tcPr>
          <w:p>
            <w:pPr>
              <w:spacing w:after="0" w:line="20" w:lineRule="exact"/>
              <w:rPr>
                <w:sz w:val="1"/>
                <w:szCs w:val="1"/>
                <w:color w:val="auto"/>
              </w:rPr>
            </w:pPr>
          </w:p>
        </w:tc>
        <w:tc>
          <w:tcPr>
            <w:tcW w:w="1520" w:type="dxa"/>
            <w:vAlign w:val="bottom"/>
            <w:tcBorders>
              <w:top w:val="single" w:sz="8" w:color="E2E8F1"/>
            </w:tcBorders>
            <w:shd w:val="clear" w:color="auto" w:fill="E2E8F1"/>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320" w:type="dxa"/>
            <w:vAlign w:val="bottom"/>
            <w:tcBorders>
              <w:top w:val="single" w:sz="8" w:color="E2E8F1"/>
            </w:tcBorders>
            <w:shd w:val="clear" w:color="auto" w:fill="E2E8F1"/>
          </w:tcPr>
          <w:p>
            <w:pPr>
              <w:spacing w:after="0" w:line="20" w:lineRule="exact"/>
              <w:rPr>
                <w:sz w:val="1"/>
                <w:szCs w:val="1"/>
                <w:color w:val="auto"/>
              </w:rPr>
            </w:pPr>
          </w:p>
        </w:tc>
        <w:tc>
          <w:tcPr>
            <w:tcW w:w="96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400" w:type="dxa"/>
            <w:vAlign w:val="bottom"/>
            <w:tcBorders>
              <w:top w:val="single" w:sz="8" w:color="E2E8F1"/>
            </w:tcBorders>
            <w:shd w:val="clear" w:color="auto" w:fill="E2E8F1"/>
          </w:tcPr>
          <w:p>
            <w:pPr>
              <w:spacing w:after="0" w:line="20" w:lineRule="exact"/>
              <w:rPr>
                <w:sz w:val="1"/>
                <w:szCs w:val="1"/>
                <w:color w:val="auto"/>
              </w:rPr>
            </w:pPr>
          </w:p>
        </w:tc>
        <w:tc>
          <w:tcPr>
            <w:tcW w:w="100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3860" w:type="dxa"/>
            <w:vAlign w:val="bottom"/>
          </w:tcPr>
          <w:p>
            <w:pPr>
              <w:spacing w:after="0" w:line="141" w:lineRule="exact"/>
              <w:rPr>
                <w:sz w:val="20"/>
                <w:szCs w:val="20"/>
                <w:color w:val="auto"/>
              </w:rPr>
            </w:pPr>
            <w:r>
              <w:rPr>
                <w:rFonts w:ascii="Arial" w:cs="Arial" w:eastAsia="Arial" w:hAnsi="Arial"/>
                <w:sz w:val="14"/>
                <w:szCs w:val="14"/>
                <w:color w:val="auto"/>
              </w:rPr>
              <w:t>Net (loss) earnings per share - basic</w:t>
            </w:r>
          </w:p>
        </w:tc>
        <w:tc>
          <w:tcPr>
            <w:tcW w:w="180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(1.32)</w:t>
            </w:r>
          </w:p>
        </w:tc>
        <w:tc>
          <w:tcPr>
            <w:tcW w:w="40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1" w:lineRule="exact"/>
              <w:rPr>
                <w:sz w:val="20"/>
                <w:szCs w:val="20"/>
                <w:color w:val="auto"/>
              </w:rPr>
            </w:pPr>
            <w:r>
              <w:rPr>
                <w:rFonts w:ascii="Arial" w:cs="Arial" w:eastAsia="Arial" w:hAnsi="Arial"/>
                <w:sz w:val="14"/>
                <w:szCs w:val="14"/>
                <w:color w:val="auto"/>
              </w:rPr>
              <w:t>2.07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-163.7%</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shd w:val="clear" w:color="auto" w:fill="E2E8F1"/>
          </w:tcPr>
          <w:p>
            <w:pPr>
              <w:spacing w:after="0" w:line="141" w:lineRule="exact"/>
              <w:rPr>
                <w:sz w:val="20"/>
                <w:szCs w:val="20"/>
                <w:color w:val="auto"/>
              </w:rPr>
            </w:pPr>
            <w:r>
              <w:rPr>
                <w:rFonts w:ascii="Arial" w:cs="Arial" w:eastAsia="Arial" w:hAnsi="Arial"/>
                <w:sz w:val="14"/>
                <w:szCs w:val="14"/>
                <w:color w:val="auto"/>
              </w:rPr>
              <w:t>Net (loss) earnings per share - diluted</w:t>
            </w:r>
          </w:p>
        </w:tc>
        <w:tc>
          <w:tcPr>
            <w:tcW w:w="1800" w:type="dxa"/>
            <w:vAlign w:val="bottom"/>
            <w:gridSpan w:val="2"/>
            <w:shd w:val="clear" w:color="auto" w:fill="E2E8F1"/>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2E8F1"/>
          </w:tcPr>
          <w:p>
            <w:pPr>
              <w:jc w:val="right"/>
              <w:ind w:right="60"/>
              <w:spacing w:after="0" w:line="141" w:lineRule="exact"/>
              <w:rPr>
                <w:sz w:val="20"/>
                <w:szCs w:val="20"/>
                <w:color w:val="auto"/>
              </w:rPr>
            </w:pPr>
            <w:r>
              <w:rPr>
                <w:rFonts w:ascii="Arial" w:cs="Arial" w:eastAsia="Arial" w:hAnsi="Arial"/>
                <w:sz w:val="14"/>
                <w:szCs w:val="14"/>
                <w:color w:val="auto"/>
              </w:rPr>
              <w:t>(1.32)</w:t>
            </w:r>
          </w:p>
        </w:tc>
        <w:tc>
          <w:tcPr>
            <w:tcW w:w="400" w:type="dxa"/>
            <w:vAlign w:val="bottom"/>
            <w:gridSpan w:val="2"/>
            <w:shd w:val="clear" w:color="auto" w:fill="E2E8F1"/>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spacing w:after="0" w:line="141" w:lineRule="exact"/>
              <w:rPr>
                <w:sz w:val="20"/>
                <w:szCs w:val="20"/>
                <w:color w:val="auto"/>
              </w:rPr>
            </w:pPr>
            <w:r>
              <w:rPr>
                <w:rFonts w:ascii="Arial" w:cs="Arial" w:eastAsia="Arial" w:hAnsi="Arial"/>
                <w:sz w:val="14"/>
                <w:szCs w:val="14"/>
                <w:color w:val="auto"/>
              </w:rPr>
              <w:t>2.05</w:t>
            </w: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1100" w:type="dxa"/>
            <w:vAlign w:val="bottom"/>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-164.3%</w:t>
            </w:r>
          </w:p>
        </w:tc>
        <w:tc>
          <w:tcPr>
            <w:tcW w:w="400" w:type="dxa"/>
            <w:vAlign w:val="bottom"/>
            <w:shd w:val="clear" w:color="auto" w:fill="E2E8F1"/>
          </w:tcPr>
          <w:p>
            <w:pPr>
              <w:spacing w:after="0"/>
              <w:rPr>
                <w:sz w:val="15"/>
                <w:szCs w:val="15"/>
                <w:color w:val="auto"/>
              </w:rPr>
            </w:pPr>
          </w:p>
        </w:tc>
        <w:tc>
          <w:tcPr>
            <w:tcW w:w="1140" w:type="dxa"/>
            <w:vAlign w:val="bottom"/>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-161.5%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60" w:type="dxa"/>
            <w:vAlign w:val="bottom"/>
            <w:tcBorders>
              <w:top w:val="single" w:sz="8" w:color="E2E8F1"/>
            </w:tcBorders>
          </w:tcPr>
          <w:p>
            <w:pPr>
              <w:spacing w:after="0" w:line="141" w:lineRule="exact"/>
              <w:rPr>
                <w:sz w:val="20"/>
                <w:szCs w:val="20"/>
                <w:color w:val="auto"/>
              </w:rPr>
            </w:pPr>
            <w:r>
              <w:rPr>
                <w:rFonts w:ascii="Arial" w:cs="Arial" w:eastAsia="Arial" w:hAnsi="Arial"/>
                <w:sz w:val="14"/>
                <w:szCs w:val="14"/>
                <w:color w:val="auto"/>
              </w:rPr>
              <w:t>Weighted average shares - basic</w:t>
            </w:r>
          </w:p>
        </w:tc>
        <w:tc>
          <w:tcPr>
            <w:tcW w:w="1520" w:type="dxa"/>
            <w:vAlign w:val="bottom"/>
            <w:tcBorders>
              <w:top w:val="single" w:sz="8" w:color="E2E8F1"/>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46.7</w:t>
            </w:r>
          </w:p>
        </w:tc>
        <w:tc>
          <w:tcPr>
            <w:tcW w:w="12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48.1</w:t>
            </w:r>
          </w:p>
        </w:tc>
        <w:tc>
          <w:tcPr>
            <w:tcW w:w="100" w:type="dxa"/>
            <w:vAlign w:val="bottom"/>
            <w:tcBorders>
              <w:top w:val="single" w:sz="8" w:color="E2E8F1"/>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320" w:type="dxa"/>
            <w:vAlign w:val="bottom"/>
            <w:tcBorders>
              <w:top w:val="single" w:sz="8" w:color="E2E8F1"/>
            </w:tcBorders>
          </w:tcPr>
          <w:p>
            <w:pPr>
              <w:spacing w:after="0"/>
              <w:rPr>
                <w:sz w:val="12"/>
                <w:szCs w:val="12"/>
                <w:color w:val="auto"/>
              </w:rPr>
            </w:pPr>
          </w:p>
        </w:tc>
        <w:tc>
          <w:tcPr>
            <w:tcW w:w="1100" w:type="dxa"/>
            <w:vAlign w:val="bottom"/>
            <w:tcBorders>
              <w:top w:val="single" w:sz="8" w:color="E2E8F1"/>
            </w:tcBorders>
            <w:gridSpan w:val="2"/>
          </w:tcPr>
          <w:p>
            <w:pPr>
              <w:jc w:val="right"/>
              <w:ind w:right="20"/>
              <w:spacing w:after="0" w:line="141" w:lineRule="exact"/>
              <w:rPr>
                <w:sz w:val="20"/>
                <w:szCs w:val="20"/>
                <w:color w:val="auto"/>
              </w:rPr>
            </w:pPr>
            <w:r>
              <w:rPr>
                <w:rFonts w:ascii="Arial" w:cs="Arial" w:eastAsia="Arial" w:hAnsi="Arial"/>
                <w:sz w:val="14"/>
                <w:szCs w:val="14"/>
                <w:color w:val="auto"/>
              </w:rPr>
              <w:t>-3.0%</w:t>
            </w:r>
          </w:p>
        </w:tc>
        <w:tc>
          <w:tcPr>
            <w:tcW w:w="400" w:type="dxa"/>
            <w:vAlign w:val="bottom"/>
            <w:tcBorders>
              <w:top w:val="single" w:sz="8" w:color="E2E8F1"/>
            </w:tcBorders>
          </w:tcPr>
          <w:p>
            <w:pPr>
              <w:spacing w:after="0"/>
              <w:rPr>
                <w:sz w:val="12"/>
                <w:szCs w:val="12"/>
                <w:color w:val="auto"/>
              </w:rPr>
            </w:pPr>
          </w:p>
        </w:tc>
        <w:tc>
          <w:tcPr>
            <w:tcW w:w="100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tcBorders>
              <w:bottom w:val="single" w:sz="8" w:color="E2E8F1"/>
            </w:tcBorders>
            <w:shd w:val="clear" w:color="auto" w:fill="E2E8F1"/>
          </w:tcPr>
          <w:p>
            <w:pPr>
              <w:spacing w:after="0" w:line="141" w:lineRule="exact"/>
              <w:rPr>
                <w:sz w:val="20"/>
                <w:szCs w:val="20"/>
                <w:color w:val="auto"/>
              </w:rPr>
            </w:pPr>
            <w:r>
              <w:rPr>
                <w:rFonts w:ascii="Arial" w:cs="Arial" w:eastAsia="Arial" w:hAnsi="Arial"/>
                <w:sz w:val="14"/>
                <w:szCs w:val="14"/>
                <w:color w:val="auto"/>
              </w:rPr>
              <w:t>Weighted average shares - diluted</w:t>
            </w:r>
          </w:p>
        </w:tc>
        <w:tc>
          <w:tcPr>
            <w:tcW w:w="1520" w:type="dxa"/>
            <w:vAlign w:val="bottom"/>
            <w:tcBorders>
              <w:bottom w:val="single" w:sz="8" w:color="E2E8F1"/>
            </w:tcBorders>
            <w:shd w:val="clear" w:color="auto" w:fill="E2E8F1"/>
          </w:tcPr>
          <w:p>
            <w:pPr>
              <w:spacing w:after="0"/>
              <w:rPr>
                <w:sz w:val="15"/>
                <w:szCs w:val="15"/>
                <w:color w:val="auto"/>
              </w:rPr>
            </w:pPr>
          </w:p>
        </w:tc>
        <w:tc>
          <w:tcPr>
            <w:tcW w:w="280" w:type="dxa"/>
            <w:vAlign w:val="bottom"/>
            <w:tcBorders>
              <w:bottom w:val="single" w:sz="8" w:color="auto"/>
            </w:tcBorders>
            <w:shd w:val="clear" w:color="auto" w:fill="E2E8F1"/>
          </w:tcPr>
          <w:p>
            <w:pPr>
              <w:spacing w:after="0"/>
              <w:rPr>
                <w:sz w:val="15"/>
                <w:szCs w:val="15"/>
                <w:color w:val="auto"/>
              </w:rPr>
            </w:pPr>
          </w:p>
        </w:tc>
        <w:tc>
          <w:tcPr>
            <w:tcW w:w="940" w:type="dxa"/>
            <w:vAlign w:val="bottom"/>
            <w:tcBorders>
              <w:bottom w:val="single" w:sz="8" w:color="auto"/>
            </w:tcBorders>
            <w:shd w:val="clear" w:color="auto" w:fill="E2E8F1"/>
          </w:tcPr>
          <w:p>
            <w:pPr>
              <w:jc w:val="right"/>
              <w:spacing w:after="0" w:line="141" w:lineRule="exact"/>
              <w:rPr>
                <w:sz w:val="20"/>
                <w:szCs w:val="20"/>
                <w:color w:val="auto"/>
              </w:rPr>
            </w:pPr>
            <w:r>
              <w:rPr>
                <w:rFonts w:ascii="Arial" w:cs="Arial" w:eastAsia="Arial" w:hAnsi="Arial"/>
                <w:sz w:val="14"/>
                <w:szCs w:val="14"/>
                <w:color w:val="auto"/>
              </w:rPr>
              <w:t>46.7</w:t>
            </w:r>
          </w:p>
        </w:tc>
        <w:tc>
          <w:tcPr>
            <w:tcW w:w="12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E2E8F1"/>
            </w:tcBorders>
            <w:shd w:val="clear" w:color="auto" w:fill="E2E8F1"/>
          </w:tcPr>
          <w:p>
            <w:pPr>
              <w:spacing w:after="0"/>
              <w:rPr>
                <w:sz w:val="15"/>
                <w:szCs w:val="15"/>
                <w:color w:val="auto"/>
              </w:rPr>
            </w:pPr>
          </w:p>
        </w:tc>
        <w:tc>
          <w:tcPr>
            <w:tcW w:w="260" w:type="dxa"/>
            <w:vAlign w:val="bottom"/>
            <w:tcBorders>
              <w:bottom w:val="single" w:sz="8" w:color="auto"/>
            </w:tcBorders>
            <w:shd w:val="clear" w:color="auto" w:fill="E2E8F1"/>
          </w:tcPr>
          <w:p>
            <w:pPr>
              <w:spacing w:after="0"/>
              <w:rPr>
                <w:sz w:val="15"/>
                <w:szCs w:val="15"/>
                <w:color w:val="auto"/>
              </w:rPr>
            </w:pPr>
          </w:p>
        </w:tc>
        <w:tc>
          <w:tcPr>
            <w:tcW w:w="960" w:type="dxa"/>
            <w:vAlign w:val="bottom"/>
            <w:tcBorders>
              <w:bottom w:val="single" w:sz="8" w:color="auto"/>
            </w:tcBorders>
            <w:shd w:val="clear" w:color="auto" w:fill="E2E8F1"/>
          </w:tcPr>
          <w:p>
            <w:pPr>
              <w:jc w:val="right"/>
              <w:spacing w:after="0" w:line="141" w:lineRule="exact"/>
              <w:rPr>
                <w:sz w:val="20"/>
                <w:szCs w:val="20"/>
                <w:color w:val="auto"/>
              </w:rPr>
            </w:pPr>
            <w:r>
              <w:rPr>
                <w:rFonts w:ascii="Arial" w:cs="Arial" w:eastAsia="Arial" w:hAnsi="Arial"/>
                <w:sz w:val="14"/>
                <w:szCs w:val="14"/>
                <w:color w:val="auto"/>
              </w:rPr>
              <w:t>48.7</w:t>
            </w:r>
          </w:p>
        </w:tc>
        <w:tc>
          <w:tcPr>
            <w:tcW w:w="100" w:type="dxa"/>
            <w:vAlign w:val="bottom"/>
            <w:tcBorders>
              <w:bottom w:val="single" w:sz="8" w:color="E2E8F1"/>
            </w:tcBorders>
            <w:shd w:val="clear" w:color="auto" w:fill="E2E8F1"/>
          </w:tcPr>
          <w:p>
            <w:pPr>
              <w:spacing w:after="0"/>
              <w:rPr>
                <w:sz w:val="15"/>
                <w:szCs w:val="15"/>
                <w:color w:val="auto"/>
              </w:rPr>
            </w:pPr>
          </w:p>
        </w:tc>
        <w:tc>
          <w:tcPr>
            <w:tcW w:w="100" w:type="dxa"/>
            <w:vAlign w:val="bottom"/>
            <w:tcBorders>
              <w:bottom w:val="single" w:sz="8" w:color="E2E8F1"/>
            </w:tcBorders>
            <w:shd w:val="clear" w:color="auto" w:fill="E2E8F1"/>
          </w:tcPr>
          <w:p>
            <w:pPr>
              <w:spacing w:after="0"/>
              <w:rPr>
                <w:sz w:val="15"/>
                <w:szCs w:val="15"/>
                <w:color w:val="auto"/>
              </w:rPr>
            </w:pPr>
          </w:p>
        </w:tc>
        <w:tc>
          <w:tcPr>
            <w:tcW w:w="320" w:type="dxa"/>
            <w:vAlign w:val="bottom"/>
            <w:tcBorders>
              <w:bottom w:val="single" w:sz="8" w:color="E2E8F1"/>
            </w:tcBorders>
            <w:shd w:val="clear" w:color="auto" w:fill="E2E8F1"/>
          </w:tcPr>
          <w:p>
            <w:pPr>
              <w:spacing w:after="0"/>
              <w:rPr>
                <w:sz w:val="15"/>
                <w:szCs w:val="15"/>
                <w:color w:val="auto"/>
              </w:rPr>
            </w:pPr>
          </w:p>
        </w:tc>
        <w:tc>
          <w:tcPr>
            <w:tcW w:w="1100" w:type="dxa"/>
            <w:vAlign w:val="bottom"/>
            <w:tcBorders>
              <w:bottom w:val="single" w:sz="8" w:color="E2E8F1"/>
            </w:tcBorders>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-4.1%</w:t>
            </w:r>
          </w:p>
        </w:tc>
        <w:tc>
          <w:tcPr>
            <w:tcW w:w="400" w:type="dxa"/>
            <w:vAlign w:val="bottom"/>
            <w:tcBorders>
              <w:bottom w:val="single" w:sz="8" w:color="E2E8F1"/>
            </w:tcBorders>
            <w:shd w:val="clear" w:color="auto" w:fill="E2E8F1"/>
          </w:tcPr>
          <w:p>
            <w:pPr>
              <w:spacing w:after="0"/>
              <w:rPr>
                <w:sz w:val="15"/>
                <w:szCs w:val="15"/>
                <w:color w:val="auto"/>
              </w:rPr>
            </w:pPr>
          </w:p>
        </w:tc>
        <w:tc>
          <w:tcPr>
            <w:tcW w:w="100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E2E8F1"/>
            </w:tcBorders>
            <w:shd w:val="clear" w:color="auto" w:fill="E2E8F1"/>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-1193165</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-1193165</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-532765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-517525</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-532765</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-517525</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-277495</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-262255</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-277495</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-262255</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-21590</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-6985</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-21590</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-6985</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62" w:lineRule="exact"/>
        <w:rPr>
          <w:sz w:val="20"/>
          <w:szCs w:val="20"/>
          <w:color w:val="auto"/>
        </w:rPr>
      </w:pPr>
    </w:p>
    <w:p>
      <w:pPr>
        <w:jc w:val="both"/>
        <w:ind w:left="505" w:right="20" w:hanging="505"/>
        <w:spacing w:after="0" w:line="226" w:lineRule="auto"/>
        <w:tabs>
          <w:tab w:leader="none" w:pos="505"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Revenues from services include fees received from our franchise offices of $8.2 million and $7.3 million for the six months ended June 30, 2025 and 2024, respectively. These fees are primarily based on revenues generated by the franchise offices, which were $847.1 million and $564.9 million for the six months ended June 30, 2025 and 2024, respectively.</w:t>
      </w:r>
    </w:p>
    <w:p>
      <w:pPr>
        <w:spacing w:after="0" w:line="1" w:lineRule="exact"/>
        <w:rPr>
          <w:rFonts w:ascii="Arial" w:cs="Arial" w:eastAsia="Arial" w:hAnsi="Arial"/>
          <w:sz w:val="19"/>
          <w:szCs w:val="19"/>
          <w:color w:val="auto"/>
          <w:vertAlign w:val="superscript"/>
        </w:rPr>
      </w:pPr>
    </w:p>
    <w:p>
      <w:pPr>
        <w:ind w:left="505" w:right="20" w:hanging="505"/>
        <w:spacing w:after="0" w:line="213" w:lineRule="auto"/>
        <w:tabs>
          <w:tab w:leader="none" w:pos="505"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Impairment charges for the six months ended June 30, 2025 consist of a goodwill impairment related to our investments in Switzerland and the United Kingdom and an impairment of an indefinite lived intangible asset in our Switzerland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82" w:right="319" w:bottom="1440" w:gutter="0" w:footer="0" w:header="0"/>
        </w:sectPr>
      </w:pPr>
    </w:p>
    <w:bookmarkStart w:id="9" w:name="page10"/>
    <w:bookmarkEnd w:id="9"/>
    <w:p>
      <w:pPr>
        <w:ind w:left="5046"/>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846"/>
        <w:spacing w:after="0"/>
        <w:rPr>
          <w:sz w:val="20"/>
          <w:szCs w:val="20"/>
          <w:color w:val="auto"/>
        </w:rPr>
      </w:pPr>
      <w:r>
        <w:rPr>
          <w:rFonts w:ascii="Arial" w:cs="Arial" w:eastAsia="Arial" w:hAnsi="Arial"/>
          <w:sz w:val="16"/>
          <w:szCs w:val="16"/>
          <w:color w:val="auto"/>
        </w:rPr>
        <w:t>Operating Unit Results</w:t>
      </w:r>
    </w:p>
    <w:p>
      <w:pPr>
        <w:spacing w:after="0" w:line="2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5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7"/>
          </w:tcPr>
          <w:p>
            <w:pPr>
              <w:jc w:val="center"/>
              <w:ind w:right="740"/>
              <w:spacing w:after="0"/>
              <w:rPr>
                <w:sz w:val="20"/>
                <w:szCs w:val="20"/>
                <w:color w:val="auto"/>
              </w:rPr>
            </w:pPr>
            <w:r>
              <w:rPr>
                <w:rFonts w:ascii="Arial" w:cs="Arial" w:eastAsia="Arial" w:hAnsi="Arial"/>
                <w:sz w:val="13"/>
                <w:szCs w:val="13"/>
                <w:b w:val="1"/>
                <w:bCs w:val="1"/>
                <w:color w:val="auto"/>
                <w:w w:val="95"/>
              </w:rPr>
              <w:t>Six Months Ended June 30</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740"/>
              <w:spacing w:after="0" w:line="134" w:lineRule="exact"/>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6"/>
                <w:szCs w:val="16"/>
                <w:b w:val="1"/>
                <w:bCs w:val="1"/>
                <w:color w:val="auto"/>
                <w:vertAlign w:val="superscript"/>
              </w:rPr>
              <w:t>(a)</w:t>
            </w:r>
          </w:p>
        </w:tc>
        <w:tc>
          <w:tcPr>
            <w:tcW w:w="100" w:type="dxa"/>
            <w:vAlign w:val="bottom"/>
            <w:vMerge w:val="restart"/>
          </w:tcPr>
          <w:p>
            <w:pPr>
              <w:spacing w:after="0"/>
              <w:rPr>
                <w:sz w:val="10"/>
                <w:szCs w:val="10"/>
                <w:color w:val="auto"/>
              </w:rPr>
            </w:pPr>
          </w:p>
        </w:tc>
        <w:tc>
          <w:tcPr>
            <w:tcW w:w="420" w:type="dxa"/>
            <w:vAlign w:val="bottom"/>
            <w:gridSpan w:val="2"/>
            <w:vMerge w:val="restart"/>
          </w:tcPr>
          <w:p>
            <w:pPr>
              <w:spacing w:after="0"/>
              <w:rPr>
                <w:sz w:val="10"/>
                <w:szCs w:val="10"/>
                <w:color w:val="auto"/>
              </w:rPr>
            </w:pPr>
          </w:p>
        </w:tc>
        <w:tc>
          <w:tcPr>
            <w:tcW w:w="1500" w:type="dxa"/>
            <w:vAlign w:val="bottom"/>
            <w:gridSpan w:val="3"/>
          </w:tcPr>
          <w:p>
            <w:pPr>
              <w:jc w:val="center"/>
              <w:ind w:right="860"/>
              <w:spacing w:after="0" w:line="126" w:lineRule="exact"/>
              <w:rPr>
                <w:sz w:val="20"/>
                <w:szCs w:val="20"/>
                <w:color w:val="auto"/>
              </w:rPr>
            </w:pPr>
            <w:r>
              <w:rPr>
                <w:rFonts w:ascii="Arial" w:cs="Arial" w:eastAsia="Arial" w:hAnsi="Arial"/>
                <w:sz w:val="13"/>
                <w:szCs w:val="13"/>
                <w:b w:val="1"/>
                <w:bCs w:val="1"/>
                <w:color w:val="auto"/>
                <w:w w:val="97"/>
              </w:rPr>
              <w:t>Amount</w:t>
            </w:r>
          </w:p>
        </w:tc>
        <w:tc>
          <w:tcPr>
            <w:tcW w:w="1000" w:type="dxa"/>
            <w:vAlign w:val="bottom"/>
          </w:tcPr>
          <w:p>
            <w:pPr>
              <w:ind w:left="60"/>
              <w:spacing w:after="0" w:line="126" w:lineRule="exact"/>
              <w:rPr>
                <w:sz w:val="20"/>
                <w:szCs w:val="20"/>
                <w:color w:val="auto"/>
              </w:rPr>
            </w:pPr>
            <w:r>
              <w:rPr>
                <w:rFonts w:ascii="Arial" w:cs="Arial" w:eastAsia="Arial" w:hAnsi="Arial"/>
                <w:sz w:val="13"/>
                <w:szCs w:val="13"/>
                <w:b w:val="1"/>
                <w:bCs w:val="1"/>
                <w:color w:val="auto"/>
              </w:rPr>
              <w:t>Constant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5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20" w:type="dxa"/>
            <w:vAlign w:val="bottom"/>
            <w:tcBorders>
              <w:bottom w:val="single" w:sz="8" w:color="auto"/>
            </w:tcBorders>
            <w:gridSpan w:val="2"/>
            <w:vMerge w:val="continue"/>
          </w:tcPr>
          <w:p>
            <w:pPr>
              <w:spacing w:after="0"/>
              <w:rPr>
                <w:sz w:val="13"/>
                <w:szCs w:val="13"/>
                <w:color w:val="auto"/>
              </w:rPr>
            </w:pPr>
          </w:p>
        </w:tc>
        <w:tc>
          <w:tcPr>
            <w:tcW w:w="96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8"/>
              </w:rPr>
              <w:t>Reported</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Currency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4"/>
          </w:tcPr>
          <w:p>
            <w:pPr>
              <w:jc w:val="center"/>
              <w:ind w:left="690"/>
              <w:spacing w:after="0" w:line="134" w:lineRule="exact"/>
              <w:rPr>
                <w:sz w:val="20"/>
                <w:szCs w:val="20"/>
                <w:color w:val="auto"/>
              </w:rPr>
            </w:pPr>
            <w:r>
              <w:rPr>
                <w:rFonts w:ascii="Arial" w:cs="Arial" w:eastAsia="Arial" w:hAnsi="Arial"/>
                <w:sz w:val="13"/>
                <w:szCs w:val="13"/>
                <w:color w:val="auto"/>
                <w:w w:val="97"/>
              </w:rPr>
              <w:t>(Unaudited)</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40"/>
              <w:spacing w:after="0"/>
              <w:rPr>
                <w:sz w:val="20"/>
                <w:szCs w:val="20"/>
                <w:color w:val="auto"/>
              </w:rPr>
            </w:pPr>
            <w:r>
              <w:rPr>
                <w:rFonts w:ascii="Arial" w:cs="Arial" w:eastAsia="Arial" w:hAnsi="Arial"/>
                <w:sz w:val="14"/>
                <w:szCs w:val="14"/>
                <w:color w:val="auto"/>
              </w:rPr>
              <w:t>Revenues from Services:</w:t>
            </w: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180"/>
              <w:spacing w:after="0"/>
              <w:rPr>
                <w:sz w:val="20"/>
                <w:szCs w:val="20"/>
                <w:color w:val="auto"/>
              </w:rPr>
            </w:pPr>
            <w:r>
              <w:rPr>
                <w:rFonts w:ascii="Arial" w:cs="Arial" w:eastAsia="Arial" w:hAnsi="Arial"/>
                <w:sz w:val="14"/>
                <w:szCs w:val="14"/>
                <w:color w:val="auto"/>
              </w:rPr>
              <w:t>Americas: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380"/>
              <w:spacing w:after="0" w:line="165" w:lineRule="exact"/>
              <w:rPr>
                <w:sz w:val="20"/>
                <w:szCs w:val="20"/>
                <w:color w:val="auto"/>
              </w:rPr>
            </w:pPr>
            <w:r>
              <w:rPr>
                <w:rFonts w:ascii="Arial" w:cs="Arial" w:eastAsia="Arial" w:hAnsi="Arial"/>
                <w:sz w:val="14"/>
                <w:szCs w:val="14"/>
                <w:color w:val="auto"/>
              </w:rPr>
              <w:t xml:space="preserve">United States </w:t>
            </w:r>
            <w:r>
              <w:rPr>
                <w:rFonts w:ascii="Arial" w:cs="Arial" w:eastAsia="Arial" w:hAnsi="Arial"/>
                <w:sz w:val="19"/>
                <w:szCs w:val="19"/>
                <w:color w:val="auto"/>
                <w:vertAlign w:val="superscript"/>
              </w:rPr>
              <w:t>(b)</w:t>
            </w:r>
          </w:p>
        </w:tc>
        <w:tc>
          <w:tcPr>
            <w:tcW w:w="280" w:type="dxa"/>
            <w:vAlign w:val="bottom"/>
            <w:shd w:val="clear" w:color="auto" w:fill="E2E8F1"/>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1,362.9</w:t>
            </w:r>
          </w:p>
        </w:tc>
        <w:tc>
          <w:tcPr>
            <w:tcW w:w="120" w:type="dxa"/>
            <w:vAlign w:val="bottom"/>
            <w:shd w:val="clear" w:color="auto" w:fill="E2E8F1"/>
          </w:tcPr>
          <w:p>
            <w:pPr>
              <w:spacing w:after="0"/>
              <w:rPr>
                <w:sz w:val="14"/>
                <w:szCs w:val="14"/>
                <w:color w:val="auto"/>
              </w:rPr>
            </w:pPr>
          </w:p>
        </w:tc>
        <w:tc>
          <w:tcPr>
            <w:tcW w:w="380" w:type="dxa"/>
            <w:vAlign w:val="bottom"/>
            <w:gridSpan w:val="2"/>
            <w:shd w:val="clear" w:color="auto" w:fill="E2E8F1"/>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1,377.4</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-1.1%</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6"/>
        </w:trPr>
        <w:tc>
          <w:tcPr>
            <w:tcW w:w="5400" w:type="dxa"/>
            <w:vAlign w:val="bottom"/>
          </w:tcPr>
          <w:p>
            <w:pPr>
              <w:ind w:left="380"/>
              <w:spacing w:after="0"/>
              <w:rPr>
                <w:sz w:val="20"/>
                <w:szCs w:val="20"/>
                <w:color w:val="auto"/>
              </w:rPr>
            </w:pPr>
            <w:r>
              <w:rPr>
                <w:rFonts w:ascii="Arial" w:cs="Arial" w:eastAsia="Arial" w:hAnsi="Arial"/>
                <w:sz w:val="14"/>
                <w:szCs w:val="14"/>
                <w:color w:val="auto"/>
              </w:rPr>
              <w:t>Other Americas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4.2%</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57"/>
        </w:trPr>
        <w:tc>
          <w:tcPr>
            <w:tcW w:w="540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2,116.7</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9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2,100.8</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0.8%</w:t>
            </w:r>
          </w:p>
        </w:tc>
        <w:tc>
          <w:tcPr>
            <w:tcW w:w="400" w:type="dxa"/>
            <w:vAlign w:val="bottom"/>
            <w:tcBorders>
              <w:bottom w:val="single" w:sz="8" w:color="E2E8F1"/>
            </w:tcBorders>
            <w:shd w:val="clear" w:color="auto" w:fill="E2E8F1"/>
          </w:tcPr>
          <w:p>
            <w:pPr>
              <w:spacing w:after="0"/>
              <w:rPr>
                <w:sz w:val="13"/>
                <w:szCs w:val="13"/>
                <w:color w:val="auto"/>
              </w:rPr>
            </w:pPr>
          </w:p>
        </w:tc>
        <w:tc>
          <w:tcPr>
            <w:tcW w:w="114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57"/>
        </w:trPr>
        <w:tc>
          <w:tcPr>
            <w:tcW w:w="5400" w:type="dxa"/>
            <w:vAlign w:val="bottom"/>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380"/>
              <w:spacing w:after="0"/>
              <w:rPr>
                <w:sz w:val="20"/>
                <w:szCs w:val="20"/>
                <w:color w:val="auto"/>
              </w:rPr>
            </w:pPr>
            <w:r>
              <w:rPr>
                <w:rFonts w:ascii="Arial" w:cs="Arial" w:eastAsia="Arial" w:hAnsi="Arial"/>
                <w:sz w:val="14"/>
                <w:szCs w:val="14"/>
                <w:color w:val="auto"/>
              </w:rPr>
              <w:t>France</w:t>
            </w: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2,115.0</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2,263.4</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-6.6%</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6"/>
        </w:trPr>
        <w:tc>
          <w:tcPr>
            <w:tcW w:w="5400" w:type="dxa"/>
            <w:vAlign w:val="bottom"/>
          </w:tcPr>
          <w:p>
            <w:pPr>
              <w:ind w:left="380"/>
              <w:spacing w:after="0"/>
              <w:rPr>
                <w:sz w:val="20"/>
                <w:szCs w:val="20"/>
                <w:color w:val="auto"/>
              </w:rPr>
            </w:pPr>
            <w:r>
              <w:rPr>
                <w:rFonts w:ascii="Arial" w:cs="Arial" w:eastAsia="Arial" w:hAnsi="Arial"/>
                <w:sz w:val="14"/>
                <w:szCs w:val="14"/>
                <w:color w:val="auto"/>
              </w:rPr>
              <w:t>Italy</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873.7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4.1%</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6"/>
        </w:trPr>
        <w:tc>
          <w:tcPr>
            <w:tcW w:w="540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Southern Europe</w:t>
            </w: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994.6</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976.7</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1.8%</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3,983.3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4,079.3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-2.4%</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57"/>
        </w:trPr>
        <w:tc>
          <w:tcPr>
            <w:tcW w:w="540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1,525.2</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9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1,707.6</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-10.7%</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66"/>
        </w:trPr>
        <w:tc>
          <w:tcPr>
            <w:tcW w:w="5400" w:type="dxa"/>
            <w:vAlign w:val="bottom"/>
          </w:tcPr>
          <w:p>
            <w:pPr>
              <w:ind w:left="180"/>
              <w:spacing w:after="0"/>
              <w:rPr>
                <w:sz w:val="20"/>
                <w:szCs w:val="20"/>
                <w:color w:val="auto"/>
              </w:rPr>
            </w:pPr>
            <w:r>
              <w:rPr>
                <w:rFonts w:ascii="Arial" w:cs="Arial" w:eastAsia="Arial" w:hAnsi="Arial"/>
                <w:sz w:val="14"/>
                <w:szCs w:val="14"/>
                <w:color w:val="auto"/>
              </w:rPr>
              <w:t>APME</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7"/>
        </w:trPr>
        <w:tc>
          <w:tcPr>
            <w:tcW w:w="540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8,626.9</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9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8,964.2</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96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400" w:type="dxa"/>
            <w:vAlign w:val="bottom"/>
            <w:tcBorders>
              <w:bottom w:val="single" w:sz="8" w:color="E2E8F1"/>
            </w:tcBorders>
            <w:shd w:val="clear" w:color="auto" w:fill="E2E8F1"/>
          </w:tcPr>
          <w:p>
            <w:pPr>
              <w:spacing w:after="0"/>
              <w:rPr>
                <w:sz w:val="13"/>
                <w:szCs w:val="13"/>
                <w:color w:val="auto"/>
              </w:rPr>
            </w:pPr>
          </w:p>
        </w:tc>
        <w:tc>
          <w:tcPr>
            <w:tcW w:w="10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ind w:left="180"/>
              <w:spacing w:after="0" w:line="157" w:lineRule="exact"/>
              <w:rPr>
                <w:sz w:val="20"/>
                <w:szCs w:val="20"/>
                <w:color w:val="auto"/>
              </w:rPr>
            </w:pPr>
            <w:r>
              <w:rPr>
                <w:rFonts w:ascii="Arial" w:cs="Arial" w:eastAsia="Arial" w:hAnsi="Arial"/>
                <w:sz w:val="14"/>
                <w:szCs w:val="14"/>
                <w:color w:val="auto"/>
              </w:rPr>
              <w:t>Intercompany Eliminations</w:t>
            </w:r>
          </w:p>
        </w:tc>
        <w:tc>
          <w:tcPr>
            <w:tcW w:w="28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(17.3)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(40.2)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400" w:type="dxa"/>
            <w:vAlign w:val="bottom"/>
            <w:tcBorders>
              <w:bottom w:val="single" w:sz="8" w:color="E2E8F1"/>
            </w:tcBorders>
            <w:shd w:val="clear" w:color="auto" w:fill="E2E8F1"/>
          </w:tcPr>
          <w:p>
            <w:pPr>
              <w:spacing w:after="0"/>
              <w:rPr>
                <w:sz w:val="17"/>
                <w:szCs w:val="17"/>
                <w:color w:val="auto"/>
              </w:rPr>
            </w:pPr>
          </w:p>
        </w:tc>
        <w:tc>
          <w:tcPr>
            <w:tcW w:w="280" w:type="dxa"/>
            <w:vAlign w:val="bottom"/>
            <w:tcBorders>
              <w:top w:val="single" w:sz="8" w:color="auto"/>
              <w:bottom w:val="single" w:sz="8" w:color="auto"/>
            </w:tcBorders>
            <w:shd w:val="clear" w:color="auto" w:fill="E2E8F1"/>
          </w:tcPr>
          <w:p>
            <w:pPr>
              <w:spacing w:after="0"/>
              <w:rPr>
                <w:sz w:val="17"/>
                <w:szCs w:val="17"/>
                <w:color w:val="auto"/>
              </w:rPr>
            </w:pPr>
          </w:p>
        </w:tc>
        <w:tc>
          <w:tcPr>
            <w:tcW w:w="94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8,609.6</w:t>
            </w:r>
          </w:p>
        </w:tc>
        <w:tc>
          <w:tcPr>
            <w:tcW w:w="12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240" w:type="dxa"/>
            <w:vAlign w:val="bottom"/>
            <w:tcBorders>
              <w:top w:val="single" w:sz="8" w:color="auto"/>
              <w:bottom w:val="single" w:sz="8" w:color="auto"/>
            </w:tcBorders>
            <w:shd w:val="clear" w:color="auto" w:fill="E2E8F1"/>
          </w:tcPr>
          <w:p>
            <w:pPr>
              <w:spacing w:after="0"/>
              <w:rPr>
                <w:sz w:val="17"/>
                <w:szCs w:val="17"/>
                <w:color w:val="auto"/>
              </w:rPr>
            </w:pPr>
          </w:p>
        </w:tc>
        <w:tc>
          <w:tcPr>
            <w:tcW w:w="98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8,924.0</w:t>
            </w:r>
          </w:p>
        </w:tc>
        <w:tc>
          <w:tcPr>
            <w:tcW w:w="10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320" w:type="dxa"/>
            <w:vAlign w:val="bottom"/>
            <w:tcBorders>
              <w:bottom w:val="single" w:sz="8" w:color="E2E8F1"/>
            </w:tcBorders>
            <w:shd w:val="clear" w:color="auto" w:fill="E2E8F1"/>
          </w:tcPr>
          <w:p>
            <w:pPr>
              <w:spacing w:after="0"/>
              <w:rPr>
                <w:sz w:val="17"/>
                <w:szCs w:val="17"/>
                <w:color w:val="auto"/>
              </w:rPr>
            </w:pPr>
          </w:p>
        </w:tc>
        <w:tc>
          <w:tcPr>
            <w:tcW w:w="1100" w:type="dxa"/>
            <w:vAlign w:val="bottom"/>
            <w:tcBorders>
              <w:bottom w:val="single" w:sz="8" w:color="E2E8F1"/>
            </w:tcBorders>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-3.5%</w:t>
            </w:r>
          </w:p>
        </w:tc>
        <w:tc>
          <w:tcPr>
            <w:tcW w:w="400" w:type="dxa"/>
            <w:vAlign w:val="bottom"/>
            <w:tcBorders>
              <w:bottom w:val="single" w:sz="8" w:color="E2E8F1"/>
            </w:tcBorders>
            <w:shd w:val="clear" w:color="auto" w:fill="E2E8F1"/>
          </w:tcPr>
          <w:p>
            <w:pPr>
              <w:spacing w:after="0"/>
              <w:rPr>
                <w:sz w:val="17"/>
                <w:szCs w:val="17"/>
                <w:color w:val="auto"/>
              </w:rPr>
            </w:pPr>
          </w:p>
        </w:tc>
        <w:tc>
          <w:tcPr>
            <w:tcW w:w="1140" w:type="dxa"/>
            <w:vAlign w:val="bottom"/>
            <w:tcBorders>
              <w:bottom w:val="single" w:sz="8" w:color="E2E8F1"/>
            </w:tcBorders>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1"/>
        </w:trPr>
        <w:tc>
          <w:tcPr>
            <w:tcW w:w="5400" w:type="dxa"/>
            <w:vAlign w:val="bottom"/>
          </w:tcPr>
          <w:p>
            <w:pPr>
              <w:ind w:left="40"/>
              <w:spacing w:after="0" w:line="141" w:lineRule="exact"/>
              <w:rPr>
                <w:sz w:val="20"/>
                <w:szCs w:val="20"/>
                <w:color w:val="auto"/>
              </w:rPr>
            </w:pPr>
            <w:r>
              <w:rPr>
                <w:rFonts w:ascii="Arial" w:cs="Arial" w:eastAsia="Arial" w:hAnsi="Arial"/>
                <w:sz w:val="14"/>
                <w:szCs w:val="14"/>
                <w:color w:val="auto"/>
              </w:rPr>
              <w:t>Operating Unit Profit (Loss):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180"/>
              <w:spacing w:after="0"/>
              <w:rPr>
                <w:sz w:val="20"/>
                <w:szCs w:val="20"/>
                <w:color w:val="auto"/>
              </w:rPr>
            </w:pPr>
            <w:r>
              <w:rPr>
                <w:rFonts w:ascii="Arial" w:cs="Arial" w:eastAsia="Arial" w:hAnsi="Arial"/>
                <w:sz w:val="14"/>
                <w:szCs w:val="14"/>
                <w:color w:val="auto"/>
              </w:rPr>
              <w:t>Americas:</w:t>
            </w: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-21.3%</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66"/>
        </w:trPr>
        <w:tc>
          <w:tcPr>
            <w:tcW w:w="540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Americas</w:t>
            </w: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-3.7%</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61.6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-13.5%</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7"/>
        </w:trPr>
        <w:tc>
          <w:tcPr>
            <w:tcW w:w="540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98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380"/>
              <w:spacing w:after="0"/>
              <w:rPr>
                <w:sz w:val="20"/>
                <w:szCs w:val="20"/>
                <w:color w:val="auto"/>
              </w:rPr>
            </w:pPr>
            <w:r>
              <w:rPr>
                <w:rFonts w:ascii="Arial" w:cs="Arial" w:eastAsia="Arial" w:hAnsi="Arial"/>
                <w:sz w:val="14"/>
                <w:szCs w:val="14"/>
                <w:color w:val="auto"/>
              </w:rPr>
              <w:t>France</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-26.6%</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380"/>
              <w:spacing w:after="0"/>
              <w:rPr>
                <w:sz w:val="20"/>
                <w:szCs w:val="20"/>
                <w:color w:val="auto"/>
              </w:rPr>
            </w:pPr>
            <w:r>
              <w:rPr>
                <w:rFonts w:ascii="Arial" w:cs="Arial" w:eastAsia="Arial" w:hAnsi="Arial"/>
                <w:sz w:val="14"/>
                <w:szCs w:val="14"/>
                <w:color w:val="auto"/>
              </w:rPr>
              <w:t>Italy</w:t>
            </w: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56.4</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-8.1%</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6"/>
        </w:trPr>
        <w:tc>
          <w:tcPr>
            <w:tcW w:w="5400" w:type="dxa"/>
            <w:vAlign w:val="bottom"/>
          </w:tcPr>
          <w:p>
            <w:pPr>
              <w:ind w:left="380"/>
              <w:spacing w:after="0"/>
              <w:rPr>
                <w:sz w:val="20"/>
                <w:szCs w:val="20"/>
                <w:color w:val="auto"/>
              </w:rPr>
            </w:pPr>
            <w:r>
              <w:rPr>
                <w:rFonts w:ascii="Arial" w:cs="Arial" w:eastAsia="Arial" w:hAnsi="Arial"/>
                <w:sz w:val="14"/>
                <w:szCs w:val="14"/>
                <w:color w:val="auto"/>
              </w:rPr>
              <w:t>Other Southern Europe</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-27.9%</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57"/>
        </w:trPr>
        <w:tc>
          <w:tcPr>
            <w:tcW w:w="540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123.5</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9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153.1</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-19.3%</w:t>
            </w:r>
          </w:p>
        </w:tc>
        <w:tc>
          <w:tcPr>
            <w:tcW w:w="400" w:type="dxa"/>
            <w:vAlign w:val="bottom"/>
            <w:tcBorders>
              <w:bottom w:val="single" w:sz="8" w:color="E2E8F1"/>
            </w:tcBorders>
            <w:shd w:val="clear" w:color="auto" w:fill="E2E8F1"/>
          </w:tcPr>
          <w:p>
            <w:pPr>
              <w:spacing w:after="0"/>
              <w:rPr>
                <w:sz w:val="13"/>
                <w:szCs w:val="13"/>
                <w:color w:val="auto"/>
              </w:rPr>
            </w:pPr>
          </w:p>
        </w:tc>
        <w:tc>
          <w:tcPr>
            <w:tcW w:w="114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57"/>
        </w:trPr>
        <w:tc>
          <w:tcPr>
            <w:tcW w:w="5400" w:type="dxa"/>
            <w:vAlign w:val="bottom"/>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28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(27.3)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-1057.5%</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-1316.3%</w:t>
            </w:r>
          </w:p>
        </w:tc>
        <w:tc>
          <w:tcPr>
            <w:tcW w:w="0" w:type="dxa"/>
            <w:vAlign w:val="bottom"/>
          </w:tcPr>
          <w:p>
            <w:pPr>
              <w:spacing w:after="0"/>
              <w:rPr>
                <w:sz w:val="1"/>
                <w:szCs w:val="1"/>
                <w:color w:val="auto"/>
              </w:rPr>
            </w:pPr>
          </w:p>
        </w:tc>
      </w:tr>
      <w:tr>
        <w:trPr>
          <w:trHeight w:val="166"/>
        </w:trPr>
        <w:tc>
          <w:tcPr>
            <w:tcW w:w="540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APME</w:t>
            </w: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46.4</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3.2%</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204.2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266.8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40"/>
              <w:spacing w:after="0"/>
              <w:rPr>
                <w:sz w:val="20"/>
                <w:szCs w:val="20"/>
                <w:color w:val="auto"/>
              </w:rPr>
            </w:pPr>
            <w:r>
              <w:rPr>
                <w:rFonts w:ascii="Arial" w:cs="Arial" w:eastAsia="Arial" w:hAnsi="Arial"/>
                <w:sz w:val="14"/>
                <w:szCs w:val="14"/>
                <w:color w:val="auto"/>
              </w:rPr>
              <w:t>Corporate expenses</w:t>
            </w:r>
          </w:p>
        </w:tc>
        <w:tc>
          <w:tcPr>
            <w:tcW w:w="280" w:type="dxa"/>
            <w:vAlign w:val="bottom"/>
            <w:shd w:val="clear" w:color="auto" w:fill="E2E8F1"/>
          </w:tcPr>
          <w:p>
            <w:pPr>
              <w:spacing w:after="0"/>
              <w:rPr>
                <w:sz w:val="14"/>
                <w:szCs w:val="14"/>
                <w:color w:val="auto"/>
              </w:rPr>
            </w:pPr>
          </w:p>
        </w:tc>
        <w:tc>
          <w:tcPr>
            <w:tcW w:w="10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(96.2)</w:t>
            </w: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0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40"/>
              <w:spacing w:after="0" w:line="165" w:lineRule="exact"/>
              <w:rPr>
                <w:sz w:val="20"/>
                <w:szCs w:val="20"/>
                <w:color w:val="auto"/>
              </w:rPr>
            </w:pPr>
            <w:r>
              <w:rPr>
                <w:rFonts w:ascii="Arial" w:cs="Arial" w:eastAsia="Arial" w:hAnsi="Arial"/>
                <w:sz w:val="14"/>
                <w:szCs w:val="14"/>
                <w:color w:val="auto"/>
              </w:rPr>
              <w:t xml:space="preserve">Impairment charges </w:t>
            </w:r>
            <w:r>
              <w:rPr>
                <w:rFonts w:ascii="Arial" w:cs="Arial" w:eastAsia="Arial" w:hAnsi="Arial"/>
                <w:sz w:val="19"/>
                <w:szCs w:val="19"/>
                <w:color w:val="auto"/>
                <w:vertAlign w:val="superscript"/>
              </w:rPr>
              <w:t>(c)</w:t>
            </w: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(88.7)</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tcPr>
          <w:p>
            <w:pPr>
              <w:jc w:val="right"/>
              <w:ind w:right="5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40"/>
              <w:spacing w:after="0"/>
              <w:rPr>
                <w:sz w:val="20"/>
                <w:szCs w:val="20"/>
                <w:color w:val="auto"/>
              </w:rPr>
            </w:pPr>
            <w:r>
              <w:rPr>
                <w:rFonts w:ascii="Arial" w:cs="Arial" w:eastAsia="Arial" w:hAnsi="Arial"/>
                <w:sz w:val="14"/>
                <w:szCs w:val="14"/>
                <w:color w:val="auto"/>
              </w:rPr>
              <w:t>Intangible asset amortization expense</w:t>
            </w:r>
          </w:p>
        </w:tc>
        <w:tc>
          <w:tcPr>
            <w:tcW w:w="280" w:type="dxa"/>
            <w:vAlign w:val="bottom"/>
            <w:shd w:val="clear" w:color="auto" w:fill="E2E8F1"/>
          </w:tcPr>
          <w:p>
            <w:pPr>
              <w:spacing w:after="0"/>
              <w:rPr>
                <w:sz w:val="14"/>
                <w:szCs w:val="14"/>
                <w:color w:val="auto"/>
              </w:rPr>
            </w:pPr>
          </w:p>
        </w:tc>
        <w:tc>
          <w:tcPr>
            <w:tcW w:w="10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(16.4)</w:t>
            </w: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0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00" w:type="dxa"/>
            <w:vAlign w:val="bottom"/>
            <w:tcBorders>
              <w:top w:val="single" w:sz="8" w:color="E2E8F1"/>
            </w:tcBorders>
          </w:tcPr>
          <w:p>
            <w:pPr>
              <w:ind w:left="240"/>
              <w:spacing w:after="0" w:line="157" w:lineRule="exact"/>
              <w:rPr>
                <w:sz w:val="20"/>
                <w:szCs w:val="20"/>
                <w:color w:val="auto"/>
              </w:rPr>
            </w:pPr>
            <w:r>
              <w:rPr>
                <w:rFonts w:ascii="Arial" w:cs="Arial" w:eastAsia="Arial" w:hAnsi="Arial"/>
                <w:sz w:val="14"/>
                <w:szCs w:val="14"/>
                <w:color w:val="auto"/>
              </w:rPr>
              <w:t>Operating profit</w:t>
            </w: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2.9</w:t>
            </w:r>
          </w:p>
        </w:tc>
        <w:tc>
          <w:tcPr>
            <w:tcW w:w="120" w:type="dxa"/>
            <w:vAlign w:val="bottom"/>
            <w:tcBorders>
              <w:top w:val="single" w:sz="8" w:color="E2E8F1"/>
            </w:tcBorders>
          </w:tcPr>
          <w:p>
            <w:pPr>
              <w:spacing w:after="0"/>
              <w:rPr>
                <w:sz w:val="13"/>
                <w:szCs w:val="13"/>
                <w:color w:val="auto"/>
              </w:rPr>
            </w:pPr>
          </w:p>
        </w:tc>
        <w:tc>
          <w:tcPr>
            <w:tcW w:w="140" w:type="dxa"/>
            <w:vAlign w:val="bottom"/>
            <w:tcBorders>
              <w:top w:val="single" w:sz="8" w:color="E2E8F1"/>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167.0</w:t>
            </w:r>
          </w:p>
        </w:tc>
        <w:tc>
          <w:tcPr>
            <w:tcW w:w="100" w:type="dxa"/>
            <w:vAlign w:val="bottom"/>
            <w:tcBorders>
              <w:top w:val="single" w:sz="8" w:color="E2E8F1"/>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320" w:type="dxa"/>
            <w:vAlign w:val="bottom"/>
            <w:tcBorders>
              <w:top w:val="single" w:sz="8" w:color="E2E8F1"/>
            </w:tcBorders>
          </w:tcPr>
          <w:p>
            <w:pPr>
              <w:spacing w:after="0"/>
              <w:rPr>
                <w:sz w:val="13"/>
                <w:szCs w:val="13"/>
                <w:color w:val="auto"/>
              </w:rPr>
            </w:pPr>
          </w:p>
        </w:tc>
        <w:tc>
          <w:tcPr>
            <w:tcW w:w="1100" w:type="dxa"/>
            <w:vAlign w:val="bottom"/>
            <w:tcBorders>
              <w:top w:val="single" w:sz="8" w:color="E2E8F1"/>
            </w:tcBorders>
            <w:gridSpan w:val="2"/>
          </w:tcPr>
          <w:p>
            <w:pPr>
              <w:jc w:val="right"/>
              <w:ind w:right="20"/>
              <w:spacing w:after="0" w:line="157" w:lineRule="exact"/>
              <w:rPr>
                <w:sz w:val="20"/>
                <w:szCs w:val="20"/>
                <w:color w:val="auto"/>
              </w:rPr>
            </w:pPr>
            <w:r>
              <w:rPr>
                <w:rFonts w:ascii="Arial" w:cs="Arial" w:eastAsia="Arial" w:hAnsi="Arial"/>
                <w:sz w:val="14"/>
                <w:szCs w:val="14"/>
                <w:color w:val="auto"/>
              </w:rPr>
              <w:t>-98.3%</w:t>
            </w:r>
          </w:p>
        </w:tc>
        <w:tc>
          <w:tcPr>
            <w:tcW w:w="400" w:type="dxa"/>
            <w:vAlign w:val="bottom"/>
            <w:tcBorders>
              <w:top w:val="single" w:sz="8" w:color="E2E8F1"/>
            </w:tcBorders>
          </w:tcPr>
          <w:p>
            <w:pPr>
              <w:spacing w:after="0"/>
              <w:rPr>
                <w:sz w:val="13"/>
                <w:szCs w:val="13"/>
                <w:color w:val="auto"/>
              </w:rPr>
            </w:pPr>
          </w:p>
        </w:tc>
        <w:tc>
          <w:tcPr>
            <w:tcW w:w="1140" w:type="dxa"/>
            <w:vAlign w:val="bottom"/>
            <w:tcBorders>
              <w:top w:val="single" w:sz="8" w:color="E2E8F1"/>
            </w:tcBorders>
            <w:gridSpan w:val="2"/>
          </w:tcPr>
          <w:p>
            <w:pPr>
              <w:jc w:val="right"/>
              <w:ind w:right="20"/>
              <w:spacing w:after="0" w:line="157" w:lineRule="exact"/>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66"/>
        </w:trPr>
        <w:tc>
          <w:tcPr>
            <w:tcW w:w="5400" w:type="dxa"/>
            <w:vAlign w:val="bottom"/>
            <w:shd w:val="clear" w:color="auto" w:fill="E2E8F1"/>
          </w:tcPr>
          <w:p>
            <w:pPr>
              <w:ind w:left="40"/>
              <w:spacing w:after="0" w:line="165" w:lineRule="exact"/>
              <w:rPr>
                <w:sz w:val="20"/>
                <w:szCs w:val="20"/>
                <w:color w:val="auto"/>
              </w:rPr>
            </w:pPr>
            <w:r>
              <w:rPr>
                <w:rFonts w:ascii="Arial" w:cs="Arial" w:eastAsia="Arial" w:hAnsi="Arial"/>
                <w:sz w:val="14"/>
                <w:szCs w:val="14"/>
                <w:color w:val="auto"/>
              </w:rPr>
              <w:t xml:space="preserve">Interest and other expenses, net </w:t>
            </w:r>
            <w:r>
              <w:rPr>
                <w:rFonts w:ascii="Arial" w:cs="Arial" w:eastAsia="Arial" w:hAnsi="Arial"/>
                <w:sz w:val="19"/>
                <w:szCs w:val="19"/>
                <w:color w:val="auto"/>
                <w:vertAlign w:val="superscript"/>
              </w:rPr>
              <w:t>(d)</w:t>
            </w:r>
          </w:p>
        </w:tc>
        <w:tc>
          <w:tcPr>
            <w:tcW w:w="280" w:type="dxa"/>
            <w:vAlign w:val="bottom"/>
            <w:shd w:val="clear" w:color="auto" w:fill="E2E8F1"/>
          </w:tcPr>
          <w:p>
            <w:pPr>
              <w:spacing w:after="0"/>
              <w:rPr>
                <w:sz w:val="14"/>
                <w:szCs w:val="14"/>
                <w:color w:val="auto"/>
              </w:rPr>
            </w:pPr>
          </w:p>
        </w:tc>
        <w:tc>
          <w:tcPr>
            <w:tcW w:w="10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(28.0)</w:t>
            </w: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0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E2E8F1"/>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320" w:type="dxa"/>
            <w:vAlign w:val="bottom"/>
            <w:shd w:val="clear" w:color="auto" w:fill="E2E8F1"/>
          </w:tcPr>
          <w:p>
            <w:pPr>
              <w:spacing w:after="0" w:line="20" w:lineRule="exact"/>
              <w:rPr>
                <w:sz w:val="1"/>
                <w:szCs w:val="1"/>
                <w:color w:val="auto"/>
              </w:rPr>
            </w:pPr>
          </w:p>
        </w:tc>
        <w:tc>
          <w:tcPr>
            <w:tcW w:w="96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400" w:type="dxa"/>
            <w:vAlign w:val="bottom"/>
            <w:shd w:val="clear" w:color="auto" w:fill="E2E8F1"/>
          </w:tcPr>
          <w:p>
            <w:pPr>
              <w:spacing w:after="0" w:line="20" w:lineRule="exact"/>
              <w:rPr>
                <w:sz w:val="1"/>
                <w:szCs w:val="1"/>
                <w:color w:val="auto"/>
              </w:rPr>
            </w:pPr>
          </w:p>
        </w:tc>
        <w:tc>
          <w:tcPr>
            <w:tcW w:w="100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tcPr>
          <w:p>
            <w:pPr>
              <w:ind w:left="240"/>
              <w:spacing w:after="0" w:line="157" w:lineRule="exact"/>
              <w:rPr>
                <w:sz w:val="20"/>
                <w:szCs w:val="20"/>
                <w:color w:val="auto"/>
              </w:rPr>
            </w:pPr>
            <w:r>
              <w:rPr>
                <w:rFonts w:ascii="Arial" w:cs="Arial" w:eastAsia="Arial" w:hAnsi="Arial"/>
                <w:sz w:val="14"/>
                <w:szCs w:val="14"/>
                <w:color w:val="auto"/>
              </w:rPr>
              <w:t>(Loss) earnings before income taxes</w:t>
            </w:r>
          </w:p>
        </w:tc>
        <w:tc>
          <w:tcPr>
            <w:tcW w:w="280" w:type="dxa"/>
            <w:vAlign w:val="bottom"/>
          </w:tcPr>
          <w:p>
            <w:pPr>
              <w:jc w:val="right"/>
              <w:ind w:right="129"/>
              <w:spacing w:after="0" w:line="157"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(25.1)</w:t>
            </w: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149.9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-3190875</wp:posOffset>
            </wp:positionV>
            <wp:extent cx="67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-3190875</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-2762885</wp:posOffset>
            </wp:positionV>
            <wp:extent cx="67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-2762885</wp:posOffset>
            </wp:positionV>
            <wp:extent cx="67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-2319655</wp:posOffset>
            </wp:positionV>
            <wp:extent cx="67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-2319655</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-2094865</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-2079625</wp:posOffset>
            </wp:positionV>
            <wp:extent cx="673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-2094865</wp:posOffset>
            </wp:positionV>
            <wp:extent cx="673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-2079625</wp:posOffset>
            </wp:positionV>
            <wp:extent cx="673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-1651635</wp:posOffset>
            </wp:positionV>
            <wp:extent cx="673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-1651635</wp:posOffset>
            </wp:positionV>
            <wp:extent cx="673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-998220</wp:posOffset>
            </wp:positionV>
            <wp:extent cx="673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-998220</wp:posOffset>
            </wp:positionV>
            <wp:extent cx="673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-780415</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-780415</wp:posOffset>
            </wp:positionV>
            <wp:extent cx="673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-352425</wp:posOffset>
            </wp:positionV>
            <wp:extent cx="673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-352425</wp:posOffset>
            </wp:positionV>
            <wp:extent cx="673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-134620</wp:posOffset>
            </wp:positionV>
            <wp:extent cx="67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-134620</wp:posOffset>
            </wp:positionV>
            <wp:extent cx="673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74" w:lineRule="exact"/>
        <w:rPr>
          <w:sz w:val="20"/>
          <w:szCs w:val="20"/>
          <w:color w:val="auto"/>
        </w:rPr>
      </w:pPr>
    </w:p>
    <w:p>
      <w:pPr>
        <w:ind w:left="506" w:right="420" w:hanging="506"/>
        <w:spacing w:after="0" w:line="222" w:lineRule="auto"/>
        <w:tabs>
          <w:tab w:leader="none" w:pos="374"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ind w:left="506" w:right="100" w:hanging="506"/>
        <w:spacing w:after="0" w:line="225" w:lineRule="auto"/>
        <w:tabs>
          <w:tab w:leader="none" w:pos="387"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 the United States, revenues from services include fees received from our franchise offices of $4.8 million and $5.6 million for the six months ended June 30, 2025 and 2024, respectively. These fees are primarily based on revenues generated by the franchise offices, which were $164.0 million and $187.2 million for the six months ended June 30, 2025 and 2024, respectively.</w:t>
      </w:r>
    </w:p>
    <w:p>
      <w:pPr>
        <w:spacing w:after="0" w:line="1" w:lineRule="exact"/>
        <w:rPr>
          <w:rFonts w:ascii="Arial" w:cs="Arial" w:eastAsia="Arial" w:hAnsi="Arial"/>
          <w:sz w:val="19"/>
          <w:szCs w:val="19"/>
          <w:color w:val="auto"/>
          <w:vertAlign w:val="superscript"/>
        </w:rPr>
      </w:pPr>
    </w:p>
    <w:p>
      <w:pPr>
        <w:ind w:left="506" w:right="580" w:hanging="506"/>
        <w:spacing w:after="0" w:line="216" w:lineRule="auto"/>
        <w:tabs>
          <w:tab w:leader="none" w:pos="206"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Impairment charges for the six months ended June 30, 2025 consist of a goodwill impairment related to our investments in Switzerland and the United Kingdom and an impairment of an indefinite lived intangible asset in our Switzerland business.</w:t>
      </w:r>
    </w:p>
    <w:p>
      <w:pPr>
        <w:spacing w:after="0" w:line="1" w:lineRule="exact"/>
        <w:rPr>
          <w:rFonts w:ascii="Arial" w:cs="Arial" w:eastAsia="Arial" w:hAnsi="Arial"/>
          <w:sz w:val="19"/>
          <w:szCs w:val="19"/>
          <w:color w:val="auto"/>
          <w:vertAlign w:val="superscript"/>
        </w:rPr>
      </w:pPr>
    </w:p>
    <w:p>
      <w:pPr>
        <w:ind w:left="386" w:hanging="386"/>
        <w:spacing w:after="0" w:line="190" w:lineRule="auto"/>
        <w:tabs>
          <w:tab w:leader="none" w:pos="386"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The components of interest and other expenses, net were:</w:t>
      </w:r>
    </w:p>
    <w:tbl>
      <w:tblPr>
        <w:tblLayout w:type="fixed"/>
        <w:tblInd w:w="6" w:type="dxa"/>
        <w:tblCellMar>
          <w:top w:w="0" w:type="dxa"/>
          <w:left w:w="0" w:type="dxa"/>
          <w:bottom w:w="0" w:type="dxa"/>
          <w:right w:w="0" w:type="dxa"/>
        </w:tblCellMar>
      </w:tblPr>
      <w:tr>
        <w:trPr>
          <w:trHeight w:val="138"/>
        </w:trPr>
        <w:tc>
          <w:tcPr>
            <w:tcW w:w="44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40" w:type="dxa"/>
            <w:vAlign w:val="bottom"/>
            <w:tcBorders>
              <w:bottom w:val="single" w:sz="8" w:color="auto"/>
            </w:tcBorders>
          </w:tcPr>
          <w:p>
            <w:pPr>
              <w:jc w:val="right"/>
              <w:ind w:right="177"/>
              <w:spacing w:after="0" w:line="138" w:lineRule="exact"/>
              <w:rPr>
                <w:sz w:val="20"/>
                <w:szCs w:val="20"/>
                <w:color w:val="auto"/>
              </w:rPr>
            </w:pPr>
            <w:r>
              <w:rPr>
                <w:rFonts w:ascii="Arial" w:cs="Arial" w:eastAsia="Arial" w:hAnsi="Arial"/>
                <w:sz w:val="13"/>
                <w:szCs w:val="13"/>
                <w:b w:val="1"/>
                <w:bCs w:val="1"/>
                <w:color w:val="auto"/>
              </w:rPr>
              <w:t>2025</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657"/>
              <w:spacing w:after="0" w:line="138"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r>
      <w:tr>
        <w:trPr>
          <w:trHeight w:val="134"/>
        </w:trPr>
        <w:tc>
          <w:tcPr>
            <w:tcW w:w="4440" w:type="dxa"/>
            <w:vAlign w:val="bottom"/>
            <w:shd w:val="clear" w:color="auto" w:fill="E2E8F1"/>
          </w:tcPr>
          <w:p>
            <w:pPr>
              <w:ind w:left="280"/>
              <w:spacing w:after="0" w:line="134" w:lineRule="exact"/>
              <w:rPr>
                <w:sz w:val="20"/>
                <w:szCs w:val="20"/>
                <w:color w:val="auto"/>
              </w:rPr>
            </w:pPr>
            <w:r>
              <w:rPr>
                <w:rFonts w:ascii="Arial" w:cs="Arial" w:eastAsia="Arial" w:hAnsi="Arial"/>
                <w:sz w:val="13"/>
                <w:szCs w:val="13"/>
                <w:color w:val="auto"/>
              </w:rPr>
              <w:t>Interest expense</w:t>
            </w:r>
          </w:p>
        </w:tc>
        <w:tc>
          <w:tcPr>
            <w:tcW w:w="4160" w:type="dxa"/>
            <w:vAlign w:val="bottom"/>
            <w:gridSpan w:val="2"/>
            <w:shd w:val="clear" w:color="auto" w:fill="E2E8F1"/>
          </w:tcPr>
          <w:p>
            <w:pPr>
              <w:jc w:val="right"/>
              <w:ind w:right="1117"/>
              <w:spacing w:after="0" w:line="134" w:lineRule="exact"/>
              <w:rPr>
                <w:sz w:val="20"/>
                <w:szCs w:val="20"/>
                <w:color w:val="auto"/>
              </w:rPr>
            </w:pPr>
            <w:r>
              <w:rPr>
                <w:rFonts w:ascii="Arial" w:cs="Arial" w:eastAsia="Arial" w:hAnsi="Arial"/>
                <w:sz w:val="13"/>
                <w:szCs w:val="13"/>
                <w:color w:val="auto"/>
              </w:rPr>
              <w:t>$</w:t>
            </w:r>
          </w:p>
        </w:tc>
        <w:tc>
          <w:tcPr>
            <w:tcW w:w="520" w:type="dxa"/>
            <w:vAlign w:val="bottom"/>
            <w:shd w:val="clear" w:color="auto" w:fill="E2E8F1"/>
          </w:tcPr>
          <w:p>
            <w:pPr>
              <w:jc w:val="right"/>
              <w:spacing w:after="0" w:line="134" w:lineRule="exact"/>
              <w:rPr>
                <w:sz w:val="20"/>
                <w:szCs w:val="20"/>
                <w:color w:val="auto"/>
              </w:rPr>
            </w:pPr>
            <w:r>
              <w:rPr>
                <w:rFonts w:ascii="Arial" w:cs="Arial" w:eastAsia="Arial" w:hAnsi="Arial"/>
                <w:sz w:val="13"/>
                <w:szCs w:val="13"/>
                <w:color w:val="auto"/>
              </w:rPr>
              <w:t>48.5</w:t>
            </w:r>
          </w:p>
        </w:tc>
        <w:tc>
          <w:tcPr>
            <w:tcW w:w="100" w:type="dxa"/>
            <w:vAlign w:val="bottom"/>
            <w:shd w:val="clear" w:color="auto" w:fill="E2E8F1"/>
          </w:tcPr>
          <w:p>
            <w:pPr>
              <w:spacing w:after="0"/>
              <w:rPr>
                <w:sz w:val="11"/>
                <w:szCs w:val="11"/>
                <w:color w:val="auto"/>
              </w:rPr>
            </w:pPr>
          </w:p>
        </w:tc>
        <w:tc>
          <w:tcPr>
            <w:tcW w:w="580" w:type="dxa"/>
            <w:vAlign w:val="bottom"/>
            <w:gridSpan w:val="2"/>
            <w:shd w:val="clear" w:color="auto" w:fill="E2E8F1"/>
          </w:tcPr>
          <w:p>
            <w:pPr>
              <w:jc w:val="right"/>
              <w:ind w:right="320"/>
              <w:spacing w:after="0" w:line="134" w:lineRule="exact"/>
              <w:rPr>
                <w:sz w:val="20"/>
                <w:szCs w:val="20"/>
                <w:color w:val="auto"/>
              </w:rPr>
            </w:pPr>
            <w:r>
              <w:rPr>
                <w:rFonts w:ascii="Arial" w:cs="Arial" w:eastAsia="Arial" w:hAnsi="Arial"/>
                <w:sz w:val="13"/>
                <w:szCs w:val="13"/>
                <w:color w:val="auto"/>
              </w:rPr>
              <w:t>$</w:t>
            </w:r>
          </w:p>
        </w:tc>
        <w:tc>
          <w:tcPr>
            <w:tcW w:w="1340" w:type="dxa"/>
            <w:vAlign w:val="bottom"/>
            <w:shd w:val="clear" w:color="auto" w:fill="E2E8F1"/>
          </w:tcPr>
          <w:p>
            <w:pPr>
              <w:jc w:val="right"/>
              <w:spacing w:after="0" w:line="134" w:lineRule="exact"/>
              <w:rPr>
                <w:sz w:val="20"/>
                <w:szCs w:val="20"/>
                <w:color w:val="auto"/>
              </w:rPr>
            </w:pPr>
            <w:r>
              <w:rPr>
                <w:rFonts w:ascii="Arial" w:cs="Arial" w:eastAsia="Arial" w:hAnsi="Arial"/>
                <w:sz w:val="13"/>
                <w:szCs w:val="13"/>
                <w:color w:val="auto"/>
              </w:rPr>
              <w:t>42.4</w:t>
            </w:r>
          </w:p>
        </w:tc>
        <w:tc>
          <w:tcPr>
            <w:tcW w:w="120" w:type="dxa"/>
            <w:vAlign w:val="bottom"/>
            <w:shd w:val="clear" w:color="auto" w:fill="E2E8F1"/>
          </w:tcPr>
          <w:p>
            <w:pPr>
              <w:spacing w:after="0"/>
              <w:rPr>
                <w:sz w:val="11"/>
                <w:szCs w:val="11"/>
                <w:color w:val="auto"/>
              </w:rPr>
            </w:pPr>
          </w:p>
        </w:tc>
      </w:tr>
      <w:tr>
        <w:trPr>
          <w:trHeight w:val="142"/>
        </w:trPr>
        <w:tc>
          <w:tcPr>
            <w:tcW w:w="4440" w:type="dxa"/>
            <w:vAlign w:val="bottom"/>
          </w:tcPr>
          <w:p>
            <w:pPr>
              <w:ind w:left="280"/>
              <w:spacing w:after="0" w:line="142" w:lineRule="exact"/>
              <w:rPr>
                <w:sz w:val="20"/>
                <w:szCs w:val="20"/>
                <w:color w:val="auto"/>
              </w:rPr>
            </w:pPr>
            <w:r>
              <w:rPr>
                <w:rFonts w:ascii="Arial" w:cs="Arial" w:eastAsia="Arial" w:hAnsi="Arial"/>
                <w:sz w:val="13"/>
                <w:szCs w:val="13"/>
                <w:color w:val="auto"/>
              </w:rPr>
              <w:t>Interest income</w:t>
            </w:r>
          </w:p>
        </w:tc>
        <w:tc>
          <w:tcPr>
            <w:tcW w:w="2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(15.1)</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(16.7)</w:t>
            </w:r>
          </w:p>
        </w:tc>
      </w:tr>
      <w:tr>
        <w:trPr>
          <w:trHeight w:val="142"/>
        </w:trPr>
        <w:tc>
          <w:tcPr>
            <w:tcW w:w="4440" w:type="dxa"/>
            <w:vAlign w:val="bottom"/>
            <w:shd w:val="clear" w:color="auto" w:fill="E2E8F1"/>
          </w:tcPr>
          <w:p>
            <w:pPr>
              <w:ind w:left="280"/>
              <w:spacing w:after="0" w:line="142" w:lineRule="exact"/>
              <w:rPr>
                <w:sz w:val="20"/>
                <w:szCs w:val="20"/>
                <w:color w:val="auto"/>
              </w:rPr>
            </w:pPr>
            <w:r>
              <w:rPr>
                <w:rFonts w:ascii="Arial" w:cs="Arial" w:eastAsia="Arial" w:hAnsi="Arial"/>
                <w:sz w:val="13"/>
                <w:szCs w:val="13"/>
                <w:color w:val="auto"/>
              </w:rPr>
              <w:t>Foreign exchange loss</w:t>
            </w:r>
          </w:p>
        </w:tc>
        <w:tc>
          <w:tcPr>
            <w:tcW w:w="2920" w:type="dxa"/>
            <w:vAlign w:val="bottom"/>
            <w:shd w:val="clear" w:color="auto" w:fill="E2E8F1"/>
          </w:tcPr>
          <w:p>
            <w:pPr>
              <w:spacing w:after="0"/>
              <w:rPr>
                <w:sz w:val="12"/>
                <w:szCs w:val="12"/>
                <w:color w:val="auto"/>
              </w:rPr>
            </w:pPr>
          </w:p>
        </w:tc>
        <w:tc>
          <w:tcPr>
            <w:tcW w:w="1240" w:type="dxa"/>
            <w:vAlign w:val="bottom"/>
            <w:shd w:val="clear" w:color="auto" w:fill="E2E8F1"/>
          </w:tcPr>
          <w:p>
            <w:pPr>
              <w:spacing w:after="0"/>
              <w:rPr>
                <w:sz w:val="12"/>
                <w:szCs w:val="12"/>
                <w:color w:val="auto"/>
              </w:rPr>
            </w:pPr>
          </w:p>
        </w:tc>
        <w:tc>
          <w:tcPr>
            <w:tcW w:w="520" w:type="dxa"/>
            <w:vAlign w:val="bottom"/>
            <w:shd w:val="clear" w:color="auto" w:fill="E2E8F1"/>
          </w:tcPr>
          <w:p>
            <w:pPr>
              <w:jc w:val="right"/>
              <w:spacing w:after="0" w:line="142" w:lineRule="exact"/>
              <w:rPr>
                <w:sz w:val="20"/>
                <w:szCs w:val="20"/>
                <w:color w:val="auto"/>
              </w:rPr>
            </w:pPr>
            <w:r>
              <w:rPr>
                <w:rFonts w:ascii="Arial" w:cs="Arial" w:eastAsia="Arial" w:hAnsi="Arial"/>
                <w:sz w:val="13"/>
                <w:szCs w:val="13"/>
                <w:color w:val="auto"/>
              </w:rPr>
              <w:t>2.2</w:t>
            </w:r>
          </w:p>
        </w:tc>
        <w:tc>
          <w:tcPr>
            <w:tcW w:w="10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400" w:type="dxa"/>
            <w:vAlign w:val="bottom"/>
            <w:shd w:val="clear" w:color="auto" w:fill="E2E8F1"/>
          </w:tcPr>
          <w:p>
            <w:pPr>
              <w:spacing w:after="0"/>
              <w:rPr>
                <w:sz w:val="12"/>
                <w:szCs w:val="12"/>
                <w:color w:val="auto"/>
              </w:rPr>
            </w:pPr>
          </w:p>
        </w:tc>
        <w:tc>
          <w:tcPr>
            <w:tcW w:w="1340" w:type="dxa"/>
            <w:vAlign w:val="bottom"/>
            <w:shd w:val="clear" w:color="auto" w:fill="E2E8F1"/>
          </w:tcPr>
          <w:p>
            <w:pPr>
              <w:jc w:val="right"/>
              <w:spacing w:after="0" w:line="142" w:lineRule="exact"/>
              <w:rPr>
                <w:sz w:val="20"/>
                <w:szCs w:val="20"/>
                <w:color w:val="auto"/>
              </w:rPr>
            </w:pPr>
            <w:r>
              <w:rPr>
                <w:rFonts w:ascii="Arial" w:cs="Arial" w:eastAsia="Arial" w:hAnsi="Arial"/>
                <w:sz w:val="13"/>
                <w:szCs w:val="13"/>
                <w:color w:val="auto"/>
              </w:rPr>
              <w:t>4.2</w:t>
            </w:r>
          </w:p>
        </w:tc>
        <w:tc>
          <w:tcPr>
            <w:tcW w:w="120" w:type="dxa"/>
            <w:vAlign w:val="bottom"/>
            <w:shd w:val="clear" w:color="auto" w:fill="E2E8F1"/>
          </w:tcPr>
          <w:p>
            <w:pPr>
              <w:spacing w:after="0"/>
              <w:rPr>
                <w:sz w:val="12"/>
                <w:szCs w:val="12"/>
                <w:color w:val="auto"/>
              </w:rPr>
            </w:pPr>
          </w:p>
        </w:tc>
      </w:tr>
      <w:tr>
        <w:trPr>
          <w:trHeight w:val="142"/>
        </w:trPr>
        <w:tc>
          <w:tcPr>
            <w:tcW w:w="4440" w:type="dxa"/>
            <w:vAlign w:val="bottom"/>
          </w:tcPr>
          <w:p>
            <w:pPr>
              <w:ind w:left="280"/>
              <w:spacing w:after="0" w:line="142" w:lineRule="exact"/>
              <w:rPr>
                <w:sz w:val="20"/>
                <w:szCs w:val="20"/>
                <w:color w:val="auto"/>
              </w:rPr>
            </w:pPr>
            <w:r>
              <w:rPr>
                <w:rFonts w:ascii="Arial" w:cs="Arial" w:eastAsia="Arial" w:hAnsi="Arial"/>
                <w:sz w:val="13"/>
                <w:szCs w:val="13"/>
                <w:color w:val="auto"/>
              </w:rPr>
              <w:t>Miscellaneous income</w:t>
            </w:r>
          </w:p>
        </w:tc>
        <w:tc>
          <w:tcPr>
            <w:tcW w:w="2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(7.6)</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(12.8)</w:t>
            </w:r>
          </w:p>
        </w:tc>
      </w:tr>
      <w:tr>
        <w:trPr>
          <w:trHeight w:val="20"/>
        </w:trPr>
        <w:tc>
          <w:tcPr>
            <w:tcW w:w="4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4440" w:type="dxa"/>
            <w:vAlign w:val="bottom"/>
            <w:shd w:val="clear" w:color="auto" w:fill="E2E8F1"/>
          </w:tcPr>
          <w:p>
            <w:pPr>
              <w:spacing w:after="0"/>
              <w:rPr>
                <w:sz w:val="15"/>
                <w:szCs w:val="15"/>
                <w:color w:val="auto"/>
              </w:rPr>
            </w:pPr>
          </w:p>
        </w:tc>
        <w:tc>
          <w:tcPr>
            <w:tcW w:w="4160" w:type="dxa"/>
            <w:vAlign w:val="bottom"/>
            <w:gridSpan w:val="2"/>
            <w:shd w:val="clear" w:color="auto" w:fill="E2E8F1"/>
          </w:tcPr>
          <w:p>
            <w:pPr>
              <w:jc w:val="right"/>
              <w:ind w:right="1117"/>
              <w:spacing w:after="0" w:line="134" w:lineRule="exact"/>
              <w:rPr>
                <w:sz w:val="20"/>
                <w:szCs w:val="20"/>
                <w:color w:val="auto"/>
              </w:rPr>
            </w:pPr>
            <w:r>
              <w:rPr>
                <w:rFonts w:ascii="Arial" w:cs="Arial" w:eastAsia="Arial" w:hAnsi="Arial"/>
                <w:sz w:val="13"/>
                <w:szCs w:val="13"/>
                <w:color w:val="auto"/>
              </w:rPr>
              <w:t>$</w:t>
            </w:r>
          </w:p>
        </w:tc>
        <w:tc>
          <w:tcPr>
            <w:tcW w:w="520" w:type="dxa"/>
            <w:vAlign w:val="bottom"/>
            <w:shd w:val="clear" w:color="auto" w:fill="E2E8F1"/>
          </w:tcPr>
          <w:p>
            <w:pPr>
              <w:jc w:val="right"/>
              <w:spacing w:after="0" w:line="134" w:lineRule="exact"/>
              <w:rPr>
                <w:sz w:val="20"/>
                <w:szCs w:val="20"/>
                <w:color w:val="auto"/>
              </w:rPr>
            </w:pPr>
            <w:r>
              <w:rPr>
                <w:rFonts w:ascii="Arial" w:cs="Arial" w:eastAsia="Arial" w:hAnsi="Arial"/>
                <w:sz w:val="13"/>
                <w:szCs w:val="13"/>
                <w:color w:val="auto"/>
              </w:rPr>
              <w:t>28.0</w:t>
            </w:r>
          </w:p>
        </w:tc>
        <w:tc>
          <w:tcPr>
            <w:tcW w:w="100" w:type="dxa"/>
            <w:vAlign w:val="bottom"/>
            <w:shd w:val="clear" w:color="auto" w:fill="E2E8F1"/>
          </w:tcPr>
          <w:p>
            <w:pPr>
              <w:spacing w:after="0"/>
              <w:rPr>
                <w:sz w:val="15"/>
                <w:szCs w:val="15"/>
                <w:color w:val="auto"/>
              </w:rPr>
            </w:pPr>
          </w:p>
        </w:tc>
        <w:tc>
          <w:tcPr>
            <w:tcW w:w="580" w:type="dxa"/>
            <w:vAlign w:val="bottom"/>
            <w:gridSpan w:val="2"/>
            <w:shd w:val="clear" w:color="auto" w:fill="E2E8F1"/>
          </w:tcPr>
          <w:p>
            <w:pPr>
              <w:jc w:val="right"/>
              <w:ind w:right="320"/>
              <w:spacing w:after="0" w:line="134" w:lineRule="exact"/>
              <w:rPr>
                <w:sz w:val="20"/>
                <w:szCs w:val="20"/>
                <w:color w:val="auto"/>
              </w:rPr>
            </w:pPr>
            <w:r>
              <w:rPr>
                <w:rFonts w:ascii="Arial" w:cs="Arial" w:eastAsia="Arial" w:hAnsi="Arial"/>
                <w:sz w:val="13"/>
                <w:szCs w:val="13"/>
                <w:color w:val="auto"/>
              </w:rPr>
              <w:t>$</w:t>
            </w:r>
          </w:p>
        </w:tc>
        <w:tc>
          <w:tcPr>
            <w:tcW w:w="1340" w:type="dxa"/>
            <w:vAlign w:val="bottom"/>
            <w:shd w:val="clear" w:color="auto" w:fill="E2E8F1"/>
          </w:tcPr>
          <w:p>
            <w:pPr>
              <w:jc w:val="right"/>
              <w:spacing w:after="0" w:line="134" w:lineRule="exact"/>
              <w:rPr>
                <w:sz w:val="20"/>
                <w:szCs w:val="20"/>
                <w:color w:val="auto"/>
              </w:rPr>
            </w:pPr>
            <w:r>
              <w:rPr>
                <w:rFonts w:ascii="Arial" w:cs="Arial" w:eastAsia="Arial" w:hAnsi="Arial"/>
                <w:sz w:val="13"/>
                <w:szCs w:val="13"/>
                <w:color w:val="auto"/>
              </w:rPr>
              <w:t>17.1</w:t>
            </w:r>
          </w:p>
        </w:tc>
        <w:tc>
          <w:tcPr>
            <w:tcW w:w="120" w:type="dxa"/>
            <w:vAlign w:val="bottom"/>
            <w:shd w:val="clear" w:color="auto" w:fill="E2E8F1"/>
          </w:tcPr>
          <w:p>
            <w:pPr>
              <w:spacing w:after="0"/>
              <w:rPr>
                <w:sz w:val="15"/>
                <w:szCs w:val="15"/>
                <w:color w:val="auto"/>
              </w:rPr>
            </w:pPr>
          </w:p>
        </w:tc>
      </w:tr>
      <w:tr>
        <w:trPr>
          <w:trHeight w:val="1138"/>
        </w:trPr>
        <w:tc>
          <w:tcPr>
            <w:tcW w:w="4440" w:type="dxa"/>
            <w:vAlign w:val="bottom"/>
            <w:tcBorders>
              <w:top w:val="single" w:sz="8" w:color="E2E8F1"/>
              <w:bottom w:val="single" w:sz="8" w:color="9A9A9A"/>
            </w:tcBorders>
          </w:tcPr>
          <w:p>
            <w:pPr>
              <w:spacing w:after="0"/>
              <w:rPr>
                <w:sz w:val="24"/>
                <w:szCs w:val="24"/>
                <w:color w:val="auto"/>
              </w:rPr>
            </w:pPr>
          </w:p>
        </w:tc>
        <w:tc>
          <w:tcPr>
            <w:tcW w:w="2920" w:type="dxa"/>
            <w:vAlign w:val="bottom"/>
            <w:tcBorders>
              <w:top w:val="single" w:sz="8" w:color="E2E8F1"/>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E2E8F1"/>
              <w:bottom w:val="single" w:sz="8" w:color="9A9A9A"/>
            </w:tcBorders>
          </w:tcPr>
          <w:p>
            <w:pPr>
              <w:spacing w:after="0"/>
              <w:rPr>
                <w:sz w:val="24"/>
                <w:szCs w:val="24"/>
                <w:color w:val="auto"/>
              </w:rPr>
            </w:pPr>
          </w:p>
        </w:tc>
        <w:tc>
          <w:tcPr>
            <w:tcW w:w="180" w:type="dxa"/>
            <w:vAlign w:val="bottom"/>
            <w:tcBorders>
              <w:top w:val="single" w:sz="8" w:color="E2E8F1"/>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E2E8F1"/>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-772795</wp:posOffset>
            </wp:positionV>
            <wp:extent cx="673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-757555</wp:posOffset>
            </wp:positionV>
            <wp:extent cx="673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-772795</wp:posOffset>
            </wp:positionV>
            <wp:extent cx="673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-757555</wp:posOffset>
            </wp:positionV>
            <wp:extent cx="673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6"/>
          </w:cols>
          <w:pgMar w:left="314" w:top="882" w:right="319" w:bottom="1440" w:gutter="0" w:footer="0" w:header="0"/>
        </w:sectPr>
      </w:pPr>
    </w:p>
    <w:bookmarkStart w:id="10" w:name="page11"/>
    <w:bookmarkEnd w:id="10"/>
    <w:p>
      <w:pPr>
        <w:ind w:left="504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December 31,</w:t>
            </w:r>
          </w:p>
        </w:tc>
      </w:tr>
      <w:tr>
        <w:trPr>
          <w:trHeight w:val="150"/>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2025</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4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80" w:type="dxa"/>
            <w:vAlign w:val="bottom"/>
            <w:gridSpan w:val="4"/>
          </w:tcPr>
          <w:p>
            <w:pPr>
              <w:jc w:val="right"/>
              <w:ind w:right="140"/>
              <w:spacing w:after="0" w:line="134" w:lineRule="exact"/>
              <w:rPr>
                <w:sz w:val="20"/>
                <w:szCs w:val="20"/>
                <w:color w:val="auto"/>
              </w:rPr>
            </w:pPr>
            <w:r>
              <w:rPr>
                <w:rFonts w:ascii="Arial" w:cs="Arial" w:eastAsia="Arial" w:hAnsi="Arial"/>
                <w:sz w:val="13"/>
                <w:szCs w:val="13"/>
                <w:color w:val="auto"/>
              </w:rPr>
              <w:t>(Unaudited)</w:t>
            </w: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ASSETS</w:t>
            </w:r>
          </w:p>
        </w:tc>
        <w:tc>
          <w:tcPr>
            <w:tcW w:w="16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Cash and cash equivalents</w:t>
            </w:r>
          </w:p>
        </w:tc>
        <w:tc>
          <w:tcPr>
            <w:tcW w:w="2800" w:type="dxa"/>
            <w:vAlign w:val="bottom"/>
            <w:gridSpan w:val="2"/>
            <w:shd w:val="clear" w:color="auto" w:fill="E2E8F1"/>
          </w:tcPr>
          <w:p>
            <w:pPr>
              <w:jc w:val="right"/>
              <w:ind w:right="1037"/>
              <w:spacing w:after="0"/>
              <w:rPr>
                <w:sz w:val="20"/>
                <w:szCs w:val="20"/>
                <w:color w:val="auto"/>
              </w:rPr>
            </w:pPr>
            <w:r>
              <w:rPr>
                <w:rFonts w:ascii="Arial" w:cs="Arial" w:eastAsia="Arial" w:hAnsi="Arial"/>
                <w:sz w:val="14"/>
                <w:szCs w:val="14"/>
                <w:color w:val="auto"/>
              </w:rPr>
              <w:t>$</w:t>
            </w: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289.8</w:t>
            </w:r>
          </w:p>
        </w:tc>
        <w:tc>
          <w:tcPr>
            <w:tcW w:w="100" w:type="dxa"/>
            <w:vAlign w:val="bottom"/>
            <w:shd w:val="clear" w:color="auto" w:fill="E2E8F1"/>
          </w:tcPr>
          <w:p>
            <w:pPr>
              <w:spacing w:after="0"/>
              <w:rPr>
                <w:sz w:val="14"/>
                <w:szCs w:val="14"/>
                <w:color w:val="auto"/>
              </w:rPr>
            </w:pPr>
          </w:p>
        </w:tc>
        <w:tc>
          <w:tcPr>
            <w:tcW w:w="500" w:type="dxa"/>
            <w:vAlign w:val="bottom"/>
            <w:gridSpan w:val="2"/>
            <w:shd w:val="clear" w:color="auto" w:fill="E2E8F1"/>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509.4</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4,641.3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4,297.2</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Prepaid expenses and other assets</w:t>
            </w:r>
          </w:p>
        </w:tc>
        <w:tc>
          <w:tcPr>
            <w:tcW w:w="1620" w:type="dxa"/>
            <w:vAlign w:val="bottom"/>
            <w:tcBorders>
              <w:bottom w:val="single" w:sz="8" w:color="E2E8F1"/>
            </w:tcBorders>
            <w:shd w:val="clear" w:color="auto" w:fill="E2E8F1"/>
          </w:tcPr>
          <w:p>
            <w:pPr>
              <w:spacing w:after="0"/>
              <w:rPr>
                <w:sz w:val="14"/>
                <w:szCs w:val="14"/>
                <w:color w:val="auto"/>
              </w:rPr>
            </w:pPr>
          </w:p>
        </w:tc>
        <w:tc>
          <w:tcPr>
            <w:tcW w:w="1180" w:type="dxa"/>
            <w:vAlign w:val="bottom"/>
            <w:tcBorders>
              <w:bottom w:val="single" w:sz="8" w:color="auto"/>
            </w:tcBorders>
            <w:shd w:val="clear" w:color="auto" w:fill="E2E8F1"/>
          </w:tcPr>
          <w:p>
            <w:pPr>
              <w:spacing w:after="0"/>
              <w:rPr>
                <w:sz w:val="14"/>
                <w:szCs w:val="14"/>
                <w:color w:val="auto"/>
              </w:rPr>
            </w:pPr>
          </w:p>
        </w:tc>
        <w:tc>
          <w:tcPr>
            <w:tcW w:w="5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212.0</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163.7</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340"/>
              <w:spacing w:after="0" w:line="157" w:lineRule="exact"/>
              <w:rPr>
                <w:sz w:val="20"/>
                <w:szCs w:val="20"/>
                <w:color w:val="auto"/>
              </w:rPr>
            </w:pPr>
            <w:r>
              <w:rPr>
                <w:rFonts w:ascii="Arial" w:cs="Arial" w:eastAsia="Arial" w:hAnsi="Arial"/>
                <w:sz w:val="14"/>
                <w:szCs w:val="14"/>
                <w:color w:val="auto"/>
              </w:rPr>
              <w:t>Total current assets</w:t>
            </w:r>
          </w:p>
        </w:tc>
        <w:tc>
          <w:tcPr>
            <w:tcW w:w="1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5,143.1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4,970.3</w:t>
            </w:r>
          </w:p>
        </w:tc>
        <w:tc>
          <w:tcPr>
            <w:tcW w:w="1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Other assets:</w:t>
            </w:r>
          </w:p>
        </w:tc>
        <w:tc>
          <w:tcPr>
            <w:tcW w:w="16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Goodwill</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1,549.0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1,563.4</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Intangible assets, net</w:t>
            </w:r>
          </w:p>
        </w:tc>
        <w:tc>
          <w:tcPr>
            <w:tcW w:w="16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445.1</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486.1</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Operating lease right-of-use assets</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419.4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361.3</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Other assets</w:t>
            </w:r>
          </w:p>
        </w:tc>
        <w:tc>
          <w:tcPr>
            <w:tcW w:w="1620" w:type="dxa"/>
            <w:vAlign w:val="bottom"/>
            <w:tcBorders>
              <w:bottom w:val="single" w:sz="8" w:color="E2E8F1"/>
            </w:tcBorders>
            <w:shd w:val="clear" w:color="auto" w:fill="E2E8F1"/>
          </w:tcPr>
          <w:p>
            <w:pPr>
              <w:spacing w:after="0"/>
              <w:rPr>
                <w:sz w:val="14"/>
                <w:szCs w:val="14"/>
                <w:color w:val="auto"/>
              </w:rPr>
            </w:pPr>
          </w:p>
        </w:tc>
        <w:tc>
          <w:tcPr>
            <w:tcW w:w="1180" w:type="dxa"/>
            <w:vAlign w:val="bottom"/>
            <w:tcBorders>
              <w:bottom w:val="single" w:sz="8" w:color="auto"/>
            </w:tcBorders>
            <w:shd w:val="clear" w:color="auto" w:fill="E2E8F1"/>
          </w:tcPr>
          <w:p>
            <w:pPr>
              <w:spacing w:after="0"/>
              <w:rPr>
                <w:sz w:val="14"/>
                <w:szCs w:val="14"/>
                <w:color w:val="auto"/>
              </w:rPr>
            </w:pPr>
          </w:p>
        </w:tc>
        <w:tc>
          <w:tcPr>
            <w:tcW w:w="5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819.6</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701.5</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340"/>
              <w:spacing w:after="0" w:line="157" w:lineRule="exact"/>
              <w:rPr>
                <w:sz w:val="20"/>
                <w:szCs w:val="20"/>
                <w:color w:val="auto"/>
              </w:rPr>
            </w:pPr>
            <w:r>
              <w:rPr>
                <w:rFonts w:ascii="Arial" w:cs="Arial" w:eastAsia="Arial" w:hAnsi="Arial"/>
                <w:sz w:val="14"/>
                <w:szCs w:val="14"/>
                <w:color w:val="auto"/>
              </w:rPr>
              <w:t>Total other assets</w:t>
            </w:r>
          </w:p>
        </w:tc>
        <w:tc>
          <w:tcPr>
            <w:tcW w:w="1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3,233.1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3,112.3</w:t>
            </w:r>
          </w:p>
        </w:tc>
        <w:tc>
          <w:tcPr>
            <w:tcW w:w="1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Property and equipment:</w:t>
            </w:r>
          </w:p>
        </w:tc>
        <w:tc>
          <w:tcPr>
            <w:tcW w:w="16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Land, buildings, leasehold improvements and equipment</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488.2</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Less: accumulated depreciation and amortization</w:t>
            </w:r>
          </w:p>
        </w:tc>
        <w:tc>
          <w:tcPr>
            <w:tcW w:w="1620" w:type="dxa"/>
            <w:vAlign w:val="bottom"/>
            <w:tcBorders>
              <w:bottom w:val="single" w:sz="8" w:color="E2E8F1"/>
            </w:tcBorders>
            <w:shd w:val="clear" w:color="auto" w:fill="E2E8F1"/>
          </w:tcPr>
          <w:p>
            <w:pPr>
              <w:spacing w:after="0"/>
              <w:rPr>
                <w:sz w:val="14"/>
                <w:szCs w:val="14"/>
                <w:color w:val="auto"/>
              </w:rPr>
            </w:pPr>
          </w:p>
        </w:tc>
        <w:tc>
          <w:tcPr>
            <w:tcW w:w="1180" w:type="dxa"/>
            <w:vAlign w:val="bottom"/>
            <w:tcBorders>
              <w:bottom w:val="single" w:sz="8" w:color="auto"/>
            </w:tcBorders>
            <w:shd w:val="clear" w:color="auto" w:fill="E2E8F1"/>
          </w:tcPr>
          <w:p>
            <w:pPr>
              <w:spacing w:after="0"/>
              <w:rPr>
                <w:sz w:val="14"/>
                <w:szCs w:val="14"/>
                <w:color w:val="auto"/>
              </w:rPr>
            </w:pPr>
          </w:p>
        </w:tc>
        <w:tc>
          <w:tcPr>
            <w:tcW w:w="5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417.3</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369.8</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340"/>
              <w:spacing w:after="0" w:line="157" w:lineRule="exact"/>
              <w:rPr>
                <w:sz w:val="20"/>
                <w:szCs w:val="20"/>
                <w:color w:val="auto"/>
              </w:rPr>
            </w:pPr>
            <w:r>
              <w:rPr>
                <w:rFonts w:ascii="Arial" w:cs="Arial" w:eastAsia="Arial" w:hAnsi="Arial"/>
                <w:sz w:val="14"/>
                <w:szCs w:val="14"/>
                <w:color w:val="auto"/>
              </w:rPr>
              <w:t>Net property and equipment</w:t>
            </w:r>
          </w:p>
        </w:tc>
        <w:tc>
          <w:tcPr>
            <w:tcW w:w="162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118.4</w:t>
            </w:r>
          </w:p>
        </w:tc>
        <w:tc>
          <w:tcPr>
            <w:tcW w:w="12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5720" w:type="dxa"/>
            <w:vAlign w:val="bottom"/>
            <w:shd w:val="clear" w:color="auto" w:fill="E2E8F1"/>
          </w:tcPr>
          <w:p>
            <w:pPr>
              <w:ind w:left="760"/>
              <w:spacing w:after="0" w:line="157" w:lineRule="exact"/>
              <w:rPr>
                <w:sz w:val="20"/>
                <w:szCs w:val="20"/>
                <w:color w:val="auto"/>
              </w:rPr>
            </w:pPr>
            <w:r>
              <w:rPr>
                <w:rFonts w:ascii="Arial" w:cs="Arial" w:eastAsia="Arial" w:hAnsi="Arial"/>
                <w:sz w:val="14"/>
                <w:szCs w:val="14"/>
                <w:color w:val="auto"/>
              </w:rPr>
              <w:t>Total assets</w:t>
            </w:r>
          </w:p>
        </w:tc>
        <w:tc>
          <w:tcPr>
            <w:tcW w:w="2800" w:type="dxa"/>
            <w:vAlign w:val="bottom"/>
            <w:gridSpan w:val="2"/>
            <w:shd w:val="clear" w:color="auto" w:fill="E2E8F1"/>
          </w:tcPr>
          <w:p>
            <w:pPr>
              <w:jc w:val="right"/>
              <w:ind w:right="1037"/>
              <w:spacing w:after="0" w:line="157" w:lineRule="exact"/>
              <w:rPr>
                <w:sz w:val="20"/>
                <w:szCs w:val="20"/>
                <w:color w:val="auto"/>
              </w:rPr>
            </w:pPr>
            <w:r>
              <w:rPr>
                <w:rFonts w:ascii="Arial" w:cs="Arial" w:eastAsia="Arial" w:hAnsi="Arial"/>
                <w:sz w:val="14"/>
                <w:szCs w:val="14"/>
                <w:color w:val="auto"/>
              </w:rPr>
              <w:t>$</w:t>
            </w:r>
          </w:p>
        </w:tc>
        <w:tc>
          <w:tcPr>
            <w:tcW w:w="5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8,505.3</w:t>
            </w:r>
          </w:p>
        </w:tc>
        <w:tc>
          <w:tcPr>
            <w:tcW w:w="100" w:type="dxa"/>
            <w:vAlign w:val="bottom"/>
            <w:shd w:val="clear" w:color="auto" w:fill="E2E8F1"/>
          </w:tcPr>
          <w:p>
            <w:pPr>
              <w:spacing w:after="0"/>
              <w:rPr>
                <w:sz w:val="17"/>
                <w:szCs w:val="17"/>
                <w:color w:val="auto"/>
              </w:rPr>
            </w:pPr>
          </w:p>
        </w:tc>
        <w:tc>
          <w:tcPr>
            <w:tcW w:w="500" w:type="dxa"/>
            <w:vAlign w:val="bottom"/>
            <w:gridSpan w:val="2"/>
            <w:shd w:val="clear" w:color="auto" w:fill="E2E8F1"/>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8,201.0</w:t>
            </w:r>
          </w:p>
        </w:tc>
        <w:tc>
          <w:tcPr>
            <w:tcW w:w="120" w:type="dxa"/>
            <w:vAlign w:val="bottom"/>
            <w:shd w:val="clear" w:color="auto" w:fill="E2E8F1"/>
          </w:tcPr>
          <w:p>
            <w:pPr>
              <w:spacing w:after="0"/>
              <w:rPr>
                <w:sz w:val="17"/>
                <w:szCs w:val="17"/>
                <w:color w:val="auto"/>
              </w:rPr>
            </w:pPr>
          </w:p>
        </w:tc>
      </w:tr>
      <w:tr>
        <w:trPr>
          <w:trHeight w:val="141"/>
        </w:trPr>
        <w:tc>
          <w:tcPr>
            <w:tcW w:w="20" w:type="dxa"/>
            <w:vAlign w:val="bottom"/>
          </w:tcPr>
          <w:p>
            <w:pPr>
              <w:spacing w:after="0"/>
              <w:rPr>
                <w:sz w:val="12"/>
                <w:szCs w:val="12"/>
                <w:color w:val="auto"/>
              </w:rPr>
            </w:pPr>
          </w:p>
        </w:tc>
        <w:tc>
          <w:tcPr>
            <w:tcW w:w="5720" w:type="dxa"/>
            <w:vAlign w:val="bottom"/>
            <w:tcBorders>
              <w:top w:val="single" w:sz="8" w:color="E2E8F1"/>
            </w:tcBorders>
          </w:tcPr>
          <w:p>
            <w:pPr>
              <w:spacing w:after="0" w:line="141" w:lineRule="exact"/>
              <w:rPr>
                <w:sz w:val="20"/>
                <w:szCs w:val="20"/>
                <w:color w:val="auto"/>
              </w:rPr>
            </w:pPr>
            <w:r>
              <w:rPr>
                <w:rFonts w:ascii="Arial" w:cs="Arial" w:eastAsia="Arial" w:hAnsi="Arial"/>
                <w:sz w:val="14"/>
                <w:szCs w:val="14"/>
                <w:b w:val="1"/>
                <w:bCs w:val="1"/>
                <w:color w:val="auto"/>
              </w:rPr>
              <w:t>LIABILITIES AND SHAREHOLDERS' EQUITY</w:t>
            </w:r>
          </w:p>
        </w:tc>
        <w:tc>
          <w:tcPr>
            <w:tcW w:w="1620" w:type="dxa"/>
            <w:vAlign w:val="bottom"/>
            <w:tcBorders>
              <w:top w:val="single" w:sz="8" w:color="E2E8F1"/>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200" w:type="dxa"/>
            <w:vAlign w:val="bottom"/>
            <w:tcBorders>
              <w:top w:val="single" w:sz="8" w:color="E2E8F1"/>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Borders>
              <w:top w:val="single" w:sz="8" w:color="E2E8F1"/>
            </w:tcBorders>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Current liabilities:</w:t>
            </w:r>
          </w:p>
        </w:tc>
        <w:tc>
          <w:tcPr>
            <w:tcW w:w="16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800" w:type="dxa"/>
            <w:vAlign w:val="bottom"/>
            <w:gridSpan w:val="2"/>
          </w:tcPr>
          <w:p>
            <w:pPr>
              <w:jc w:val="right"/>
              <w:ind w:right="1037"/>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2,557.2</w:t>
            </w:r>
          </w:p>
        </w:tc>
        <w:tc>
          <w:tcPr>
            <w:tcW w:w="1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2,612.9</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Employee compensation payable</w:t>
            </w:r>
          </w:p>
        </w:tc>
        <w:tc>
          <w:tcPr>
            <w:tcW w:w="16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223.6</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241.1</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Accrued payroll taxes and insurance</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615.2</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Accrued liabilities</w:t>
            </w:r>
          </w:p>
        </w:tc>
        <w:tc>
          <w:tcPr>
            <w:tcW w:w="16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499.7</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475.1</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Value added taxes payable</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370.8</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Short-term operating lease liability</w:t>
            </w:r>
          </w:p>
        </w:tc>
        <w:tc>
          <w:tcPr>
            <w:tcW w:w="16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108.7</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Short-term borrowings and current maturities of long-term debt</w:t>
            </w:r>
          </w:p>
        </w:tc>
        <w:tc>
          <w:tcPr>
            <w:tcW w:w="16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shd w:val="clear" w:color="auto" w:fill="E2E8F1"/>
          </w:tcPr>
          <w:p>
            <w:pPr>
              <w:ind w:left="480"/>
              <w:spacing w:after="0" w:line="157" w:lineRule="exact"/>
              <w:rPr>
                <w:sz w:val="20"/>
                <w:szCs w:val="20"/>
                <w:color w:val="auto"/>
              </w:rPr>
            </w:pPr>
            <w:r>
              <w:rPr>
                <w:rFonts w:ascii="Arial" w:cs="Arial" w:eastAsia="Arial" w:hAnsi="Arial"/>
                <w:sz w:val="14"/>
                <w:szCs w:val="14"/>
                <w:color w:val="auto"/>
              </w:rPr>
              <w:t>Total current liabilities</w:t>
            </w:r>
          </w:p>
        </w:tc>
        <w:tc>
          <w:tcPr>
            <w:tcW w:w="1620" w:type="dxa"/>
            <w:vAlign w:val="bottom"/>
            <w:shd w:val="clear" w:color="auto" w:fill="E2E8F1"/>
          </w:tcPr>
          <w:p>
            <w:pPr>
              <w:spacing w:after="0"/>
              <w:rPr>
                <w:sz w:val="13"/>
                <w:szCs w:val="13"/>
                <w:color w:val="auto"/>
              </w:rPr>
            </w:pPr>
          </w:p>
        </w:tc>
        <w:tc>
          <w:tcPr>
            <w:tcW w:w="1180" w:type="dxa"/>
            <w:vAlign w:val="bottom"/>
            <w:shd w:val="clear" w:color="auto" w:fill="E2E8F1"/>
          </w:tcPr>
          <w:p>
            <w:pPr>
              <w:spacing w:after="0"/>
              <w:rPr>
                <w:sz w:val="13"/>
                <w:szCs w:val="13"/>
                <w:color w:val="auto"/>
              </w:rPr>
            </w:pPr>
          </w:p>
        </w:tc>
        <w:tc>
          <w:tcPr>
            <w:tcW w:w="5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5,267.0</w:t>
            </w:r>
          </w:p>
        </w:tc>
        <w:tc>
          <w:tcPr>
            <w:tcW w:w="10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14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4,437.1</w:t>
            </w:r>
          </w:p>
        </w:tc>
        <w:tc>
          <w:tcPr>
            <w:tcW w:w="120" w:type="dxa"/>
            <w:vAlign w:val="bottom"/>
            <w:shd w:val="clear" w:color="auto" w:fill="E2E8F1"/>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Other liabilities:</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Long-term debt</w:t>
            </w:r>
          </w:p>
        </w:tc>
        <w:tc>
          <w:tcPr>
            <w:tcW w:w="16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470.3</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929.4</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Long-term operating lease liability</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279.0</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Other long-term liabilities</w:t>
            </w:r>
          </w:p>
        </w:tc>
        <w:tc>
          <w:tcPr>
            <w:tcW w:w="1620" w:type="dxa"/>
            <w:vAlign w:val="bottom"/>
            <w:tcBorders>
              <w:bottom w:val="single" w:sz="8" w:color="E2E8F1"/>
            </w:tcBorders>
            <w:shd w:val="clear" w:color="auto" w:fill="E2E8F1"/>
          </w:tcPr>
          <w:p>
            <w:pPr>
              <w:spacing w:after="0"/>
              <w:rPr>
                <w:sz w:val="14"/>
                <w:szCs w:val="14"/>
                <w:color w:val="auto"/>
              </w:rPr>
            </w:pPr>
          </w:p>
        </w:tc>
        <w:tc>
          <w:tcPr>
            <w:tcW w:w="1180" w:type="dxa"/>
            <w:vAlign w:val="bottom"/>
            <w:tcBorders>
              <w:bottom w:val="single" w:sz="8" w:color="auto"/>
            </w:tcBorders>
            <w:shd w:val="clear" w:color="auto" w:fill="E2E8F1"/>
          </w:tcPr>
          <w:p>
            <w:pPr>
              <w:spacing w:after="0"/>
              <w:rPr>
                <w:sz w:val="14"/>
                <w:szCs w:val="14"/>
                <w:color w:val="auto"/>
              </w:rPr>
            </w:pPr>
          </w:p>
        </w:tc>
        <w:tc>
          <w:tcPr>
            <w:tcW w:w="5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444.6</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428.6</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480"/>
              <w:spacing w:after="0" w:line="157" w:lineRule="exact"/>
              <w:rPr>
                <w:sz w:val="20"/>
                <w:szCs w:val="20"/>
                <w:color w:val="auto"/>
              </w:rPr>
            </w:pPr>
            <w:r>
              <w:rPr>
                <w:rFonts w:ascii="Arial" w:cs="Arial" w:eastAsia="Arial" w:hAnsi="Arial"/>
                <w:sz w:val="14"/>
                <w:szCs w:val="14"/>
                <w:color w:val="auto"/>
              </w:rPr>
              <w:t>Total other liabilities</w:t>
            </w:r>
          </w:p>
        </w:tc>
        <w:tc>
          <w:tcPr>
            <w:tcW w:w="1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1,243.1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1,637.0</w:t>
            </w:r>
          </w:p>
        </w:tc>
        <w:tc>
          <w:tcPr>
            <w:tcW w:w="1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Shareholders' equity:</w:t>
            </w:r>
          </w:p>
        </w:tc>
        <w:tc>
          <w:tcPr>
            <w:tcW w:w="16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60"/>
              <w:spacing w:after="0"/>
              <w:rPr>
                <w:sz w:val="20"/>
                <w:szCs w:val="20"/>
                <w:color w:val="auto"/>
              </w:rPr>
            </w:pPr>
            <w:r>
              <w:rPr>
                <w:rFonts w:ascii="Arial" w:cs="Arial" w:eastAsia="Arial" w:hAnsi="Arial"/>
                <w:sz w:val="14"/>
                <w:szCs w:val="14"/>
                <w:color w:val="auto"/>
              </w:rPr>
              <w:t>ManpowerGroup shareholders' equity</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260"/>
              <w:spacing w:after="0"/>
              <w:rPr>
                <w:sz w:val="20"/>
                <w:szCs w:val="20"/>
                <w:color w:val="auto"/>
              </w:rPr>
            </w:pPr>
            <w:r>
              <w:rPr>
                <w:rFonts w:ascii="Arial" w:cs="Arial" w:eastAsia="Arial" w:hAnsi="Arial"/>
                <w:sz w:val="14"/>
                <w:szCs w:val="14"/>
                <w:color w:val="auto"/>
              </w:rPr>
              <w:t>Common stock</w:t>
            </w:r>
          </w:p>
        </w:tc>
        <w:tc>
          <w:tcPr>
            <w:tcW w:w="16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260"/>
              <w:spacing w:after="0"/>
              <w:rPr>
                <w:sz w:val="20"/>
                <w:szCs w:val="20"/>
                <w:color w:val="auto"/>
              </w:rPr>
            </w:pPr>
            <w:r>
              <w:rPr>
                <w:rFonts w:ascii="Arial" w:cs="Arial" w:eastAsia="Arial" w:hAnsi="Arial"/>
                <w:sz w:val="14"/>
                <w:szCs w:val="14"/>
                <w:color w:val="auto"/>
              </w:rPr>
              <w:t>Capital in excess of par value</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3,560.9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3,546.1</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260"/>
              <w:spacing w:after="0"/>
              <w:rPr>
                <w:sz w:val="20"/>
                <w:szCs w:val="20"/>
                <w:color w:val="auto"/>
              </w:rPr>
            </w:pPr>
            <w:r>
              <w:rPr>
                <w:rFonts w:ascii="Arial" w:cs="Arial" w:eastAsia="Arial" w:hAnsi="Arial"/>
                <w:sz w:val="14"/>
                <w:szCs w:val="14"/>
                <w:color w:val="auto"/>
              </w:rPr>
              <w:t>Retained earnings</w:t>
            </w:r>
          </w:p>
        </w:tc>
        <w:tc>
          <w:tcPr>
            <w:tcW w:w="16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3,717.5</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3,812.3</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(450.9)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(443.0)</w:t>
            </w: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260"/>
              <w:spacing w:after="0"/>
              <w:rPr>
                <w:sz w:val="20"/>
                <w:szCs w:val="20"/>
                <w:color w:val="auto"/>
              </w:rPr>
            </w:pPr>
            <w:r>
              <w:rPr>
                <w:rFonts w:ascii="Arial" w:cs="Arial" w:eastAsia="Arial" w:hAnsi="Arial"/>
                <w:sz w:val="14"/>
                <w:szCs w:val="14"/>
                <w:color w:val="auto"/>
              </w:rPr>
              <w:t>Treasury stock, at cost</w:t>
            </w:r>
          </w:p>
        </w:tc>
        <w:tc>
          <w:tcPr>
            <w:tcW w:w="16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(4,834.3)</w:t>
            </w: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54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(4,791.4)</w:t>
            </w:r>
          </w:p>
        </w:tc>
      </w:tr>
      <w:tr>
        <w:trPr>
          <w:trHeight w:val="157"/>
        </w:trPr>
        <w:tc>
          <w:tcPr>
            <w:tcW w:w="20" w:type="dxa"/>
            <w:vAlign w:val="bottom"/>
          </w:tcPr>
          <w:p>
            <w:pPr>
              <w:spacing w:after="0"/>
              <w:rPr>
                <w:sz w:val="13"/>
                <w:szCs w:val="13"/>
                <w:color w:val="auto"/>
              </w:rPr>
            </w:pPr>
          </w:p>
        </w:tc>
        <w:tc>
          <w:tcPr>
            <w:tcW w:w="5720" w:type="dxa"/>
            <w:vAlign w:val="bottom"/>
            <w:tcBorders>
              <w:top w:val="single" w:sz="8" w:color="E2E8F1"/>
            </w:tcBorders>
          </w:tcPr>
          <w:p>
            <w:pPr>
              <w:ind w:left="380"/>
              <w:spacing w:after="0" w:line="157" w:lineRule="exact"/>
              <w:rPr>
                <w:sz w:val="20"/>
                <w:szCs w:val="20"/>
                <w:color w:val="auto"/>
              </w:rPr>
            </w:pPr>
            <w:r>
              <w:rPr>
                <w:rFonts w:ascii="Arial" w:cs="Arial" w:eastAsia="Arial" w:hAnsi="Arial"/>
                <w:sz w:val="14"/>
                <w:szCs w:val="14"/>
                <w:color w:val="auto"/>
              </w:rPr>
              <w:t>Total ManpowerGroup shareholders' equity</w:t>
            </w:r>
          </w:p>
        </w:tc>
        <w:tc>
          <w:tcPr>
            <w:tcW w:w="1620" w:type="dxa"/>
            <w:vAlign w:val="bottom"/>
            <w:tcBorders>
              <w:top w:val="single" w:sz="8" w:color="E2E8F1"/>
            </w:tcBorders>
          </w:tcPr>
          <w:p>
            <w:pPr>
              <w:spacing w:after="0"/>
              <w:rPr>
                <w:sz w:val="13"/>
                <w:szCs w:val="13"/>
                <w:color w:val="auto"/>
              </w:rPr>
            </w:pPr>
          </w:p>
        </w:tc>
        <w:tc>
          <w:tcPr>
            <w:tcW w:w="1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1,994.4</w:t>
            </w:r>
          </w:p>
        </w:tc>
        <w:tc>
          <w:tcPr>
            <w:tcW w:w="100" w:type="dxa"/>
            <w:vAlign w:val="bottom"/>
            <w:tcBorders>
              <w:top w:val="single" w:sz="8" w:color="E2E8F1"/>
            </w:tcBorders>
          </w:tcPr>
          <w:p>
            <w:pPr>
              <w:spacing w:after="0"/>
              <w:rPr>
                <w:sz w:val="13"/>
                <w:szCs w:val="13"/>
                <w:color w:val="auto"/>
              </w:rPr>
            </w:pPr>
          </w:p>
        </w:tc>
        <w:tc>
          <w:tcPr>
            <w:tcW w:w="200" w:type="dxa"/>
            <w:vAlign w:val="bottom"/>
            <w:tcBorders>
              <w:top w:val="single" w:sz="8" w:color="E2E8F1"/>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2,125.2</w:t>
            </w:r>
          </w:p>
        </w:tc>
        <w:tc>
          <w:tcPr>
            <w:tcW w:w="120" w:type="dxa"/>
            <w:vAlign w:val="bottom"/>
            <w:tcBorders>
              <w:top w:val="single" w:sz="8" w:color="E2E8F1"/>
            </w:tcBorders>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720" w:type="dxa"/>
            <w:vAlign w:val="bottom"/>
            <w:tcBorders>
              <w:bottom w:val="single" w:sz="8" w:color="E2E8F1"/>
            </w:tcBorders>
            <w:shd w:val="clear" w:color="auto" w:fill="E2E8F1"/>
          </w:tcPr>
          <w:p>
            <w:pPr>
              <w:ind w:left="60"/>
              <w:spacing w:after="0" w:line="157" w:lineRule="exact"/>
              <w:rPr>
                <w:sz w:val="20"/>
                <w:szCs w:val="20"/>
                <w:color w:val="auto"/>
              </w:rPr>
            </w:pPr>
            <w:r>
              <w:rPr>
                <w:rFonts w:ascii="Arial" w:cs="Arial" w:eastAsia="Arial" w:hAnsi="Arial"/>
                <w:sz w:val="14"/>
                <w:szCs w:val="14"/>
                <w:color w:val="auto"/>
              </w:rPr>
              <w:t>Noncontrolling interests</w:t>
            </w:r>
          </w:p>
        </w:tc>
        <w:tc>
          <w:tcPr>
            <w:tcW w:w="1620" w:type="dxa"/>
            <w:vAlign w:val="bottom"/>
            <w:tcBorders>
              <w:bottom w:val="single" w:sz="8" w:color="E2E8F1"/>
            </w:tcBorders>
            <w:shd w:val="clear" w:color="auto" w:fill="E2E8F1"/>
          </w:tcPr>
          <w:p>
            <w:pPr>
              <w:spacing w:after="0"/>
              <w:rPr>
                <w:sz w:val="13"/>
                <w:szCs w:val="13"/>
                <w:color w:val="auto"/>
              </w:rPr>
            </w:pPr>
          </w:p>
        </w:tc>
        <w:tc>
          <w:tcPr>
            <w:tcW w:w="1180" w:type="dxa"/>
            <w:vAlign w:val="bottom"/>
            <w:tcBorders>
              <w:bottom w:val="single" w:sz="8" w:color="auto"/>
            </w:tcBorders>
            <w:shd w:val="clear" w:color="auto" w:fill="E2E8F1"/>
          </w:tcPr>
          <w:p>
            <w:pPr>
              <w:spacing w:after="0"/>
              <w:rPr>
                <w:sz w:val="13"/>
                <w:szCs w:val="13"/>
                <w:color w:val="auto"/>
              </w:rPr>
            </w:pPr>
          </w:p>
        </w:tc>
        <w:tc>
          <w:tcPr>
            <w:tcW w:w="5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0.8</w:t>
            </w:r>
          </w:p>
        </w:tc>
        <w:tc>
          <w:tcPr>
            <w:tcW w:w="100" w:type="dxa"/>
            <w:vAlign w:val="bottom"/>
            <w:tcBorders>
              <w:bottom w:val="single" w:sz="8" w:color="E2E8F1"/>
            </w:tcBorders>
            <w:shd w:val="clear" w:color="auto" w:fill="E2E8F1"/>
          </w:tcPr>
          <w:p>
            <w:pPr>
              <w:spacing w:after="0"/>
              <w:rPr>
                <w:sz w:val="13"/>
                <w:szCs w:val="13"/>
                <w:color w:val="auto"/>
              </w:rPr>
            </w:pPr>
          </w:p>
        </w:tc>
        <w:tc>
          <w:tcPr>
            <w:tcW w:w="200" w:type="dxa"/>
            <w:vAlign w:val="bottom"/>
            <w:tcBorders>
              <w:bottom w:val="single" w:sz="8" w:color="E2E8F1"/>
            </w:tcBorders>
            <w:shd w:val="clear" w:color="auto" w:fill="E2E8F1"/>
          </w:tcPr>
          <w:p>
            <w:pPr>
              <w:spacing w:after="0"/>
              <w:rPr>
                <w:sz w:val="13"/>
                <w:szCs w:val="13"/>
                <w:color w:val="auto"/>
              </w:rPr>
            </w:pPr>
          </w:p>
        </w:tc>
        <w:tc>
          <w:tcPr>
            <w:tcW w:w="300" w:type="dxa"/>
            <w:vAlign w:val="bottom"/>
            <w:tcBorders>
              <w:bottom w:val="single" w:sz="8" w:color="auto"/>
            </w:tcBorders>
            <w:shd w:val="clear" w:color="auto" w:fill="E2E8F1"/>
          </w:tcPr>
          <w:p>
            <w:pPr>
              <w:spacing w:after="0"/>
              <w:rPr>
                <w:sz w:val="13"/>
                <w:szCs w:val="13"/>
                <w:color w:val="auto"/>
              </w:rPr>
            </w:pPr>
          </w:p>
        </w:tc>
        <w:tc>
          <w:tcPr>
            <w:tcW w:w="14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1.7</w:t>
            </w:r>
          </w:p>
        </w:tc>
        <w:tc>
          <w:tcPr>
            <w:tcW w:w="120" w:type="dxa"/>
            <w:vAlign w:val="bottom"/>
            <w:tcBorders>
              <w:bottom w:val="single" w:sz="8" w:color="E2E8F1"/>
            </w:tcBorders>
            <w:shd w:val="clear" w:color="auto" w:fill="E2E8F1"/>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500"/>
              <w:spacing w:after="0" w:line="157" w:lineRule="exact"/>
              <w:rPr>
                <w:sz w:val="20"/>
                <w:szCs w:val="20"/>
                <w:color w:val="auto"/>
              </w:rPr>
            </w:pPr>
            <w:r>
              <w:rPr>
                <w:rFonts w:ascii="Arial" w:cs="Arial" w:eastAsia="Arial" w:hAnsi="Arial"/>
                <w:sz w:val="14"/>
                <w:szCs w:val="14"/>
                <w:color w:val="auto"/>
              </w:rPr>
              <w:t>Total shareholders' equity</w:t>
            </w:r>
          </w:p>
        </w:tc>
        <w:tc>
          <w:tcPr>
            <w:tcW w:w="162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1,995.2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2,126.9</w:t>
            </w:r>
          </w:p>
        </w:tc>
        <w:tc>
          <w:tcPr>
            <w:tcW w:w="12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5720" w:type="dxa"/>
            <w:vAlign w:val="bottom"/>
            <w:shd w:val="clear" w:color="auto" w:fill="E2E8F1"/>
          </w:tcPr>
          <w:p>
            <w:pPr>
              <w:ind w:left="620"/>
              <w:spacing w:after="0" w:line="157" w:lineRule="exact"/>
              <w:rPr>
                <w:sz w:val="20"/>
                <w:szCs w:val="20"/>
                <w:color w:val="auto"/>
              </w:rPr>
            </w:pPr>
            <w:r>
              <w:rPr>
                <w:rFonts w:ascii="Arial" w:cs="Arial" w:eastAsia="Arial" w:hAnsi="Arial"/>
                <w:sz w:val="14"/>
                <w:szCs w:val="14"/>
                <w:color w:val="auto"/>
              </w:rPr>
              <w:t>Total liabilities and shareholders' equity</w:t>
            </w:r>
          </w:p>
        </w:tc>
        <w:tc>
          <w:tcPr>
            <w:tcW w:w="2800" w:type="dxa"/>
            <w:vAlign w:val="bottom"/>
            <w:gridSpan w:val="2"/>
            <w:shd w:val="clear" w:color="auto" w:fill="E2E8F1"/>
          </w:tcPr>
          <w:p>
            <w:pPr>
              <w:jc w:val="right"/>
              <w:ind w:right="1037"/>
              <w:spacing w:after="0" w:line="157" w:lineRule="exact"/>
              <w:rPr>
                <w:sz w:val="20"/>
                <w:szCs w:val="20"/>
                <w:color w:val="auto"/>
              </w:rPr>
            </w:pPr>
            <w:r>
              <w:rPr>
                <w:rFonts w:ascii="Arial" w:cs="Arial" w:eastAsia="Arial" w:hAnsi="Arial"/>
                <w:sz w:val="14"/>
                <w:szCs w:val="14"/>
                <w:color w:val="auto"/>
              </w:rPr>
              <w:t>$</w:t>
            </w:r>
          </w:p>
        </w:tc>
        <w:tc>
          <w:tcPr>
            <w:tcW w:w="5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8,505.3</w:t>
            </w:r>
          </w:p>
        </w:tc>
        <w:tc>
          <w:tcPr>
            <w:tcW w:w="100" w:type="dxa"/>
            <w:vAlign w:val="bottom"/>
            <w:shd w:val="clear" w:color="auto" w:fill="E2E8F1"/>
          </w:tcPr>
          <w:p>
            <w:pPr>
              <w:spacing w:after="0"/>
              <w:rPr>
                <w:sz w:val="17"/>
                <w:szCs w:val="17"/>
                <w:color w:val="auto"/>
              </w:rPr>
            </w:pPr>
          </w:p>
        </w:tc>
        <w:tc>
          <w:tcPr>
            <w:tcW w:w="500" w:type="dxa"/>
            <w:vAlign w:val="bottom"/>
            <w:gridSpan w:val="2"/>
            <w:shd w:val="clear" w:color="auto" w:fill="E2E8F1"/>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8,201.0</w:t>
            </w:r>
          </w:p>
        </w:tc>
        <w:tc>
          <w:tcPr>
            <w:tcW w:w="120" w:type="dxa"/>
            <w:vAlign w:val="bottom"/>
            <w:shd w:val="clear" w:color="auto" w:fill="E2E8F1"/>
          </w:tcPr>
          <w:p>
            <w:pPr>
              <w:spacing w:after="0"/>
              <w:rPr>
                <w:sz w:val="17"/>
                <w:szCs w:val="17"/>
                <w:color w:val="auto"/>
              </w:rPr>
            </w:pPr>
          </w:p>
        </w:tc>
      </w:tr>
      <w:tr>
        <w:trPr>
          <w:trHeight w:val="949"/>
        </w:trPr>
        <w:tc>
          <w:tcPr>
            <w:tcW w:w="20" w:type="dxa"/>
            <w:vAlign w:val="bottom"/>
          </w:tcPr>
          <w:p>
            <w:pPr>
              <w:spacing w:after="0"/>
              <w:rPr>
                <w:sz w:val="24"/>
                <w:szCs w:val="24"/>
                <w:color w:val="auto"/>
              </w:rPr>
            </w:pPr>
          </w:p>
        </w:tc>
        <w:tc>
          <w:tcPr>
            <w:tcW w:w="5720" w:type="dxa"/>
            <w:vAlign w:val="bottom"/>
            <w:tcBorders>
              <w:top w:val="single" w:sz="8" w:color="E2E8F1"/>
              <w:bottom w:val="single" w:sz="8" w:color="9A9A9A"/>
            </w:tcBorders>
          </w:tcPr>
          <w:p>
            <w:pPr>
              <w:spacing w:after="0"/>
              <w:rPr>
                <w:sz w:val="24"/>
                <w:szCs w:val="24"/>
                <w:color w:val="auto"/>
              </w:rPr>
            </w:pPr>
          </w:p>
        </w:tc>
        <w:tc>
          <w:tcPr>
            <w:tcW w:w="1620" w:type="dxa"/>
            <w:vAlign w:val="bottom"/>
            <w:tcBorders>
              <w:top w:val="single" w:sz="8" w:color="E2E8F1"/>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E2E8F1"/>
              <w:bottom w:val="single" w:sz="8" w:color="9A9A9A"/>
            </w:tcBorders>
          </w:tcPr>
          <w:p>
            <w:pPr>
              <w:spacing w:after="0"/>
              <w:rPr>
                <w:sz w:val="24"/>
                <w:szCs w:val="24"/>
                <w:color w:val="auto"/>
              </w:rPr>
            </w:pPr>
          </w:p>
        </w:tc>
        <w:tc>
          <w:tcPr>
            <w:tcW w:w="200" w:type="dxa"/>
            <w:vAlign w:val="bottom"/>
            <w:tcBorders>
              <w:top w:val="single" w:sz="8" w:color="E2E8F1"/>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E2E8F1"/>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-4745355</wp:posOffset>
            </wp:positionV>
            <wp:extent cx="673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-4745355</wp:posOffset>
            </wp:positionV>
            <wp:extent cx="6731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-4107180</wp:posOffset>
            </wp:positionV>
            <wp:extent cx="673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-4107180</wp:posOffset>
            </wp:positionV>
            <wp:extent cx="673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-3679190</wp:posOffset>
            </wp:positionV>
            <wp:extent cx="673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-3679190</wp:posOffset>
            </wp:positionV>
            <wp:extent cx="673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-3453765</wp:posOffset>
            </wp:positionV>
            <wp:extent cx="673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-3439160</wp:posOffset>
            </wp:positionV>
            <wp:extent cx="673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-3453765</wp:posOffset>
            </wp:positionV>
            <wp:extent cx="673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-3439160</wp:posOffset>
            </wp:positionV>
            <wp:extent cx="673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-1951990</wp:posOffset>
            </wp:positionV>
            <wp:extent cx="673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-1951990</wp:posOffset>
            </wp:positionV>
            <wp:extent cx="673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-1102995</wp:posOffset>
            </wp:positionV>
            <wp:extent cx="673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-1102995</wp:posOffset>
            </wp:positionV>
            <wp:extent cx="6731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-878205</wp:posOffset>
            </wp:positionV>
            <wp:extent cx="6731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-878205</wp:posOffset>
            </wp:positionV>
            <wp:extent cx="673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-652780</wp:posOffset>
            </wp:positionV>
            <wp:extent cx="6731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-637540</wp:posOffset>
            </wp:positionV>
            <wp:extent cx="6731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-652780</wp:posOffset>
            </wp:positionV>
            <wp:extent cx="673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-637540</wp:posOffset>
            </wp:positionV>
            <wp:extent cx="6731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11" w:name="page12"/>
    <w:bookmarkEnd w:id="11"/>
    <w:p>
      <w:pPr>
        <w:ind w:left="504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7"/>
              </w:rPr>
              <w:t>Six Months Ended</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June 30,</w:t>
            </w: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Borders>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2025</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09"/>
              <w:spacing w:after="0" w:line="134"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60" w:type="dxa"/>
            <w:vAlign w:val="bottom"/>
            <w:gridSpan w:val="4"/>
          </w:tcPr>
          <w:p>
            <w:pPr>
              <w:jc w:val="center"/>
              <w:spacing w:after="0" w:line="134" w:lineRule="exact"/>
              <w:rPr>
                <w:sz w:val="20"/>
                <w:szCs w:val="20"/>
                <w:color w:val="auto"/>
              </w:rPr>
            </w:pPr>
            <w:r>
              <w:rPr>
                <w:rFonts w:ascii="Arial" w:cs="Arial" w:eastAsia="Arial" w:hAnsi="Arial"/>
                <w:sz w:val="13"/>
                <w:szCs w:val="13"/>
                <w:color w:val="auto"/>
                <w:w w:val="97"/>
              </w:rPr>
              <w:t>(Unaudited)</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5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60"/>
              <w:spacing w:after="0"/>
              <w:rPr>
                <w:sz w:val="20"/>
                <w:szCs w:val="20"/>
                <w:color w:val="auto"/>
              </w:rPr>
            </w:pPr>
            <w:r>
              <w:rPr>
                <w:rFonts w:ascii="Arial" w:cs="Arial" w:eastAsia="Arial" w:hAnsi="Arial"/>
                <w:sz w:val="14"/>
                <w:szCs w:val="14"/>
                <w:color w:val="auto"/>
              </w:rPr>
              <w:t>Net (loss) earnings</w:t>
            </w:r>
          </w:p>
        </w:tc>
        <w:tc>
          <w:tcPr>
            <w:tcW w:w="2280" w:type="dxa"/>
            <w:vAlign w:val="bottom"/>
            <w:gridSpan w:val="2"/>
          </w:tcPr>
          <w:p>
            <w:pPr>
              <w:jc w:val="right"/>
              <w:ind w:right="937"/>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(61.5)</w:t>
            </w:r>
          </w:p>
        </w:tc>
        <w:tc>
          <w:tcPr>
            <w:tcW w:w="7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6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5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420"/>
              <w:spacing w:after="0"/>
              <w:rPr>
                <w:sz w:val="20"/>
                <w:szCs w:val="20"/>
                <w:color w:val="auto"/>
              </w:rPr>
            </w:pPr>
            <w:r>
              <w:rPr>
                <w:rFonts w:ascii="Arial" w:cs="Arial" w:eastAsia="Arial" w:hAnsi="Arial"/>
                <w:sz w:val="14"/>
                <w:szCs w:val="14"/>
                <w:color w:val="auto"/>
              </w:rPr>
              <w:t>Loss on sales of subsidiaries, net</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220" w:type="dxa"/>
            <w:vAlign w:val="bottom"/>
            <w:gridSpan w:val="2"/>
            <w:shd w:val="clear" w:color="auto" w:fill="E2E8F1"/>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420"/>
              <w:spacing w:after="0"/>
              <w:rPr>
                <w:sz w:val="20"/>
                <w:szCs w:val="20"/>
                <w:color w:val="auto"/>
              </w:rPr>
            </w:pPr>
            <w:r>
              <w:rPr>
                <w:rFonts w:ascii="Arial" w:cs="Arial" w:eastAsia="Arial" w:hAnsi="Arial"/>
                <w:sz w:val="14"/>
                <w:szCs w:val="14"/>
                <w:color w:val="auto"/>
              </w:rPr>
              <w:t>Non-cash impairment of goodwill and other intangible assets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420"/>
              <w:spacing w:after="0"/>
              <w:rPr>
                <w:sz w:val="20"/>
                <w:szCs w:val="20"/>
                <w:color w:val="auto"/>
              </w:rPr>
            </w:pPr>
            <w:r>
              <w:rPr>
                <w:rFonts w:ascii="Arial" w:cs="Arial" w:eastAsia="Arial" w:hAnsi="Arial"/>
                <w:sz w:val="14"/>
                <w:szCs w:val="14"/>
                <w:color w:val="auto"/>
              </w:rPr>
              <w:t>Deferred income taxes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1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420"/>
              <w:spacing w:after="0"/>
              <w:rPr>
                <w:sz w:val="20"/>
                <w:szCs w:val="20"/>
                <w:color w:val="auto"/>
              </w:rPr>
            </w:pPr>
            <w:r>
              <w:rPr>
                <w:rFonts w:ascii="Arial" w:cs="Arial" w:eastAsia="Arial" w:hAnsi="Arial"/>
                <w:sz w:val="14"/>
                <w:szCs w:val="14"/>
                <w:color w:val="auto"/>
              </w:rPr>
              <w:t>Provision for doubtful accounts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420"/>
              <w:spacing w:after="0"/>
              <w:rPr>
                <w:sz w:val="20"/>
                <w:szCs w:val="20"/>
                <w:color w:val="auto"/>
              </w:rPr>
            </w:pPr>
            <w:r>
              <w:rPr>
                <w:rFonts w:ascii="Arial" w:cs="Arial" w:eastAsia="Arial" w:hAnsi="Arial"/>
                <w:sz w:val="14"/>
                <w:szCs w:val="14"/>
                <w:color w:val="auto"/>
              </w:rPr>
              <w:t>Share-based compensation</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1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60"/>
              <w:spacing w:after="0"/>
              <w:rPr>
                <w:sz w:val="20"/>
                <w:szCs w:val="20"/>
                <w:color w:val="auto"/>
              </w:rPr>
            </w:pPr>
            <w:r>
              <w:rPr>
                <w:rFonts w:ascii="Arial" w:cs="Arial" w:eastAsia="Arial" w:hAnsi="Arial"/>
                <w:sz w:val="14"/>
                <w:szCs w:val="14"/>
                <w:color w:val="auto"/>
              </w:rPr>
              <w:t>Changes in operating assets and liabilities: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420"/>
              <w:spacing w:after="0"/>
              <w:rPr>
                <w:sz w:val="20"/>
                <w:szCs w:val="20"/>
                <w:color w:val="auto"/>
              </w:rPr>
            </w:pPr>
            <w:r>
              <w:rPr>
                <w:rFonts w:ascii="Arial" w:cs="Arial" w:eastAsia="Arial" w:hAnsi="Arial"/>
                <w:sz w:val="14"/>
                <w:szCs w:val="14"/>
                <w:color w:val="auto"/>
              </w:rPr>
              <w:t>Accounts receivable</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1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107.9</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420"/>
              <w:spacing w:after="0"/>
              <w:rPr>
                <w:sz w:val="20"/>
                <w:szCs w:val="20"/>
                <w:color w:val="auto"/>
              </w:rPr>
            </w:pPr>
            <w:r>
              <w:rPr>
                <w:rFonts w:ascii="Arial" w:cs="Arial" w:eastAsia="Arial" w:hAnsi="Arial"/>
                <w:sz w:val="14"/>
                <w:szCs w:val="14"/>
                <w:color w:val="auto"/>
              </w:rPr>
              <w:t>Other assets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(92.4)</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420"/>
              <w:spacing w:after="0"/>
              <w:rPr>
                <w:sz w:val="20"/>
                <w:szCs w:val="20"/>
                <w:color w:val="auto"/>
              </w:rPr>
            </w:pPr>
            <w:r>
              <w:rPr>
                <w:rFonts w:ascii="Arial" w:cs="Arial" w:eastAsia="Arial" w:hAnsi="Arial"/>
                <w:sz w:val="14"/>
                <w:szCs w:val="14"/>
                <w:color w:val="auto"/>
              </w:rPr>
              <w:t>Accounts payable</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(209.6)</w:t>
            </w: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22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420"/>
              <w:spacing w:after="0"/>
              <w:rPr>
                <w:sz w:val="20"/>
                <w:szCs w:val="20"/>
                <w:color w:val="auto"/>
              </w:rPr>
            </w:pPr>
            <w:r>
              <w:rPr>
                <w:rFonts w:ascii="Arial" w:cs="Arial" w:eastAsia="Arial" w:hAnsi="Arial"/>
                <w:sz w:val="14"/>
                <w:szCs w:val="14"/>
                <w:color w:val="auto"/>
              </w:rPr>
              <w:t>Other liabilities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(147.2)</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shd w:val="clear" w:color="auto" w:fill="E2E8F1"/>
          </w:tcPr>
          <w:p>
            <w:pPr>
              <w:ind w:left="860"/>
              <w:spacing w:after="0" w:line="157" w:lineRule="exact"/>
              <w:rPr>
                <w:sz w:val="20"/>
                <w:szCs w:val="20"/>
                <w:color w:val="auto"/>
              </w:rPr>
            </w:pPr>
            <w:r>
              <w:rPr>
                <w:rFonts w:ascii="Arial" w:cs="Arial" w:eastAsia="Arial" w:hAnsi="Arial"/>
                <w:sz w:val="14"/>
                <w:szCs w:val="14"/>
                <w:color w:val="auto"/>
              </w:rPr>
              <w:t>Cash used in operating activities</w:t>
            </w:r>
          </w:p>
        </w:tc>
        <w:tc>
          <w:tcPr>
            <w:tcW w:w="1220" w:type="dxa"/>
            <w:vAlign w:val="bottom"/>
            <w:shd w:val="clear" w:color="auto" w:fill="E2E8F1"/>
          </w:tcPr>
          <w:p>
            <w:pPr>
              <w:spacing w:after="0"/>
              <w:rPr>
                <w:sz w:val="13"/>
                <w:szCs w:val="13"/>
                <w:color w:val="auto"/>
              </w:rPr>
            </w:pPr>
          </w:p>
        </w:tc>
        <w:tc>
          <w:tcPr>
            <w:tcW w:w="1060" w:type="dxa"/>
            <w:vAlign w:val="bottom"/>
            <w:shd w:val="clear" w:color="auto" w:fill="E2E8F1"/>
          </w:tcPr>
          <w:p>
            <w:pPr>
              <w:spacing w:after="0"/>
              <w:rPr>
                <w:sz w:val="13"/>
                <w:szCs w:val="13"/>
                <w:color w:val="auto"/>
              </w:rPr>
            </w:pPr>
          </w:p>
        </w:tc>
        <w:tc>
          <w:tcPr>
            <w:tcW w:w="66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(342.8)</w:t>
            </w:r>
          </w:p>
        </w:tc>
        <w:tc>
          <w:tcPr>
            <w:tcW w:w="180" w:type="dxa"/>
            <w:vAlign w:val="bottom"/>
            <w:shd w:val="clear" w:color="auto" w:fill="E2E8F1"/>
          </w:tcPr>
          <w:p>
            <w:pPr>
              <w:spacing w:after="0"/>
              <w:rPr>
                <w:sz w:val="13"/>
                <w:szCs w:val="13"/>
                <w:color w:val="auto"/>
              </w:rPr>
            </w:pPr>
          </w:p>
        </w:tc>
        <w:tc>
          <w:tcPr>
            <w:tcW w:w="520" w:type="dxa"/>
            <w:vAlign w:val="bottom"/>
            <w:shd w:val="clear" w:color="auto" w:fill="E2E8F1"/>
          </w:tcPr>
          <w:p>
            <w:pPr>
              <w:spacing w:after="0"/>
              <w:rPr>
                <w:sz w:val="13"/>
                <w:szCs w:val="13"/>
                <w:color w:val="auto"/>
              </w:rPr>
            </w:pPr>
          </w:p>
        </w:tc>
        <w:tc>
          <w:tcPr>
            <w:tcW w:w="1220" w:type="dxa"/>
            <w:vAlign w:val="bottom"/>
            <w:gridSpan w:val="2"/>
            <w:shd w:val="clear" w:color="auto" w:fill="E2E8F1"/>
          </w:tcPr>
          <w:p>
            <w:pPr>
              <w:jc w:val="right"/>
              <w:ind w:right="80"/>
              <w:spacing w:after="0" w:line="157"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tcBorders>
              <w:top w:val="single" w:sz="8" w:color="E2E8F1"/>
            </w:tcBorders>
          </w:tcPr>
          <w:p>
            <w:pPr>
              <w:spacing w:after="0" w:line="157" w:lineRule="exact"/>
              <w:rPr>
                <w:sz w:val="20"/>
                <w:szCs w:val="20"/>
                <w:color w:val="auto"/>
              </w:rPr>
            </w:pPr>
            <w:r>
              <w:rPr>
                <w:rFonts w:ascii="Arial" w:cs="Arial" w:eastAsia="Arial" w:hAnsi="Arial"/>
                <w:sz w:val="14"/>
                <w:szCs w:val="14"/>
                <w:b w:val="1"/>
                <w:bCs w:val="1"/>
                <w:color w:val="auto"/>
              </w:rPr>
              <w:t>Cash Flows from Investing Activities:</w:t>
            </w:r>
          </w:p>
        </w:tc>
        <w:tc>
          <w:tcPr>
            <w:tcW w:w="1220" w:type="dxa"/>
            <w:vAlign w:val="bottom"/>
            <w:tcBorders>
              <w:top w:val="single" w:sz="8" w:color="E2E8F1"/>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180" w:type="dxa"/>
            <w:vAlign w:val="bottom"/>
            <w:tcBorders>
              <w:top w:val="single" w:sz="8" w:color="E2E8F1"/>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Borders>
              <w:top w:val="single" w:sz="8" w:color="E2E8F1"/>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Capital expenditures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(31.3)</w:t>
            </w: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22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Acquisition of business, net of cash acquired</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Impact to cash resulting from sales of subsidiaries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(2.1)</w:t>
            </w: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220" w:type="dxa"/>
            <w:vAlign w:val="bottom"/>
            <w:gridSpan w:val="2"/>
            <w:shd w:val="clear" w:color="auto" w:fill="E2E8F1"/>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Proceeds from the sale of property and equipment</w:t>
            </w:r>
          </w:p>
        </w:tc>
        <w:tc>
          <w:tcPr>
            <w:tcW w:w="12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shd w:val="clear" w:color="auto" w:fill="E2E8F1"/>
          </w:tcPr>
          <w:p>
            <w:pPr>
              <w:ind w:left="860"/>
              <w:spacing w:after="0" w:line="157" w:lineRule="exact"/>
              <w:rPr>
                <w:sz w:val="20"/>
                <w:szCs w:val="20"/>
                <w:color w:val="auto"/>
              </w:rPr>
            </w:pPr>
            <w:r>
              <w:rPr>
                <w:rFonts w:ascii="Arial" w:cs="Arial" w:eastAsia="Arial" w:hAnsi="Arial"/>
                <w:sz w:val="14"/>
                <w:szCs w:val="14"/>
                <w:color w:val="auto"/>
              </w:rPr>
              <w:t>Cash used in investing activities</w:t>
            </w:r>
          </w:p>
        </w:tc>
        <w:tc>
          <w:tcPr>
            <w:tcW w:w="1220" w:type="dxa"/>
            <w:vAlign w:val="bottom"/>
            <w:shd w:val="clear" w:color="auto" w:fill="E2E8F1"/>
          </w:tcPr>
          <w:p>
            <w:pPr>
              <w:spacing w:after="0"/>
              <w:rPr>
                <w:sz w:val="13"/>
                <w:szCs w:val="13"/>
                <w:color w:val="auto"/>
              </w:rPr>
            </w:pPr>
          </w:p>
        </w:tc>
        <w:tc>
          <w:tcPr>
            <w:tcW w:w="1060" w:type="dxa"/>
            <w:vAlign w:val="bottom"/>
            <w:shd w:val="clear" w:color="auto" w:fill="E2E8F1"/>
          </w:tcPr>
          <w:p>
            <w:pPr>
              <w:spacing w:after="0"/>
              <w:rPr>
                <w:sz w:val="13"/>
                <w:szCs w:val="13"/>
                <w:color w:val="auto"/>
              </w:rPr>
            </w:pPr>
          </w:p>
        </w:tc>
        <w:tc>
          <w:tcPr>
            <w:tcW w:w="66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(34.0)</w:t>
            </w:r>
          </w:p>
        </w:tc>
        <w:tc>
          <w:tcPr>
            <w:tcW w:w="180" w:type="dxa"/>
            <w:vAlign w:val="bottom"/>
            <w:shd w:val="clear" w:color="auto" w:fill="E2E8F1"/>
          </w:tcPr>
          <w:p>
            <w:pPr>
              <w:spacing w:after="0"/>
              <w:rPr>
                <w:sz w:val="13"/>
                <w:szCs w:val="13"/>
                <w:color w:val="auto"/>
              </w:rPr>
            </w:pPr>
          </w:p>
        </w:tc>
        <w:tc>
          <w:tcPr>
            <w:tcW w:w="520" w:type="dxa"/>
            <w:vAlign w:val="bottom"/>
            <w:shd w:val="clear" w:color="auto" w:fill="E2E8F1"/>
          </w:tcPr>
          <w:p>
            <w:pPr>
              <w:spacing w:after="0"/>
              <w:rPr>
                <w:sz w:val="13"/>
                <w:szCs w:val="13"/>
                <w:color w:val="auto"/>
              </w:rPr>
            </w:pPr>
          </w:p>
        </w:tc>
        <w:tc>
          <w:tcPr>
            <w:tcW w:w="1220" w:type="dxa"/>
            <w:vAlign w:val="bottom"/>
            <w:gridSpan w:val="2"/>
            <w:shd w:val="clear" w:color="auto" w:fill="E2E8F1"/>
          </w:tcPr>
          <w:p>
            <w:pPr>
              <w:jc w:val="right"/>
              <w:ind w:right="80"/>
              <w:spacing w:after="0" w:line="157"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tcBorders>
              <w:top w:val="single" w:sz="8" w:color="E2E8F1"/>
            </w:tcBorders>
          </w:tcPr>
          <w:p>
            <w:pPr>
              <w:spacing w:after="0" w:line="157" w:lineRule="exact"/>
              <w:rPr>
                <w:sz w:val="20"/>
                <w:szCs w:val="20"/>
                <w:color w:val="auto"/>
              </w:rPr>
            </w:pPr>
            <w:r>
              <w:rPr>
                <w:rFonts w:ascii="Arial" w:cs="Arial" w:eastAsia="Arial" w:hAnsi="Arial"/>
                <w:sz w:val="14"/>
                <w:szCs w:val="14"/>
                <w:b w:val="1"/>
                <w:bCs w:val="1"/>
                <w:color w:val="auto"/>
              </w:rPr>
              <w:t>Cash Flows from Financing Activities:</w:t>
            </w:r>
          </w:p>
        </w:tc>
        <w:tc>
          <w:tcPr>
            <w:tcW w:w="1220" w:type="dxa"/>
            <w:vAlign w:val="bottom"/>
            <w:tcBorders>
              <w:top w:val="single" w:sz="8" w:color="E2E8F1"/>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180" w:type="dxa"/>
            <w:vAlign w:val="bottom"/>
            <w:tcBorders>
              <w:top w:val="single" w:sz="8" w:color="E2E8F1"/>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Borders>
              <w:top w:val="single" w:sz="8" w:color="E2E8F1"/>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Net change in short-term borrowings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1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Net proceeds from revolving debt facility</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Proceeds from long-term debt</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1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Repayments of long-term debt</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Payments of contingent consideration for acquisition</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(1.3)</w:t>
            </w: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22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Proceeds from share-based awards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Payments to noncontrolling interests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22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Other share-based award transactions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Repurchases of common stock and excise tax</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(38.2)</w:t>
            </w:r>
          </w:p>
        </w:tc>
        <w:tc>
          <w:tcPr>
            <w:tcW w:w="18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22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Dividends paid</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(33.3)</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shd w:val="clear" w:color="auto" w:fill="E2E8F1"/>
          </w:tcPr>
          <w:p>
            <w:pPr>
              <w:ind w:left="860"/>
              <w:spacing w:after="0" w:line="157" w:lineRule="exact"/>
              <w:rPr>
                <w:sz w:val="20"/>
                <w:szCs w:val="20"/>
                <w:color w:val="auto"/>
              </w:rPr>
            </w:pPr>
            <w:r>
              <w:rPr>
                <w:rFonts w:ascii="Arial" w:cs="Arial" w:eastAsia="Arial" w:hAnsi="Arial"/>
                <w:sz w:val="14"/>
                <w:szCs w:val="14"/>
                <w:color w:val="auto"/>
              </w:rPr>
              <w:t>Cash provided by (used in) financing activities</w:t>
            </w:r>
          </w:p>
        </w:tc>
        <w:tc>
          <w:tcPr>
            <w:tcW w:w="1220" w:type="dxa"/>
            <w:vAlign w:val="bottom"/>
            <w:shd w:val="clear" w:color="auto" w:fill="E2E8F1"/>
          </w:tcPr>
          <w:p>
            <w:pPr>
              <w:spacing w:after="0"/>
              <w:rPr>
                <w:sz w:val="13"/>
                <w:szCs w:val="13"/>
                <w:color w:val="auto"/>
              </w:rPr>
            </w:pPr>
          </w:p>
        </w:tc>
        <w:tc>
          <w:tcPr>
            <w:tcW w:w="1060" w:type="dxa"/>
            <w:vAlign w:val="bottom"/>
            <w:shd w:val="clear" w:color="auto" w:fill="E2E8F1"/>
          </w:tcPr>
          <w:p>
            <w:pPr>
              <w:spacing w:after="0"/>
              <w:rPr>
                <w:sz w:val="13"/>
                <w:szCs w:val="13"/>
                <w:color w:val="auto"/>
              </w:rPr>
            </w:pPr>
          </w:p>
        </w:tc>
        <w:tc>
          <w:tcPr>
            <w:tcW w:w="5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124.0</w:t>
            </w:r>
          </w:p>
        </w:tc>
        <w:tc>
          <w:tcPr>
            <w:tcW w:w="100" w:type="dxa"/>
            <w:vAlign w:val="bottom"/>
            <w:shd w:val="clear" w:color="auto" w:fill="E2E8F1"/>
          </w:tcPr>
          <w:p>
            <w:pPr>
              <w:spacing w:after="0"/>
              <w:rPr>
                <w:sz w:val="13"/>
                <w:szCs w:val="13"/>
                <w:color w:val="auto"/>
              </w:rPr>
            </w:pPr>
          </w:p>
        </w:tc>
        <w:tc>
          <w:tcPr>
            <w:tcW w:w="180" w:type="dxa"/>
            <w:vAlign w:val="bottom"/>
            <w:shd w:val="clear" w:color="auto" w:fill="E2E8F1"/>
          </w:tcPr>
          <w:p>
            <w:pPr>
              <w:spacing w:after="0"/>
              <w:rPr>
                <w:sz w:val="13"/>
                <w:szCs w:val="13"/>
                <w:color w:val="auto"/>
              </w:rPr>
            </w:pPr>
          </w:p>
        </w:tc>
        <w:tc>
          <w:tcPr>
            <w:tcW w:w="520" w:type="dxa"/>
            <w:vAlign w:val="bottom"/>
            <w:shd w:val="clear" w:color="auto" w:fill="E2E8F1"/>
          </w:tcPr>
          <w:p>
            <w:pPr>
              <w:spacing w:after="0"/>
              <w:rPr>
                <w:sz w:val="13"/>
                <w:szCs w:val="13"/>
                <w:color w:val="auto"/>
              </w:rPr>
            </w:pPr>
          </w:p>
        </w:tc>
        <w:tc>
          <w:tcPr>
            <w:tcW w:w="1220" w:type="dxa"/>
            <w:vAlign w:val="bottom"/>
            <w:gridSpan w:val="2"/>
            <w:shd w:val="clear" w:color="auto" w:fill="E2E8F1"/>
          </w:tcPr>
          <w:p>
            <w:pPr>
              <w:jc w:val="right"/>
              <w:ind w:right="80"/>
              <w:spacing w:after="0" w:line="157" w:lineRule="exact"/>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E2E8F1"/>
          </w:tcPr>
          <w:p>
            <w:pPr>
              <w:spacing w:after="0" w:line="20" w:lineRule="exact"/>
              <w:rPr>
                <w:sz w:val="1"/>
                <w:szCs w:val="1"/>
                <w:color w:val="auto"/>
              </w:rPr>
            </w:pPr>
          </w:p>
        </w:tc>
        <w:tc>
          <w:tcPr>
            <w:tcW w:w="1220" w:type="dxa"/>
            <w:vAlign w:val="bottom"/>
            <w:shd w:val="clear" w:color="auto" w:fill="E2E8F1"/>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80" w:type="dxa"/>
            <w:vAlign w:val="bottom"/>
            <w:shd w:val="clear" w:color="auto" w:fill="E2E8F1"/>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6380" w:type="dxa"/>
            <w:vAlign w:val="bottom"/>
          </w:tcPr>
          <w:p>
            <w:pPr>
              <w:spacing w:after="0" w:line="157" w:lineRule="exact"/>
              <w:rPr>
                <w:sz w:val="20"/>
                <w:szCs w:val="20"/>
                <w:color w:val="auto"/>
              </w:rPr>
            </w:pPr>
            <w:r>
              <w:rPr>
                <w:rFonts w:ascii="Arial" w:cs="Arial" w:eastAsia="Arial" w:hAnsi="Arial"/>
                <w:sz w:val="14"/>
                <w:szCs w:val="14"/>
                <w:color w:val="auto"/>
              </w:rPr>
              <w:t>Effect of exchange rate changes on cash</w:t>
            </w: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33.2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6380" w:type="dxa"/>
            <w:vAlign w:val="bottom"/>
            <w:shd w:val="clear" w:color="auto" w:fill="E2E8F1"/>
          </w:tcPr>
          <w:p>
            <w:pPr>
              <w:spacing w:after="0" w:line="157" w:lineRule="exact"/>
              <w:rPr>
                <w:sz w:val="20"/>
                <w:szCs w:val="20"/>
                <w:color w:val="auto"/>
              </w:rPr>
            </w:pPr>
            <w:r>
              <w:rPr>
                <w:rFonts w:ascii="Arial" w:cs="Arial" w:eastAsia="Arial" w:hAnsi="Arial"/>
                <w:sz w:val="14"/>
                <w:szCs w:val="14"/>
                <w:color w:val="auto"/>
              </w:rPr>
              <w:t>Change in cash and cash equivalents</w:t>
            </w:r>
          </w:p>
        </w:tc>
        <w:tc>
          <w:tcPr>
            <w:tcW w:w="1220" w:type="dxa"/>
            <w:vAlign w:val="bottom"/>
            <w:shd w:val="clear" w:color="auto" w:fill="E2E8F1"/>
          </w:tcPr>
          <w:p>
            <w:pPr>
              <w:spacing w:after="0"/>
              <w:rPr>
                <w:sz w:val="13"/>
                <w:szCs w:val="13"/>
                <w:color w:val="auto"/>
              </w:rPr>
            </w:pPr>
          </w:p>
        </w:tc>
        <w:tc>
          <w:tcPr>
            <w:tcW w:w="1060" w:type="dxa"/>
            <w:vAlign w:val="bottom"/>
            <w:shd w:val="clear" w:color="auto" w:fill="E2E8F1"/>
          </w:tcPr>
          <w:p>
            <w:pPr>
              <w:spacing w:after="0"/>
              <w:rPr>
                <w:sz w:val="13"/>
                <w:szCs w:val="13"/>
                <w:color w:val="auto"/>
              </w:rPr>
            </w:pPr>
          </w:p>
        </w:tc>
        <w:tc>
          <w:tcPr>
            <w:tcW w:w="66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(219.6)</w:t>
            </w:r>
          </w:p>
        </w:tc>
        <w:tc>
          <w:tcPr>
            <w:tcW w:w="180" w:type="dxa"/>
            <w:vAlign w:val="bottom"/>
            <w:shd w:val="clear" w:color="auto" w:fill="E2E8F1"/>
          </w:tcPr>
          <w:p>
            <w:pPr>
              <w:spacing w:after="0"/>
              <w:rPr>
                <w:sz w:val="13"/>
                <w:szCs w:val="13"/>
                <w:color w:val="auto"/>
              </w:rPr>
            </w:pPr>
          </w:p>
        </w:tc>
        <w:tc>
          <w:tcPr>
            <w:tcW w:w="520" w:type="dxa"/>
            <w:vAlign w:val="bottom"/>
            <w:shd w:val="clear" w:color="auto" w:fill="E2E8F1"/>
          </w:tcPr>
          <w:p>
            <w:pPr>
              <w:spacing w:after="0"/>
              <w:rPr>
                <w:sz w:val="13"/>
                <w:szCs w:val="13"/>
                <w:color w:val="auto"/>
              </w:rPr>
            </w:pPr>
          </w:p>
        </w:tc>
        <w:tc>
          <w:tcPr>
            <w:tcW w:w="1220" w:type="dxa"/>
            <w:vAlign w:val="bottom"/>
            <w:gridSpan w:val="2"/>
            <w:shd w:val="clear" w:color="auto" w:fill="E2E8F1"/>
          </w:tcPr>
          <w:p>
            <w:pPr>
              <w:jc w:val="right"/>
              <w:ind w:right="80"/>
              <w:spacing w:after="0" w:line="157" w:lineRule="exact"/>
              <w:rPr>
                <w:sz w:val="20"/>
                <w:szCs w:val="20"/>
                <w:color w:val="auto"/>
              </w:rPr>
            </w:pPr>
            <w:r>
              <w:rPr>
                <w:rFonts w:ascii="Arial" w:cs="Arial" w:eastAsia="Arial" w:hAnsi="Arial"/>
                <w:sz w:val="14"/>
                <w:szCs w:val="14"/>
                <w:color w:val="auto"/>
              </w:rPr>
              <w:t>(112.4)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2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E2E8F1"/>
          </w:tcPr>
          <w:p>
            <w:pPr>
              <w:spacing w:after="0" w:line="157" w:lineRule="exact"/>
              <w:rPr>
                <w:sz w:val="20"/>
                <w:szCs w:val="20"/>
                <w:color w:val="auto"/>
              </w:rPr>
            </w:pPr>
            <w:r>
              <w:rPr>
                <w:rFonts w:ascii="Arial" w:cs="Arial" w:eastAsia="Arial" w:hAnsi="Arial"/>
                <w:sz w:val="14"/>
                <w:szCs w:val="14"/>
                <w:color w:val="auto"/>
              </w:rPr>
              <w:t>Cash and cash equivalents, end of period</w:t>
            </w:r>
          </w:p>
        </w:tc>
        <w:tc>
          <w:tcPr>
            <w:tcW w:w="2280" w:type="dxa"/>
            <w:vAlign w:val="bottom"/>
            <w:gridSpan w:val="2"/>
            <w:shd w:val="clear" w:color="auto" w:fill="E2E8F1"/>
          </w:tcPr>
          <w:p>
            <w:pPr>
              <w:jc w:val="right"/>
              <w:ind w:right="937"/>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289.8</w:t>
            </w:r>
          </w:p>
        </w:tc>
        <w:tc>
          <w:tcPr>
            <w:tcW w:w="100" w:type="dxa"/>
            <w:vAlign w:val="bottom"/>
            <w:shd w:val="clear" w:color="auto" w:fill="E2E8F1"/>
          </w:tcPr>
          <w:p>
            <w:pPr>
              <w:spacing w:after="0"/>
              <w:rPr>
                <w:sz w:val="17"/>
                <w:szCs w:val="17"/>
                <w:color w:val="auto"/>
              </w:rPr>
            </w:pPr>
          </w:p>
        </w:tc>
        <w:tc>
          <w:tcPr>
            <w:tcW w:w="700" w:type="dxa"/>
            <w:vAlign w:val="bottom"/>
            <w:gridSpan w:val="2"/>
            <w:shd w:val="clear" w:color="auto" w:fill="E2E8F1"/>
          </w:tcPr>
          <w:p>
            <w:pPr>
              <w:jc w:val="right"/>
              <w:ind w:right="440"/>
              <w:spacing w:after="0" w:line="157" w:lineRule="exact"/>
              <w:rPr>
                <w:sz w:val="20"/>
                <w:szCs w:val="20"/>
                <w:color w:val="auto"/>
              </w:rPr>
            </w:pPr>
            <w:r>
              <w:rPr>
                <w:rFonts w:ascii="Arial" w:cs="Arial" w:eastAsia="Arial" w:hAnsi="Arial"/>
                <w:sz w:val="14"/>
                <w:szCs w:val="14"/>
                <w:color w:val="auto"/>
              </w:rPr>
              <w:t>$</w:t>
            </w:r>
          </w:p>
        </w:tc>
        <w:tc>
          <w:tcPr>
            <w:tcW w:w="110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468.9</w:t>
            </w:r>
          </w:p>
        </w:tc>
        <w:tc>
          <w:tcPr>
            <w:tcW w:w="120" w:type="dxa"/>
            <w:vAlign w:val="bottom"/>
            <w:shd w:val="clear" w:color="auto" w:fill="E2E8F1"/>
          </w:tcPr>
          <w:p>
            <w:pPr>
              <w:spacing w:after="0"/>
              <w:rPr>
                <w:sz w:val="17"/>
                <w:szCs w:val="17"/>
                <w:color w:val="auto"/>
              </w:rPr>
            </w:pPr>
          </w:p>
        </w:tc>
        <w:tc>
          <w:tcPr>
            <w:tcW w:w="0" w:type="dxa"/>
            <w:vAlign w:val="bottom"/>
          </w:tcPr>
          <w:p>
            <w:pPr>
              <w:spacing w:after="0"/>
              <w:rPr>
                <w:sz w:val="1"/>
                <w:szCs w:val="1"/>
                <w:color w:val="auto"/>
              </w:rPr>
            </w:pPr>
          </w:p>
        </w:tc>
      </w:tr>
      <w:tr>
        <w:trPr>
          <w:trHeight w:val="949"/>
        </w:trPr>
        <w:tc>
          <w:tcPr>
            <w:tcW w:w="20" w:type="dxa"/>
            <w:vAlign w:val="bottom"/>
            <w:tcBorders>
              <w:bottom w:val="single" w:sz="8" w:color="9A9A9A"/>
            </w:tcBorders>
          </w:tcPr>
          <w:p>
            <w:pPr>
              <w:spacing w:after="0"/>
              <w:rPr>
                <w:sz w:val="24"/>
                <w:szCs w:val="24"/>
                <w:color w:val="auto"/>
              </w:rPr>
            </w:pPr>
          </w:p>
        </w:tc>
        <w:tc>
          <w:tcPr>
            <w:tcW w:w="6380" w:type="dxa"/>
            <w:vAlign w:val="bottom"/>
            <w:tcBorders>
              <w:top w:val="single" w:sz="8" w:color="E2E8F1"/>
              <w:bottom w:val="single" w:sz="8" w:color="9A9A9A"/>
            </w:tcBorders>
          </w:tcPr>
          <w:p>
            <w:pPr>
              <w:spacing w:after="0"/>
              <w:rPr>
                <w:sz w:val="24"/>
                <w:szCs w:val="24"/>
                <w:color w:val="auto"/>
              </w:rPr>
            </w:pPr>
          </w:p>
        </w:tc>
        <w:tc>
          <w:tcPr>
            <w:tcW w:w="1220" w:type="dxa"/>
            <w:vAlign w:val="bottom"/>
            <w:tcBorders>
              <w:top w:val="single" w:sz="8" w:color="E2E8F1"/>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E2E8F1"/>
              <w:bottom w:val="single" w:sz="8" w:color="9A9A9A"/>
            </w:tcBorders>
          </w:tcPr>
          <w:p>
            <w:pPr>
              <w:spacing w:after="0"/>
              <w:rPr>
                <w:sz w:val="24"/>
                <w:szCs w:val="24"/>
                <w:color w:val="auto"/>
              </w:rPr>
            </w:pPr>
          </w:p>
        </w:tc>
        <w:tc>
          <w:tcPr>
            <w:tcW w:w="180" w:type="dxa"/>
            <w:vAlign w:val="bottom"/>
            <w:tcBorders>
              <w:top w:val="single" w:sz="8" w:color="E2E8F1"/>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E2E8F1"/>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-3018155</wp:posOffset>
            </wp:positionV>
            <wp:extent cx="6731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-3018155</wp:posOffset>
            </wp:positionV>
            <wp:extent cx="7493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-2372360</wp:posOffset>
            </wp:positionV>
            <wp:extent cx="673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-2372360</wp:posOffset>
            </wp:positionV>
            <wp:extent cx="7493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-1096010</wp:posOffset>
            </wp:positionV>
            <wp:extent cx="6731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-1096010</wp:posOffset>
            </wp:positionV>
            <wp:extent cx="7493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-652780</wp:posOffset>
            </wp:positionV>
            <wp:extent cx="6731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-637540</wp:posOffset>
            </wp:positionV>
            <wp:extent cx="6731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-652780</wp:posOffset>
            </wp:positionV>
            <wp:extent cx="7493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-637540</wp:posOffset>
            </wp:positionV>
            <wp:extent cx="7493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2025-07-17T06:48:54Z</dcterms:created>
  <dcterms:modified xsi:type="dcterms:W3CDTF">2025-07-17T06:48:54Z</dcterms:modified>
</cp:coreProperties>
</file>