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432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324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MONDANO DONALD O</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02/10/2022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4"/>
        <w:spacing w:after="0"/>
        <w:rPr>
          <w:sz w:val="20"/>
          <w:szCs w:val="20"/>
          <w:color w:val="auto"/>
        </w:rPr>
      </w:pPr>
      <w:r>
        <w:rPr>
          <w:rFonts w:ascii="Arial" w:cs="Arial" w:eastAsia="Arial" w:hAnsi="Arial"/>
          <w:sz w:val="17"/>
          <w:szCs w:val="17"/>
          <w:color w:val="0000FF"/>
        </w:rPr>
        <w:t>SVP, Global Controller</w:t>
      </w:r>
    </w:p>
    <w:p>
      <w:pPr>
        <w:spacing w:after="0" w:line="391"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7"/>
          </w:tcPr>
          <w:p>
            <w:pPr>
              <w:ind w:left="160"/>
              <w:spacing w:after="0" w:line="144"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80" w:type="dxa"/>
            <w:vAlign w:val="bottom"/>
            <w:gridSpan w:val="11"/>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MILWAUKEE   WI</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53212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9"/>
          </w:tcPr>
          <w:p>
            <w:pPr>
              <w:spacing w:after="0"/>
              <w:rPr>
                <w:sz w:val="10"/>
                <w:szCs w:val="10"/>
                <w:color w:val="auto"/>
              </w:rPr>
            </w:pPr>
          </w:p>
        </w:tc>
        <w:tc>
          <w:tcPr>
            <w:tcW w:w="220" w:type="dxa"/>
            <w:vAlign w:val="bottom"/>
            <w:tcBorders>
              <w:bottom w:val="single" w:sz="8" w:color="2C2C2C"/>
            </w:tcBorders>
            <w:gridSpan w:val="3"/>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gridSpan w:val="3"/>
          </w:tcPr>
          <w:p>
            <w:pPr>
              <w:ind w:left="5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02/10/2022</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89"/>
                <w:vertAlign w:val="subscript"/>
              </w:rPr>
              <w:t>A</w:t>
            </w:r>
            <w:r>
              <w:rPr>
                <w:rFonts w:ascii="Arial" w:cs="Arial" w:eastAsia="Arial" w:hAnsi="Arial"/>
                <w:sz w:val="11"/>
                <w:szCs w:val="11"/>
                <w:color w:val="008000"/>
                <w:w w:val="89"/>
              </w:rPr>
              <w:t>(1)</w:t>
            </w:r>
          </w:p>
        </w:tc>
        <w:tc>
          <w:tcPr>
            <w:tcW w:w="74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w w:val="89"/>
              </w:rPr>
              <w:t>2,127</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73"/>
              <w:spacing w:after="0"/>
              <w:rPr>
                <w:sz w:val="20"/>
                <w:szCs w:val="20"/>
                <w:color w:val="auto"/>
              </w:rPr>
            </w:pPr>
            <w:r>
              <w:rPr>
                <w:rFonts w:ascii="Arial" w:cs="Arial" w:eastAsia="Arial" w:hAnsi="Arial"/>
                <w:sz w:val="11"/>
                <w:szCs w:val="11"/>
                <w:color w:val="008000"/>
                <w:w w:val="88"/>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2,183.18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02/11/2022</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(2)</w:t>
            </w:r>
          </w:p>
        </w:tc>
        <w:tc>
          <w:tcPr>
            <w:tcW w:w="740" w:type="dxa"/>
            <w:vAlign w:val="bottom"/>
            <w:tcBorders>
              <w:bottom w:val="single" w:sz="8" w:color="2C2C2C"/>
            </w:tcBorders>
          </w:tcPr>
          <w:p>
            <w:pPr>
              <w:jc w:val="center"/>
              <w:ind w:left="33"/>
              <w:spacing w:after="0"/>
              <w:rPr>
                <w:sz w:val="20"/>
                <w:szCs w:val="20"/>
                <w:color w:val="auto"/>
              </w:rPr>
            </w:pPr>
            <w:r>
              <w:rPr>
                <w:rFonts w:ascii="Arial" w:cs="Arial" w:eastAsia="Arial" w:hAnsi="Arial"/>
                <w:sz w:val="17"/>
                <w:szCs w:val="17"/>
                <w:color w:val="0000FF"/>
                <w:w w:val="84"/>
              </w:rPr>
              <w:t>712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110.36</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1,471.18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02/14/2022</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ind w:left="33"/>
              <w:spacing w:after="0"/>
              <w:rPr>
                <w:sz w:val="20"/>
                <w:szCs w:val="20"/>
                <w:color w:val="auto"/>
              </w:rPr>
            </w:pPr>
            <w:r>
              <w:rPr>
                <w:rFonts w:ascii="Arial" w:cs="Arial" w:eastAsia="Arial" w:hAnsi="Arial"/>
                <w:sz w:val="17"/>
                <w:szCs w:val="17"/>
                <w:color w:val="0000FF"/>
                <w:w w:val="90"/>
              </w:rPr>
              <w:t>1,471.18</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ind w:left="33"/>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110</w:t>
            </w:r>
            <w:r>
              <w:rPr>
                <w:rFonts w:ascii="Arial" w:cs="Arial" w:eastAsia="Arial" w:hAnsi="Arial"/>
                <w:sz w:val="21"/>
                <w:szCs w:val="21"/>
                <w:color w:val="008000"/>
                <w:w w:val="83"/>
                <w:vertAlign w:val="superscript"/>
              </w:rPr>
              <w:t>(4)</w:t>
            </w: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9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r>
              <w:rPr>
                <w:rFonts w:ascii="Arial" w:cs="Arial" w:eastAsia="Arial" w:hAnsi="Arial"/>
                <w:sz w:val="21"/>
                <w:szCs w:val="21"/>
                <w:color w:val="008000"/>
                <w:vertAlign w:val="superscript"/>
              </w:rPr>
              <w:t>(5)</w:t>
            </w: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1,735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12"/>
                <w:szCs w:val="12"/>
                <w:color w:val="auto"/>
              </w:rPr>
            </w:pPr>
          </w:p>
        </w:tc>
        <w:tc>
          <w:tcPr>
            <w:tcW w:w="980" w:type="dxa"/>
            <w:vAlign w:val="bottom"/>
          </w:tcPr>
          <w:p>
            <w:pPr>
              <w:ind w:left="200"/>
              <w:spacing w:after="0" w:line="139" w:lineRule="exact"/>
              <w:rPr>
                <w:sz w:val="20"/>
                <w:szCs w:val="20"/>
                <w:color w:val="auto"/>
              </w:rPr>
            </w:pPr>
            <w:r>
              <w:rPr>
                <w:rFonts w:ascii="Arial" w:cs="Arial" w:eastAsia="Arial" w:hAnsi="Arial"/>
                <w:sz w:val="13"/>
                <w:szCs w:val="13"/>
                <w:color w:val="0000FF"/>
              </w:rPr>
              <w:t>02/11/2022</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120"/>
              <w:spacing w:after="0" w:line="139" w:lineRule="exact"/>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420" w:type="dxa"/>
            <w:vAlign w:val="bottom"/>
          </w:tcPr>
          <w:p>
            <w:pPr>
              <w:ind w:left="40"/>
              <w:spacing w:after="0" w:line="139" w:lineRule="exact"/>
              <w:rPr>
                <w:sz w:val="20"/>
                <w:szCs w:val="20"/>
                <w:color w:val="auto"/>
              </w:rPr>
            </w:pPr>
            <w:r>
              <w:rPr>
                <w:rFonts w:ascii="Arial" w:cs="Arial" w:eastAsia="Arial" w:hAnsi="Arial"/>
                <w:sz w:val="13"/>
                <w:szCs w:val="13"/>
                <w:color w:val="0000FF"/>
              </w:rPr>
              <w:t>1,735</w:t>
            </w:r>
          </w:p>
        </w:tc>
        <w:tc>
          <w:tcPr>
            <w:tcW w:w="28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ind w:left="300"/>
              <w:spacing w:after="0"/>
              <w:rPr>
                <w:sz w:val="20"/>
                <w:szCs w:val="20"/>
                <w:color w:val="auto"/>
              </w:rPr>
            </w:pPr>
            <w:r>
              <w:rPr>
                <w:rFonts w:ascii="Arial" w:cs="Arial" w:eastAsia="Arial" w:hAnsi="Arial"/>
                <w:sz w:val="11"/>
                <w:szCs w:val="11"/>
                <w:color w:val="008000"/>
              </w:rPr>
              <w:t>(5)</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tcPr>
          <w:p>
            <w:pPr>
              <w:ind w:left="300"/>
              <w:spacing w:after="0" w:line="139" w:lineRule="exact"/>
              <w:rPr>
                <w:sz w:val="20"/>
                <w:szCs w:val="20"/>
                <w:color w:val="auto"/>
              </w:rPr>
            </w:pPr>
            <w:r>
              <w:rPr>
                <w:rFonts w:ascii="Arial" w:cs="Arial" w:eastAsia="Arial" w:hAnsi="Arial"/>
                <w:sz w:val="13"/>
                <w:szCs w:val="13"/>
                <w:color w:val="0000FF"/>
                <w:w w:val="98"/>
              </w:rPr>
              <w:t>1,735</w:t>
            </w:r>
          </w:p>
        </w:tc>
        <w:tc>
          <w:tcPr>
            <w:tcW w:w="26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acquired in settlement of performance share units granted in 2019 (which were not derivative securities received under the Company's 2011 Equity Incentive Plan, exempt under Rule 16b-3).</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the Issuer to satisfy the tax withholding obligations on shares acquired on February 10, 2022 in settlement of performance share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opening price on the New York Stock Exchange on February 11, 2022.</w:t>
      </w:r>
    </w:p>
    <w:p>
      <w:pPr>
        <w:spacing w:after="0" w:line="45" w:lineRule="exact"/>
        <w:rPr>
          <w:rFonts w:ascii="Arial" w:cs="Arial" w:eastAsia="Arial" w:hAnsi="Arial"/>
          <w:sz w:val="13"/>
          <w:szCs w:val="13"/>
          <w:color w:val="008000"/>
        </w:rPr>
      </w:pPr>
    </w:p>
    <w:p>
      <w:pPr>
        <w:ind w:left="40" w:right="3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$109.93 to $110.02. Upon request, the reporting person will provide to the SEC staff, the issuer, or any security holder of the issuer, full information regarding the number of shares sold at each separate price within this range.</w:t>
      </w:r>
    </w:p>
    <w:p>
      <w:pPr>
        <w:spacing w:after="0" w:line="24" w:lineRule="exact"/>
        <w:rPr>
          <w:rFonts w:ascii="Arial" w:cs="Arial" w:eastAsia="Arial" w:hAnsi="Arial"/>
          <w:sz w:val="13"/>
          <w:szCs w:val="13"/>
          <w:color w:val="008000"/>
        </w:rPr>
      </w:pPr>
    </w:p>
    <w:p>
      <w:pPr>
        <w:ind w:left="40" w:right="6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under the 2011 Equity Incentive Plan of the Company. The restricted stock units will vest 100% on February 11, 2025 and will be settled in shares of ManpowerGroup common stock on a 1 for 1 basis.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02/14/2022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12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68267"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2022-02-14T16:50:18Z</dcterms:created>
  <dcterms:modified xsi:type="dcterms:W3CDTF">2022-02-14T16:50:18Z</dcterms:modified>
</cp:coreProperties>
</file>