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July 21, 2016</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MANPOWERGROUP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Wisconsin</w:t>
            </w:r>
          </w:p>
        </w:tc>
        <w:tc>
          <w:tcPr>
            <w:tcW w:w="2960" w:type="dxa"/>
            <w:vAlign w:val="bottom"/>
          </w:tcPr>
          <w:p>
            <w:pPr>
              <w:jc w:val="right"/>
              <w:ind w:right="1200"/>
              <w:spacing w:after="0"/>
              <w:rPr>
                <w:sz w:val="20"/>
                <w:szCs w:val="20"/>
                <w:color w:val="auto"/>
              </w:rPr>
            </w:pPr>
            <w:r>
              <w:rPr>
                <w:rFonts w:ascii="Arial" w:cs="Arial" w:eastAsia="Arial" w:hAnsi="Arial"/>
                <w:sz w:val="16"/>
                <w:szCs w:val="16"/>
                <w:b w:val="1"/>
                <w:bCs w:val="1"/>
                <w:color w:val="auto"/>
              </w:rPr>
              <w:t>1-10686</w:t>
            </w:r>
          </w:p>
        </w:tc>
        <w:tc>
          <w:tcPr>
            <w:tcW w:w="3660" w:type="dxa"/>
            <w:vAlign w:val="bottom"/>
          </w:tcPr>
          <w:p>
            <w:pPr>
              <w:jc w:val="right"/>
              <w:ind w:right="1360"/>
              <w:spacing w:after="0"/>
              <w:rPr>
                <w:sz w:val="20"/>
                <w:szCs w:val="20"/>
                <w:color w:val="auto"/>
              </w:rPr>
            </w:pPr>
            <w:r>
              <w:rPr>
                <w:rFonts w:ascii="Arial" w:cs="Arial" w:eastAsia="Arial" w:hAnsi="Arial"/>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29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748"/>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0"/>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1"/>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Arial" w:cs="Arial" w:eastAsia="Arial" w:hAnsi="Arial"/>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Arial" w:cs="Arial" w:eastAsia="Arial" w:hAnsi="Arial"/>
                <w:sz w:val="16"/>
                <w:szCs w:val="16"/>
                <w:b w:val="1"/>
                <w:bCs w:val="1"/>
                <w:color w:val="auto"/>
                <w:w w:val="93"/>
              </w:rPr>
              <w:t>(Zip Code)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5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40"/>
          </w:cols>
          <w:pgMar w:left="240" w:top="1008"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5"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On July 21, 2016, we issued a press release announcing our results of operations for the three month and six month periods ended June 30, 2016. A copy of the press release is attached hereto as Exhibit 99.1 and is incorporated herein by reference.</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8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60" w:type="dxa"/>
            <w:vAlign w:val="bottom"/>
          </w:tcPr>
          <w:p>
            <w:pPr>
              <w:ind w:left="38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531"/>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10260" w:type="dxa"/>
            <w:vAlign w:val="bottom"/>
          </w:tcPr>
          <w:p>
            <w:pPr>
              <w:ind w:left="114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6"/>
                <w:szCs w:val="16"/>
                <w:color w:val="auto"/>
              </w:rPr>
              <w:t>99.1</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Press Release dated July 21, 2016</w:t>
            </w:r>
          </w:p>
        </w:tc>
      </w:tr>
      <w:tr>
        <w:trPr>
          <w:trHeight w:val="241"/>
        </w:trPr>
        <w:tc>
          <w:tcPr>
            <w:tcW w:w="1180" w:type="dxa"/>
            <w:vAlign w:val="bottom"/>
          </w:tcPr>
          <w:p>
            <w:pPr>
              <w:ind w:left="20"/>
              <w:spacing w:after="0"/>
              <w:rPr>
                <w:sz w:val="20"/>
                <w:szCs w:val="20"/>
                <w:color w:val="auto"/>
              </w:rPr>
            </w:pPr>
            <w:r>
              <w:rPr>
                <w:rFonts w:ascii="Arial" w:cs="Arial" w:eastAsia="Arial" w:hAnsi="Arial"/>
                <w:sz w:val="16"/>
                <w:szCs w:val="16"/>
                <w:color w:val="auto"/>
              </w:rPr>
              <w:t>99.2</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Presentation materials for July 21, 2016 conference call</w:t>
            </w:r>
          </w:p>
        </w:tc>
      </w:tr>
    </w:tbl>
    <w:p>
      <w:pPr>
        <w:sectPr>
          <w:pgSz w:w="11900" w:h="16838" w:orient="portrait"/>
          <w:cols w:equalWidth="0" w:num="1">
            <w:col w:w="11440"/>
          </w:cols>
          <w:pgMar w:left="240" w:top="726"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Arial" w:cs="Arial" w:eastAsia="Arial" w:hAnsi="Arial"/>
          <w:sz w:val="16"/>
          <w:szCs w:val="16"/>
          <w:color w:val="auto"/>
        </w:rPr>
        <w:t>Dated: July 21,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29210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John T. McGinnis</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300"/>
          </w:cols>
          <w:pgMar w:left="240" w:top="91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60" w:type="dxa"/>
            <w:vAlign w:val="bottom"/>
          </w:tcPr>
          <w:p>
            <w:pPr>
              <w:spacing w:after="0"/>
              <w:rPr>
                <w:sz w:val="18"/>
                <w:szCs w:val="18"/>
                <w:color w:val="auto"/>
              </w:rPr>
            </w:pPr>
          </w:p>
        </w:tc>
        <w:tc>
          <w:tcPr>
            <w:tcW w:w="9880" w:type="dxa"/>
            <w:vAlign w:val="bottom"/>
          </w:tcPr>
          <w:p>
            <w:pPr>
              <w:ind w:left="3540"/>
              <w:spacing w:after="0"/>
              <w:rPr>
                <w:sz w:val="20"/>
                <w:szCs w:val="20"/>
                <w:color w:val="auto"/>
              </w:rPr>
            </w:pPr>
            <w:r>
              <w:rPr>
                <w:rFonts w:ascii="Arial" w:cs="Arial" w:eastAsia="Arial" w:hAnsi="Arial"/>
                <w:sz w:val="16"/>
                <w:szCs w:val="16"/>
                <w:b w:val="1"/>
                <w:bCs w:val="1"/>
                <w:color w:val="auto"/>
              </w:rPr>
              <w:t>EXHIBIT INDEX</w:t>
            </w:r>
          </w:p>
        </w:tc>
      </w:tr>
      <w:tr>
        <w:trPr>
          <w:trHeight w:val="531"/>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9880" w:type="dxa"/>
            <w:vAlign w:val="bottom"/>
          </w:tcPr>
          <w:p>
            <w:pPr>
              <w:ind w:left="76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56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6"/>
                <w:szCs w:val="16"/>
                <w:color w:val="auto"/>
              </w:rPr>
              <w:t>99.1</w:t>
            </w:r>
          </w:p>
        </w:tc>
        <w:tc>
          <w:tcPr>
            <w:tcW w:w="9880" w:type="dxa"/>
            <w:vAlign w:val="bottom"/>
          </w:tcPr>
          <w:p>
            <w:pPr>
              <w:ind w:left="760"/>
              <w:spacing w:after="0"/>
              <w:rPr>
                <w:sz w:val="20"/>
                <w:szCs w:val="20"/>
                <w:color w:val="auto"/>
              </w:rPr>
            </w:pPr>
            <w:r>
              <w:rPr>
                <w:rFonts w:ascii="Arial" w:cs="Arial" w:eastAsia="Arial" w:hAnsi="Arial"/>
                <w:sz w:val="16"/>
                <w:szCs w:val="16"/>
                <w:color w:val="auto"/>
              </w:rPr>
              <w:t>Press Release dated July 21, 2016</w:t>
            </w:r>
          </w:p>
        </w:tc>
      </w:tr>
      <w:tr>
        <w:trPr>
          <w:trHeight w:val="241"/>
        </w:trPr>
        <w:tc>
          <w:tcPr>
            <w:tcW w:w="1560" w:type="dxa"/>
            <w:vAlign w:val="bottom"/>
          </w:tcPr>
          <w:p>
            <w:pPr>
              <w:ind w:left="20"/>
              <w:spacing w:after="0"/>
              <w:rPr>
                <w:sz w:val="20"/>
                <w:szCs w:val="20"/>
                <w:color w:val="auto"/>
              </w:rPr>
            </w:pPr>
            <w:r>
              <w:rPr>
                <w:rFonts w:ascii="Arial" w:cs="Arial" w:eastAsia="Arial" w:hAnsi="Arial"/>
                <w:sz w:val="16"/>
                <w:szCs w:val="16"/>
                <w:color w:val="auto"/>
              </w:rPr>
              <w:t>99.2</w:t>
            </w:r>
          </w:p>
        </w:tc>
        <w:tc>
          <w:tcPr>
            <w:tcW w:w="9880" w:type="dxa"/>
            <w:vAlign w:val="bottom"/>
          </w:tcPr>
          <w:p>
            <w:pPr>
              <w:ind w:left="760"/>
              <w:spacing w:after="0"/>
              <w:rPr>
                <w:sz w:val="20"/>
                <w:szCs w:val="20"/>
                <w:color w:val="auto"/>
              </w:rPr>
            </w:pPr>
            <w:r>
              <w:rPr>
                <w:rFonts w:ascii="Arial" w:cs="Arial" w:eastAsia="Arial" w:hAnsi="Arial"/>
                <w:sz w:val="16"/>
                <w:szCs w:val="16"/>
                <w:color w:val="auto"/>
              </w:rPr>
              <w:t>Presentation materials for July 21, 2016 conference call</w:t>
            </w:r>
          </w:p>
        </w:tc>
      </w:tr>
    </w:tbl>
    <w:p>
      <w:pPr>
        <w:sectPr>
          <w:pgSz w:w="11900" w:h="16838" w:orient="portrait"/>
          <w:cols w:equalWidth="0" w:num="1">
            <w:col w:w="11440"/>
          </w:cols>
          <w:pgMar w:left="240" w:top="91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57275" cy="58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7275" cy="58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0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Mike Van Handel</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+1.414.906.6305</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michael.vanhandel@manpowergroup.com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2</w:t>
      </w:r>
      <w:r>
        <w:rPr>
          <w:rFonts w:ascii="Arial" w:cs="Arial" w:eastAsia="Arial" w:hAnsi="Arial"/>
          <w:sz w:val="25"/>
          <w:szCs w:val="25"/>
          <w:b w:val="1"/>
          <w:bCs w:val="1"/>
          <w:color w:val="auto"/>
          <w:vertAlign w:val="superscript"/>
        </w:rPr>
        <w:t>nd</w:t>
      </w:r>
      <w:r>
        <w:rPr>
          <w:rFonts w:ascii="Arial" w:cs="Arial" w:eastAsia="Arial" w:hAnsi="Arial"/>
          <w:sz w:val="19"/>
          <w:szCs w:val="19"/>
          <w:b w:val="1"/>
          <w:bCs w:val="1"/>
          <w:color w:val="auto"/>
        </w:rPr>
        <w:t xml:space="preserve"> Quarter and First Half 2016 Results</w:t>
      </w:r>
    </w:p>
    <w:p>
      <w:pPr>
        <w:spacing w:after="0" w:line="175" w:lineRule="exact"/>
        <w:rPr>
          <w:sz w:val="20"/>
          <w:szCs w:val="20"/>
          <w:color w:val="auto"/>
        </w:rPr>
      </w:pPr>
    </w:p>
    <w:p>
      <w:pPr>
        <w:ind w:right="20"/>
        <w:spacing w:after="0" w:line="358" w:lineRule="auto"/>
        <w:rPr>
          <w:sz w:val="20"/>
          <w:szCs w:val="20"/>
          <w:color w:val="auto"/>
        </w:rPr>
      </w:pPr>
      <w:r>
        <w:rPr>
          <w:rFonts w:ascii="Arial" w:cs="Arial" w:eastAsia="Arial" w:hAnsi="Arial"/>
          <w:sz w:val="18"/>
          <w:szCs w:val="18"/>
          <w:b w:val="1"/>
          <w:bCs w:val="1"/>
          <w:color w:val="auto"/>
        </w:rPr>
        <w:t xml:space="preserve">MILWAUKEE, July 21, 2016 -- </w:t>
      </w:r>
      <w:r>
        <w:rPr>
          <w:rFonts w:ascii="Arial" w:cs="Arial" w:eastAsia="Arial" w:hAnsi="Arial"/>
          <w:sz w:val="18"/>
          <w:szCs w:val="18"/>
          <w:color w:val="auto"/>
        </w:rPr>
        <w:t>ManpowerGroup (NYSE: MAN) today reported that net earnings for the three months ended June 30, 2016 were</w:t>
      </w:r>
      <w:r>
        <w:rPr>
          <w:rFonts w:ascii="Arial" w:cs="Arial" w:eastAsia="Arial" w:hAnsi="Arial"/>
          <w:sz w:val="18"/>
          <w:szCs w:val="18"/>
          <w:b w:val="1"/>
          <w:bCs w:val="1"/>
          <w:color w:val="auto"/>
        </w:rPr>
        <w:t xml:space="preserve"> </w:t>
      </w:r>
      <w:r>
        <w:rPr>
          <w:rFonts w:ascii="Arial" w:cs="Arial" w:eastAsia="Arial" w:hAnsi="Arial"/>
          <w:sz w:val="18"/>
          <w:szCs w:val="18"/>
          <w:color w:val="auto"/>
        </w:rPr>
        <w:t>$115.4 million, or $1.60 per diluted share compared to net earnings of $105.7 million, or $1.33 per diluted share in the prior year period. Revenues for the second quarter were $5.0 billion, an increase of 3% from the prior year period.</w:t>
      </w:r>
    </w:p>
    <w:p>
      <w:pPr>
        <w:ind w:right="180" w:firstLine="579"/>
        <w:spacing w:after="0" w:line="349" w:lineRule="auto"/>
        <w:rPr>
          <w:sz w:val="20"/>
          <w:szCs w:val="20"/>
          <w:color w:val="auto"/>
        </w:rPr>
      </w:pPr>
      <w:r>
        <w:rPr>
          <w:rFonts w:ascii="Arial" w:cs="Arial" w:eastAsia="Arial" w:hAnsi="Arial"/>
          <w:sz w:val="18"/>
          <w:szCs w:val="18"/>
          <w:color w:val="auto"/>
        </w:rPr>
        <w:t>Financial results in the quarter were impacted by the stronger U.S. dollar relative to several foreign currencies compared to the prior year period. On a constant currency basis, revenues increased 5% and earnings per share increased 22%. Earnings per share in the quarter were negatively impacted 2 cents by changes in the foreign currencies compared to the prior year.</w:t>
      </w:r>
    </w:p>
    <w:p>
      <w:pPr>
        <w:spacing w:after="0" w:line="2" w:lineRule="exact"/>
        <w:rPr>
          <w:sz w:val="20"/>
          <w:szCs w:val="20"/>
          <w:color w:val="auto"/>
        </w:rPr>
      </w:pPr>
    </w:p>
    <w:p>
      <w:pPr>
        <w:ind w:right="120" w:firstLine="579"/>
        <w:spacing w:after="0" w:line="349" w:lineRule="auto"/>
        <w:rPr>
          <w:sz w:val="20"/>
          <w:szCs w:val="20"/>
          <w:color w:val="auto"/>
        </w:rPr>
      </w:pPr>
      <w:r>
        <w:rPr>
          <w:rFonts w:ascii="Arial" w:cs="Arial" w:eastAsia="Arial" w:hAnsi="Arial"/>
          <w:sz w:val="18"/>
          <w:szCs w:val="18"/>
          <w:color w:val="auto"/>
        </w:rPr>
        <w:t>ManpowerGroup Chairman &amp; CEO Jonas Prising said, “We are pleased with our second quarter results, contributing to a good first half of 2016. We were able to deliver solid results despite a softening and more uncertain global economic growth environment.</w:t>
      </w:r>
    </w:p>
    <w:p>
      <w:pPr>
        <w:spacing w:after="0" w:line="1" w:lineRule="exact"/>
        <w:rPr>
          <w:sz w:val="20"/>
          <w:szCs w:val="20"/>
          <w:color w:val="auto"/>
        </w:rPr>
      </w:pPr>
    </w:p>
    <w:p>
      <w:pPr>
        <w:ind w:right="40" w:firstLine="555"/>
        <w:spacing w:after="0" w:line="349" w:lineRule="auto"/>
        <w:rPr>
          <w:sz w:val="20"/>
          <w:szCs w:val="20"/>
          <w:color w:val="auto"/>
        </w:rPr>
      </w:pPr>
      <w:r>
        <w:rPr>
          <w:rFonts w:ascii="Arial" w:cs="Arial" w:eastAsia="Arial" w:hAnsi="Arial"/>
          <w:sz w:val="18"/>
          <w:szCs w:val="18"/>
          <w:color w:val="auto"/>
        </w:rPr>
        <w:t>“Many organizations are looking for a trusted partner such as ManpowerGroup to help them adjust to the new normal of certain uncertainty. Our global presence and broad range of services and solutions makes us very well positioned to provide workforce solutions to our clients throughout the world.</w:t>
      </w:r>
    </w:p>
    <w:p>
      <w:pPr>
        <w:spacing w:after="0" w:line="2" w:lineRule="exact"/>
        <w:rPr>
          <w:sz w:val="20"/>
          <w:szCs w:val="20"/>
          <w:color w:val="auto"/>
        </w:rPr>
      </w:pPr>
    </w:p>
    <w:p>
      <w:pPr>
        <w:ind w:right="160" w:firstLine="579"/>
        <w:spacing w:after="0" w:line="349" w:lineRule="auto"/>
        <w:rPr>
          <w:sz w:val="20"/>
          <w:szCs w:val="20"/>
          <w:color w:val="auto"/>
        </w:rPr>
      </w:pPr>
      <w:r>
        <w:rPr>
          <w:rFonts w:ascii="Arial" w:cs="Arial" w:eastAsia="Arial" w:hAnsi="Arial"/>
          <w:sz w:val="18"/>
          <w:szCs w:val="18"/>
          <w:color w:val="auto"/>
        </w:rPr>
        <w:t>“We are anticipating the third quarter of 2016 diluted earnings per share to be in the range of $1.66 to $1.74, which includes an estimated unfavorable currency impact of 3 cents,” Prising stated.</w:t>
      </w:r>
    </w:p>
    <w:p>
      <w:pPr>
        <w:spacing w:after="0" w:line="1" w:lineRule="exact"/>
        <w:rPr>
          <w:sz w:val="20"/>
          <w:szCs w:val="20"/>
          <w:color w:val="auto"/>
        </w:rPr>
      </w:pPr>
    </w:p>
    <w:p>
      <w:pPr>
        <w:ind w:right="20" w:firstLine="579"/>
        <w:spacing w:after="0" w:line="370" w:lineRule="auto"/>
        <w:rPr>
          <w:sz w:val="20"/>
          <w:szCs w:val="20"/>
          <w:color w:val="auto"/>
        </w:rPr>
      </w:pPr>
      <w:r>
        <w:rPr>
          <w:rFonts w:ascii="Arial" w:cs="Arial" w:eastAsia="Arial" w:hAnsi="Arial"/>
          <w:sz w:val="17"/>
          <w:szCs w:val="17"/>
          <w:color w:val="auto"/>
        </w:rPr>
        <w:t>Net earnings for the six months ended June 30, 2016 were $187.1 million, or $2.57 per diluted share compared to net earnings of $171.4 million, or $2.16 per diluted share in the prior year. Revenues for the six-month period were $9.6 billion, an increase of 2% from the prior year or an increase of 5% in constant currency. Foreign currency exchange rates had an unfavorable impact of 5 cents per share for the six-month period.</w:t>
      </w:r>
    </w:p>
    <w:p>
      <w:pPr>
        <w:spacing w:after="0" w:line="1" w:lineRule="exact"/>
        <w:rPr>
          <w:sz w:val="20"/>
          <w:szCs w:val="20"/>
          <w:color w:val="auto"/>
        </w:rPr>
      </w:pPr>
    </w:p>
    <w:p>
      <w:pPr>
        <w:ind w:right="40" w:firstLine="579"/>
        <w:spacing w:after="0" w:line="355" w:lineRule="auto"/>
        <w:rPr>
          <w:sz w:val="20"/>
          <w:szCs w:val="20"/>
          <w:color w:val="auto"/>
        </w:rPr>
      </w:pPr>
      <w:r>
        <w:rPr>
          <w:rFonts w:ascii="Arial" w:cs="Arial" w:eastAsia="Arial" w:hAnsi="Arial"/>
          <w:sz w:val="18"/>
          <w:szCs w:val="18"/>
          <w:color w:val="auto"/>
        </w:rPr>
        <w:t>In conjunction with its second quarter earnings release, ManpowerGroup will broadcast its conference call live over the Internet on July 21, 2016 at 7:30 a.m. CDT (8:30 a.m. EDT). Interested</w:t>
      </w:r>
    </w:p>
    <w:p>
      <w:pPr>
        <w:sectPr>
          <w:pgSz w:w="11900" w:h="16838" w:orient="portrait"/>
          <w:cols w:equalWidth="0" w:num="1">
            <w:col w:w="11440"/>
          </w:cols>
          <w:pgMar w:left="240" w:top="533" w:right="219" w:bottom="1440" w:gutter="0" w:footer="0" w:header="0"/>
        </w:sectPr>
      </w:pPr>
    </w:p>
    <w:bookmarkStart w:id="5" w:name="page6"/>
    <w:bookmarkEnd w:id="5"/>
    <w:p>
      <w:pPr>
        <w:spacing w:after="0" w:line="349" w:lineRule="auto"/>
        <w:rPr>
          <w:sz w:val="20"/>
          <w:szCs w:val="20"/>
          <w:color w:val="auto"/>
        </w:rPr>
      </w:pPr>
      <w:r>
        <w:rPr>
          <w:rFonts w:ascii="Arial" w:cs="Arial" w:eastAsia="Arial" w:hAnsi="Arial"/>
          <w:sz w:val="18"/>
          <w:szCs w:val="18"/>
          <w:color w:val="auto"/>
        </w:rPr>
        <w:t xml:space="preserve">parties are invited to listen to the webcast and view the presentation by logging on to </w:t>
      </w:r>
      <w:r>
        <w:rPr>
          <w:rFonts w:ascii="Arial" w:cs="Arial" w:eastAsia="Arial" w:hAnsi="Arial"/>
          <w:sz w:val="18"/>
          <w:szCs w:val="18"/>
          <w:u w:val="single" w:color="auto"/>
          <w:color w:val="0000FF"/>
        </w:rPr>
        <w:t>http://www.manpowergroup.com</w:t>
      </w:r>
      <w:r>
        <w:rPr>
          <w:rFonts w:ascii="Arial" w:cs="Arial" w:eastAsia="Arial" w:hAnsi="Arial"/>
          <w:sz w:val="18"/>
          <w:szCs w:val="18"/>
          <w:color w:val="auto"/>
        </w:rPr>
        <w:t xml:space="preserve"> in the section titled “Investor Relations.”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http://www.manpowergroup.com</w:t>
      </w:r>
      <w:r>
        <w:rPr>
          <w:rFonts w:ascii="Arial" w:cs="Arial" w:eastAsia="Arial" w:hAnsi="Arial"/>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 xml:space="preserve">ManpowerGroup® (NYSE: MAN) is the world’s workforce expert, creating innovative workforce solutions for nearly 70 years. As workforce experts,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2016, ManpowerGroup was named one of the World’s Most Ethical Companies for the sixth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0000FF"/>
        </w:rPr>
        <w:t>www.manpowergroup.com</w:t>
      </w:r>
      <w:r>
        <w:rPr>
          <w:rFonts w:ascii="Arial" w:cs="Arial" w:eastAsia="Arial" w:hAnsi="Arial"/>
          <w:sz w:val="16"/>
          <w:szCs w:val="16"/>
          <w:color w:val="auto"/>
        </w:rPr>
        <w:t>.</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6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2015, which information is incorporated herein by reference.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595"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w w:val="98"/>
              </w:rPr>
              <w:t>Three Months Ended June 30</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Constant</w:t>
            </w:r>
          </w:p>
        </w:tc>
      </w:tr>
      <w:tr>
        <w:trPr>
          <w:trHeight w:val="24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2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1"/>
              </w:rPr>
              <w:t>Currency</w:t>
            </w: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5,022.1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4,861.3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4,161.4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4,030.7</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3.2 %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830.6</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3.6 %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651.9</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2.0 %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178.7</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43.7 %</w:t>
            </w:r>
          </w:p>
        </w:tc>
        <w:tc>
          <w:tcPr>
            <w:tcW w:w="1040" w:type="dxa"/>
            <w:vAlign w:val="bottom"/>
            <w:tcBorders>
              <w:bottom w:val="single" w:sz="8" w:color="CCEEFF"/>
            </w:tcBorders>
          </w:tcPr>
          <w:p>
            <w:pPr>
              <w:spacing w:after="0"/>
              <w:rPr>
                <w:sz w:val="21"/>
                <w:szCs w:val="21"/>
                <w:color w:val="auto"/>
              </w:rPr>
            </w:pP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171.5</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65.8</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6.9 %</w:t>
            </w:r>
          </w:p>
        </w:tc>
        <w:tc>
          <w:tcPr>
            <w:tcW w:w="1040" w:type="dxa"/>
            <w:vAlign w:val="bottom"/>
            <w:tcBorders>
              <w:bottom w:val="single" w:sz="8" w:color="CCEEFF"/>
            </w:tcBorders>
          </w:tcPr>
          <w:p>
            <w:pPr>
              <w:spacing w:after="0"/>
              <w:rPr>
                <w:sz w:val="21"/>
                <w:szCs w:val="21"/>
                <w:color w:val="auto"/>
              </w:rPr>
            </w:pPr>
          </w:p>
        </w:tc>
      </w:tr>
      <w:tr>
        <w:trPr>
          <w:trHeight w:val="235"/>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105.7</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19.3 %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20.3 %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78.3</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-8.7 %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-8.9 %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60" w:firstLine="2"/>
        <w:spacing w:after="0" w:line="265"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$5.7 million and $6.0 million for the three months ended June 30, 2016 and 2015, respectively. These fees are primarily based on revenues generated by the franchise offices, which were $261.2 million and $276.3 million for the three months ended June 30, 2016 and 2015, respectively.</w:t>
      </w:r>
    </w:p>
    <w:p>
      <w:pPr>
        <w:sectPr>
          <w:pgSz w:w="11900" w:h="16838" w:orient="portrait"/>
          <w:cols w:equalWidth="0" w:num="1">
            <w:col w:w="11260"/>
          </w:cols>
          <w:pgMar w:left="420" w:top="679"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w w:val="98"/>
              </w:rPr>
              <w:t>Three Months Ended June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762.6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355.7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368.1</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14.2 %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1,130.7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1,252.2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1,202.6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299.8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319.3</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-6.1 %</w:t>
            </w:r>
          </w:p>
        </w:tc>
        <w:tc>
          <w:tcPr>
            <w:tcW w:w="106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348.1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1,931.4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1,870.0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1,231.8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556.6</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10.4 %</w:t>
            </w:r>
          </w:p>
        </w:tc>
        <w:tc>
          <w:tcPr>
            <w:tcW w:w="106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5,022.1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4,861.3</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-4.6 %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11.8 %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19.8</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15.0 %</w:t>
            </w:r>
          </w:p>
        </w:tc>
        <w:tc>
          <w:tcPr>
            <w:tcW w:w="1060" w:type="dxa"/>
            <w:vAlign w:val="bottom"/>
          </w:tcPr>
          <w:p>
            <w:pPr>
              <w:jc w:val="right"/>
              <w:spacing w:after="0"/>
              <w:rPr>
                <w:sz w:val="20"/>
                <w:szCs w:val="20"/>
                <w:color w:val="auto"/>
              </w:rPr>
            </w:pPr>
            <w:r>
              <w:rPr>
                <w:rFonts w:ascii="Arial" w:cs="Arial" w:eastAsia="Arial" w:hAnsi="Arial"/>
                <w:sz w:val="16"/>
                <w:szCs w:val="16"/>
                <w:color w:val="auto"/>
              </w:rPr>
              <w:t>13.0 %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49.0 %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94.7</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8.0 %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6.1 %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18.5</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20.7 %</w:t>
            </w:r>
          </w:p>
        </w:tc>
        <w:tc>
          <w:tcPr>
            <w:tcW w:w="1060" w:type="dxa"/>
            <w:vAlign w:val="bottom"/>
          </w:tcPr>
          <w:p>
            <w:pPr>
              <w:jc w:val="right"/>
              <w:spacing w:after="0"/>
              <w:rPr>
                <w:sz w:val="20"/>
                <w:szCs w:val="20"/>
                <w:color w:val="auto"/>
              </w:rPr>
            </w:pPr>
            <w:r>
              <w:rPr>
                <w:rFonts w:ascii="Arial" w:cs="Arial" w:eastAsia="Arial" w:hAnsi="Arial"/>
                <w:sz w:val="16"/>
                <w:szCs w:val="16"/>
                <w:color w:val="auto"/>
              </w:rPr>
              <w:t>19.0 %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215.2</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171.5</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left="20" w:right="260" w:hanging="9"/>
        <w:spacing w:after="0" w:line="265"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$3.6 million and $3.9 million for the three months ended June 30, 2016 and 2015, respectively. These fees are primarily based on revenues generated by the franchise offices, which were $170.9 million and $184.6 million for the three months ended June 30, 2016 and 2015,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100" w:type="dxa"/>
            <w:vAlign w:val="bottom"/>
            <w:tcBorders>
              <w:bottom w:val="single" w:sz="8" w:color="CCEEFF"/>
            </w:tcBorders>
            <w:gridSpan w:val="2"/>
            <w:shd w:val="clear" w:color="auto" w:fill="CCEEFF"/>
          </w:tcPr>
          <w:p>
            <w:pPr>
              <w:jc w:val="right"/>
              <w:ind w:right="3180"/>
              <w:spacing w:after="0"/>
              <w:rPr>
                <w:sz w:val="20"/>
                <w:szCs w:val="20"/>
                <w:color w:val="auto"/>
              </w:rPr>
            </w:pPr>
            <w:r>
              <w:rPr>
                <w:rFonts w:ascii="Arial" w:cs="Arial" w:eastAsia="Arial" w:hAnsi="Arial"/>
                <w:sz w:val="16"/>
                <w:szCs w:val="16"/>
                <w:color w:val="auto"/>
              </w:rPr>
              <w:t>—</w:t>
            </w: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 (income),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rPr>
              <w:t>Six Months Ended June 30</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2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2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00" w:type="dxa"/>
            <w:vAlign w:val="bottom"/>
          </w:tcPr>
          <w:p>
            <w:pPr>
              <w:jc w:val="right"/>
              <w:ind w:right="78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28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9,609.8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9,403.5</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7,975.3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7,810.9</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2.1 %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1,634.5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1,592.6</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2.6 %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1,306.8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1,291.1</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1.2 %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301.5</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17.8</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29.0 %</w:t>
            </w:r>
          </w:p>
        </w:tc>
        <w:tc>
          <w:tcPr>
            <w:tcW w:w="104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283.7</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7.4 %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112.3</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4.8 %</w:t>
            </w:r>
          </w:p>
        </w:tc>
        <w:tc>
          <w:tcPr>
            <w:tcW w:w="104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171.4</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2.18</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18.8 %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2.16</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19.0 %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78.5</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-8.1 %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79.5</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-8.3 %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20" w:hanging="9"/>
        <w:spacing w:after="0" w:line="265"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$10.9 million and $11.5 million for the six months ended June 30, 2016 and 2015, respectively. These fees are primarily based on revenues generated by the franchise offices, which were $489.0 million and $526.2 million for the six months ended June 30, 2016 and 2015, respectively.</w:t>
      </w:r>
    </w:p>
    <w:p>
      <w:pPr>
        <w:sectPr>
          <w:pgSz w:w="11900" w:h="16838" w:orient="portrait"/>
          <w:cols w:equalWidth="0" w:num="1">
            <w:col w:w="11240"/>
          </w:cols>
          <w:pgMar w:left="340" w:top="679"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840"/>
              <w:spacing w:after="0"/>
              <w:rPr>
                <w:sz w:val="20"/>
                <w:szCs w:val="20"/>
                <w:color w:val="auto"/>
              </w:rPr>
            </w:pPr>
            <w:r>
              <w:rPr>
                <w:rFonts w:ascii="Arial" w:cs="Arial" w:eastAsia="Arial" w:hAnsi="Arial"/>
                <w:sz w:val="16"/>
                <w:szCs w:val="16"/>
                <w:b w:val="1"/>
                <w:bCs w:val="1"/>
                <w:color w:val="auto"/>
              </w:rPr>
              <w:t>Six Months Ended June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1,428.4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1,487.7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698.5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727.4</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-4.0 %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16.4 %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2,126.9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2,215.1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2,331.0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2,243.4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562.9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589.4</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-4.5 %</w:t>
            </w:r>
          </w:p>
        </w:tc>
        <w:tc>
          <w:tcPr>
            <w:tcW w:w="106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679.9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3,619.1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3,512.7</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2,536.2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2,449.5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1,190.8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1,089.7</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9.3 %</w:t>
            </w:r>
          </w:p>
        </w:tc>
        <w:tc>
          <w:tcPr>
            <w:tcW w:w="1060" w:type="dxa"/>
            <w:vAlign w:val="bottom"/>
          </w:tcPr>
          <w:p>
            <w:pPr>
              <w:jc w:val="right"/>
              <w:spacing w:after="0"/>
              <w:rPr>
                <w:sz w:val="20"/>
                <w:szCs w:val="20"/>
                <w:color w:val="auto"/>
              </w:rPr>
            </w:pPr>
            <w:r>
              <w:rPr>
                <w:rFonts w:ascii="Arial" w:cs="Arial" w:eastAsia="Arial" w:hAnsi="Arial"/>
                <w:sz w:val="16"/>
                <w:szCs w:val="16"/>
                <w:color w:val="auto"/>
              </w:rPr>
              <w:t>10.8 %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9,609.8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9,403.5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2.2 %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27.3</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-6.7 %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12.3 %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86.4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33.8</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15.2 %</w:t>
            </w:r>
          </w:p>
        </w:tc>
        <w:tc>
          <w:tcPr>
            <w:tcW w:w="1060" w:type="dxa"/>
            <w:vAlign w:val="bottom"/>
          </w:tcPr>
          <w:p>
            <w:pPr>
              <w:jc w:val="right"/>
              <w:spacing w:after="0"/>
              <w:rPr>
                <w:sz w:val="20"/>
                <w:szCs w:val="20"/>
                <w:color w:val="auto"/>
              </w:rPr>
            </w:pPr>
            <w:r>
              <w:rPr>
                <w:rFonts w:ascii="Arial" w:cs="Arial" w:eastAsia="Arial" w:hAnsi="Arial"/>
                <w:sz w:val="16"/>
                <w:szCs w:val="16"/>
                <w:color w:val="auto"/>
              </w:rPr>
              <w:t>14.5 %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27.0 %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174.0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167.0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4.2 %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37.3</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11.5 %</w:t>
            </w:r>
          </w:p>
        </w:tc>
        <w:tc>
          <w:tcPr>
            <w:tcW w:w="1060" w:type="dxa"/>
            <w:vAlign w:val="bottom"/>
          </w:tcPr>
          <w:p>
            <w:pPr>
              <w:jc w:val="right"/>
              <w:spacing w:after="0"/>
              <w:rPr>
                <w:sz w:val="20"/>
                <w:szCs w:val="20"/>
                <w:color w:val="auto"/>
              </w:rPr>
            </w:pPr>
            <w:r>
              <w:rPr>
                <w:rFonts w:ascii="Arial" w:cs="Arial" w:eastAsia="Arial" w:hAnsi="Arial"/>
                <w:sz w:val="16"/>
                <w:szCs w:val="16"/>
                <w:color w:val="auto"/>
              </w:rPr>
              <w:t>12.4 %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38.4 %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398.0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372.1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301.5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283.7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120" w:hanging="9"/>
        <w:spacing w:after="0" w:line="265"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$7.0 million and $7.3 million for the six months ended June 30, 2016 and 2015, respectively. These fees are primarily based on revenues generated by the franchise offices, which were $331.7 million and $353.3 million for the six months ended June 30, 2016 and 2015,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losses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 30</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Arial" w:cs="Arial" w:eastAsia="Arial" w:hAnsi="Arial"/>
                <w:sz w:val="16"/>
                <w:szCs w:val="16"/>
                <w:b w:val="1"/>
                <w:bCs w:val="1"/>
                <w:color w:val="auto"/>
                <w:w w:val="89"/>
              </w:rPr>
              <w:t>Dec. 31</w:t>
            </w: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2015</w:t>
            </w: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4,462.3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4,243.0</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119.0</w:t>
            </w: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5,116.5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5,092.5</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1,272.3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1,257.4</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326.5</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648.5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694.0</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2,277.9</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46290" cy="153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3035"/>
                    </a:xfrm>
                    <a:prstGeom prst="rect">
                      <a:avLst/>
                    </a:prstGeom>
                    <a:noFill/>
                  </pic:spPr>
                </pic:pic>
              </a:graphicData>
            </a:graphic>
          </wp:anchor>
        </w:drawing>
      </w:r>
    </w:p>
    <w:p>
      <w:pPr>
        <w:sectPr>
          <w:pgSz w:w="11900" w:h="16838" w:orient="portrait"/>
          <w:cols w:equalWidth="0" w:num="1">
            <w:col w:w="11240"/>
          </w:cols>
          <w:pgMar w:left="340" w:top="679" w:right="319" w:bottom="1440" w:gutter="0" w:footer="0" w:header="0"/>
        </w:sectPr>
      </w:pP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Land, buildings, leasehold improvements and equipment</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property and equipment</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606.3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585.4</w:t>
            </w:r>
          </w:p>
        </w:tc>
      </w:tr>
      <w:tr>
        <w:trPr>
          <w:trHeight w:val="241"/>
        </w:trPr>
        <w:tc>
          <w:tcPr>
            <w:tcW w:w="3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452.9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438.3</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147.1</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7,506.0</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38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940" w:space="720"/>
            <w:col w:w="2580"/>
          </w:cols>
          <w:pgMar w:left="340" w:top="679"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LIABILITIES AND SHAREHOLDERS' EQUITY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1,659.2</w:t>
            </w: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Employee compensation payable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211.4</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483.7</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Accrued payroll taxes and insurance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592.3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613.8</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Short-term borrowings and current maturities of long-term debt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44.2</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3,451.0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810.9</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586.0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563.1</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1,374.0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ManpowerGroup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in excess of par value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3,186.7</w:t>
            </w: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2,092.3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1,966.0</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(286.0)</w:t>
            </w:r>
          </w:p>
        </w:tc>
      </w:tr>
      <w:tr>
        <w:trPr>
          <w:trHeight w:val="245"/>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Treasury stock, at cost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(2,243.2)</w:t>
            </w:r>
          </w:p>
        </w:tc>
      </w:tr>
      <w:tr>
        <w:trPr>
          <w:trHeight w:val="245"/>
        </w:trPr>
        <w:tc>
          <w:tcPr>
            <w:tcW w:w="8660" w:type="dxa"/>
            <w:vAlign w:val="bottom"/>
            <w:tcBorders>
              <w:bottom w:val="single" w:sz="8" w:color="CCEEFF"/>
            </w:tcBorders>
            <w:shd w:val="clear" w:color="auto" w:fill="CCEEFF"/>
          </w:tcPr>
          <w:p>
            <w:pPr>
              <w:jc w:val="right"/>
              <w:ind w:right="5460"/>
              <w:spacing w:after="0"/>
              <w:rPr>
                <w:sz w:val="20"/>
                <w:szCs w:val="20"/>
                <w:color w:val="auto"/>
              </w:rPr>
            </w:pPr>
            <w:r>
              <w:rPr>
                <w:rFonts w:ascii="Arial" w:cs="Arial" w:eastAsia="Arial" w:hAnsi="Arial"/>
                <w:sz w:val="16"/>
                <w:szCs w:val="16"/>
                <w:color w:val="auto"/>
              </w:rPr>
              <w:t>Total ManpowerGroup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2,624.7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67.8</w:t>
            </w:r>
          </w:p>
        </w:tc>
      </w:tr>
      <w:tr>
        <w:trPr>
          <w:trHeight w:val="245"/>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2,692.5</w:t>
            </w:r>
          </w:p>
        </w:tc>
      </w:tr>
      <w:tr>
        <w:trPr>
          <w:trHeight w:val="235"/>
        </w:trPr>
        <w:tc>
          <w:tcPr>
            <w:tcW w:w="8660" w:type="dxa"/>
            <w:vAlign w:val="bottom"/>
          </w:tcPr>
          <w:p>
            <w:pPr>
              <w:jc w:val="right"/>
              <w:ind w:right="5440"/>
              <w:spacing w:after="0"/>
              <w:rPr>
                <w:sz w:val="20"/>
                <w:szCs w:val="20"/>
                <w:color w:val="auto"/>
              </w:rPr>
            </w:pPr>
            <w:r>
              <w:rPr>
                <w:rFonts w:ascii="Arial" w:cs="Arial" w:eastAsia="Arial" w:hAnsi="Arial"/>
                <w:sz w:val="16"/>
                <w:szCs w:val="16"/>
                <w:color w:val="auto"/>
              </w:rPr>
              <w:t>Total liabilities and shareholders' equity</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7,506.0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7,517.5</w:t>
            </w:r>
          </w:p>
        </w:tc>
      </w:tr>
      <w:tr>
        <w:trPr>
          <w:trHeight w:val="20"/>
        </w:trPr>
        <w:tc>
          <w:tcPr>
            <w:tcW w:w="8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Six Months Ended</w:t>
            </w: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center"/>
              <w:ind w:left="480"/>
              <w:spacing w:after="0"/>
              <w:rPr>
                <w:sz w:val="20"/>
                <w:szCs w:val="20"/>
                <w:color w:val="auto"/>
              </w:rPr>
            </w:pPr>
            <w:r>
              <w:rPr>
                <w:rFonts w:ascii="Arial" w:cs="Arial" w:eastAsia="Arial" w:hAnsi="Arial"/>
                <w:sz w:val="16"/>
                <w:szCs w:val="16"/>
                <w:b w:val="1"/>
                <w:bCs w:val="1"/>
                <w:color w:val="auto"/>
                <w:w w:val="87"/>
              </w:rPr>
              <w:t>June 30</w:t>
            </w:r>
          </w:p>
        </w:tc>
        <w:tc>
          <w:tcPr>
            <w:tcW w:w="84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380"/>
              <w:spacing w:after="0"/>
              <w:rPr>
                <w:sz w:val="20"/>
                <w:szCs w:val="20"/>
                <w:color w:val="auto"/>
              </w:rPr>
            </w:pPr>
            <w:r>
              <w:rPr>
                <w:rFonts w:ascii="Arial" w:cs="Arial" w:eastAsia="Arial" w:hAnsi="Arial"/>
                <w:sz w:val="16"/>
                <w:szCs w:val="16"/>
                <w:b w:val="1"/>
                <w:bCs w:val="1"/>
                <w:color w:val="auto"/>
              </w:rPr>
              <w:t>2015</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left="500"/>
              <w:spacing w:after="0"/>
              <w:rPr>
                <w:sz w:val="20"/>
                <w:szCs w:val="20"/>
                <w:color w:val="auto"/>
              </w:rPr>
            </w:pPr>
            <w:r>
              <w:rPr>
                <w:rFonts w:ascii="Arial" w:cs="Arial" w:eastAsia="Arial" w:hAnsi="Arial"/>
                <w:sz w:val="16"/>
                <w:szCs w:val="16"/>
                <w:color w:val="auto"/>
                <w:w w:val="93"/>
              </w:rPr>
              <w:t>(Unaudited)</w:t>
            </w: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171.4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37.6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9.0</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Excess tax benefit on exercise of share-based awards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(280.1)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135.4</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38.8</w:t>
            </w:r>
          </w:p>
        </w:tc>
      </w:tr>
      <w:tr>
        <w:trPr>
          <w:trHeight w:val="20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7"/>
        </w:trPr>
        <w:tc>
          <w:tcPr>
            <w:tcW w:w="8800" w:type="dxa"/>
            <w:vAlign w:val="bottom"/>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investments,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change in short-term borrowings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of contingent consideration for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Proceeds from share-based awards and other equity transactions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29.1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share-based award transactions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(168.7)</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699.2</w:t>
            </w:r>
          </w:p>
        </w:tc>
      </w:tr>
      <w:tr>
        <w:trPr>
          <w:trHeight w:val="235"/>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546.3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465.9</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9"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2019-12-05T23:26:14Z</dcterms:created>
  <dcterms:modified xsi:type="dcterms:W3CDTF">2019-12-05T23:26:14Z</dcterms:modified>
</cp:coreProperties>
</file>