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460" w:right="240" w:hanging="452"/>
        <w:spacing w:after="0" w:line="275"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2004</w:t>
      </w:r>
    </w:p>
    <w:p>
      <w:pPr>
        <w:spacing w:after="0" w:line="11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4640" w:right="1840" w:hanging="4632"/>
        <w:spacing w:after="0" w:line="447" w:lineRule="auto"/>
        <w:tabs>
          <w:tab w:leader="none" w:pos="44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Commission File No. 1-10686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2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98"/>
              </w:rPr>
              <w:t>WISCONSIN</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39-1672779</w:t>
            </w:r>
          </w:p>
        </w:tc>
      </w:tr>
      <w:tr>
        <w:trPr>
          <w:trHeight w:val="149"/>
        </w:trPr>
        <w:tc>
          <w:tcPr>
            <w:tcW w:w="4660" w:type="dxa"/>
            <w:vAlign w:val="bottom"/>
          </w:tcPr>
          <w:p>
            <w:pPr>
              <w:jc w:val="center"/>
              <w:ind w:right="19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2"/>
              <w:spacing w:after="0"/>
              <w:rPr>
                <w:sz w:val="20"/>
                <w:szCs w:val="20"/>
                <w:color w:val="auto"/>
              </w:rPr>
            </w:pPr>
            <w:r>
              <w:rPr>
                <w:rFonts w:ascii="Arial" w:cs="Arial" w:eastAsia="Arial" w:hAnsi="Arial"/>
                <w:sz w:val="14"/>
                <w:szCs w:val="14"/>
                <w:b w:val="1"/>
                <w:bCs w:val="1"/>
                <w:color w:val="auto"/>
                <w:w w:val="88"/>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97"/>
              </w:rPr>
              <w:t>5301 NORTH IRONWOOD ROAD</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98"/>
              </w:rPr>
              <w:t>MILWAUKEE, WISCONSIN</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53217</w:t>
            </w:r>
          </w:p>
        </w:tc>
      </w:tr>
      <w:tr>
        <w:trPr>
          <w:trHeight w:val="174"/>
        </w:trPr>
        <w:tc>
          <w:tcPr>
            <w:tcW w:w="4660" w:type="dxa"/>
            <w:vAlign w:val="bottom"/>
          </w:tcPr>
          <w:p>
            <w:pPr>
              <w:jc w:val="center"/>
              <w:ind w:right="19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 (414) 961-1000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7"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Name of Exchange on</w:t>
            </w:r>
          </w:p>
        </w:tc>
      </w:tr>
      <w:tr>
        <w:trPr>
          <w:trHeight w:val="174"/>
        </w:trPr>
        <w:tc>
          <w:tcPr>
            <w:tcW w:w="480" w:type="dxa"/>
            <w:vAlign w:val="bottom"/>
          </w:tcPr>
          <w:p>
            <w:pPr>
              <w:spacing w:after="0"/>
              <w:rPr>
                <w:sz w:val="15"/>
                <w:szCs w:val="15"/>
                <w:color w:val="auto"/>
              </w:rPr>
            </w:pPr>
          </w:p>
        </w:tc>
        <w:tc>
          <w:tcPr>
            <w:tcW w:w="366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84"/>
              </w:rPr>
              <w:t>Title of each class</w:t>
            </w:r>
          </w:p>
        </w:tc>
        <w:tc>
          <w:tcPr>
            <w:tcW w:w="204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which registered</w:t>
            </w:r>
          </w:p>
        </w:tc>
      </w:tr>
      <w:tr>
        <w:trPr>
          <w:trHeight w:val="95"/>
        </w:trPr>
        <w:tc>
          <w:tcPr>
            <w:tcW w:w="4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316"/>
        </w:trPr>
        <w:tc>
          <w:tcPr>
            <w:tcW w:w="414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w w:val="88"/>
              </w:rPr>
              <w:t>Common Stock, $.01 par value</w:t>
            </w:r>
          </w:p>
        </w:tc>
        <w:tc>
          <w:tcPr>
            <w:tcW w:w="3820" w:type="dxa"/>
            <w:vAlign w:val="bottom"/>
            <w:gridSpan w:val="3"/>
          </w:tcPr>
          <w:p>
            <w:pPr>
              <w:jc w:val="center"/>
              <w:ind w:left="1752"/>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1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p>
      <w:pPr>
        <w:ind w:right="80" w:firstLine="45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220" w:firstLine="456"/>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was $3,988,602,770 as of February 15, 2005. As of February 15, 2005, there were 89,894,135 of the registrant’s shares of common stock outstanding.</w:t>
      </w:r>
    </w:p>
    <w:p>
      <w:pPr>
        <w:spacing w:after="0" w:line="11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4"/>
          <w:szCs w:val="24"/>
          <w:color w:val="auto"/>
        </w:rPr>
      </w:pPr>
    </w:p>
    <w:p>
      <w:pPr>
        <w:ind w:right="420" w:firstLine="456"/>
        <w:spacing w:after="0" w:line="332" w:lineRule="auto"/>
        <w:rPr>
          <w:sz w:val="20"/>
          <w:szCs w:val="20"/>
          <w:color w:val="auto"/>
        </w:rPr>
      </w:pPr>
      <w:r>
        <w:rPr>
          <w:rFonts w:ascii="Arial" w:cs="Arial" w:eastAsia="Arial" w:hAnsi="Arial"/>
          <w:sz w:val="16"/>
          <w:szCs w:val="16"/>
          <w:color w:val="auto"/>
        </w:rPr>
        <w:t>Parts I and II incorporate information by reference from the Annual Report to Shareholders for the fiscal year ended December 31, 2004. Part III is incorporated by reference from the Proxy Statement for the Annual Meeting of Shareholders to be held on April 26,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503"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terms “Manpower,” “we,” “our,” “us,” or “the Company” refer to Manpower Inc. or Manpower Inc. and its consolidated subsidiaries, as appropriate in the context.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Introduction and History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Manpower Inc. is a world leader in the employment services industry. Our global network of over 4,300 offices in 67 countries and territories allows us to meet the needs of our customers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this through the Manpower family of companies which includes:</w:t>
      </w:r>
    </w:p>
    <w:p>
      <w:pPr>
        <w:spacing w:after="0" w:line="7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Manpower - temporary and permanent staffing, employee assessment, and training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Jefferson Wells – professional financial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Right Management Consultants – career transition and organizational consulting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Elan – IT recruitment and managed services</w:t>
      </w:r>
    </w:p>
    <w:p>
      <w:pPr>
        <w:spacing w:after="0" w:line="1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For example, to ensure that customers have the right person – with the right skills – when business demand is high, we offer permanent, temporary and contract recruitment, and employee assessment and training services. We also provide highly specialized professional services, such as internal audit and controls, technology risk management, tax, finance and accounting services. If customers are searching for ways to work “smarter,” we also offer a wide range of organizational consulting services such as strategic talent management and leadership development. On the other hand, if a customer’s business demand is low, we offer career transition (outplacement) services. We also offer managed services if a customer wants to outsource a complete business function with us, such as call center, help desk, recruiting, or manufacturing operations. This balanced business mix allows us to offset the cyclical affects of the national economies in which we operate.</w:t>
      </w:r>
    </w:p>
    <w:p>
      <w:pPr>
        <w:spacing w:after="0" w:line="134"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Our staffing business is organized and managed primarily on a geographic basis, and Jefferson Wells and Right are operated as separate global business units. Each country and business unit primarily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Jefferson Wells; Right; and Other Operations. Due to the nature of our business, we do not have export or intersegment sales. We provide services to a wide variety of customers, none of which individually comprise a significant portion of revenue for us as a whole and by segment, except for Jefferson Wells, in which approximately 19% of Jefferson Wells’ revenues for 2004 was generated from providing services to one customer.</w:t>
      </w:r>
    </w:p>
    <w:p>
      <w:pPr>
        <w:spacing w:after="0" w:line="105"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We have a comprehensive system of assessment/selection, training and quality assurance used by our temporary staffing operations throughout the world. The system has been developed through a combination of internally designed and produced materials and materials purchased from external companies through exclusive contracts. Modifications are made, as necessary, to reflect differences in language, culture and business practices of each region or country.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2" w:name="page3"/>
    <w:bookmarkEnd w:id="2"/>
    <w:p>
      <w:pPr>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were organized in 1991 as a holding company to acquire Manpower PLC, which indirectly owned Manpower International Inc. Manpower International Inc. was our primary operating subsidiary until June 30, 1996, when it was merged into us. The predecessor of Manpower International Inc. was organized in 1948 and its shares were listed on the New York Stock Exchange in 1962.</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 our articles of incorporation, the Manpower Code of Business Conduct and Ethics, our Corporate Governance Guidelines, the charters of the Audit, Executive Compensation and Nominating and Governance Committees of the Board of Directors, guidelines for selecting board candidates, categorical standards for relationships deemed not to impair independence of non-employee directors and policy on services provided by independent auditors. Documents available on the website are also available in print for any shareholder who requests them. We are not including the information contained on or available through our website as a part of, or incorporating such information by reference into, this Annual Report on Form 10-K.</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Our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United States, our operations under the Manpower brand are carried out through both branch and franchise offices. We had 591 branch and 345 franchise offices in the United States as of December 31, 2004. We provide a number of central support services to our branches and franchises, which enable us to maintain consistent service quality throughout the United States regardless of whether an office is a branch or franchise. We provide customer invoicing and payroll processing of our temporary employees for all branch offices and some of our franchise offices through our Milwaukee headquarters.</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7"/>
          <w:szCs w:val="17"/>
          <w:color w:val="auto"/>
        </w:rPr>
        <w:t>Our franchise agreements provide the franchisee with the right to use the Manpower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frequently exercise this right and intend to continue to do so in the future if opportunities arise with appropriate prices and terms.</w:t>
      </w:r>
    </w:p>
    <w:p>
      <w:pPr>
        <w:spacing w:after="0" w:line="13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the United States, our Manpower branch operations provide primarily temporary employment services. During 2004, approximately 30% of our United States temporary staffing revenues were derived from placing office staff, including contact center staff, 48% from placing industrial staff and 22% from placing professional and technical staff.</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also conduct business in the United States under our Jefferson Wells and Right Management Consultants brands. These operations are discussed further in the following sections.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a leading temporary employment service provider in France. We conduct our operations in France and the surrounding region through 1,056 branch offices under the name of Manpower and 71 branch offices under the name Supplay.</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temporary services market in France is predominately industrial. In 2004, we derived approximately 66% of our revenue in France from the supply of industrial staff, 17% from the supply of construction workers and 17% from the supply of office staff.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2004, a new law in France ended the French Job Center’s (ANPE’s) control of the placement of the unemployed. As a result of this law change, temporary staffing companies are allowed to offer placement and recruitment services beginning January 1, 2005. We expect these services will have a long-term benefit on our French business, but will not have a significant impact on 2005 results due to investments required to grow this service line.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Middle East and Africa (excluding France), or EMEA</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leading supplier of human resource services throughout this region and our largest operations are in Germany, Italy, the Netherlands, Norway, Spain, Sweden, and the United Kingdom. Collectively, we operate through 1,414 branch offices and 55 franchise offices in this region. Our franchise offices are primarily located in Switzerland, where we own 49% of the franchise.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Manpower UK, the largest operation in the EMEA segment, is a leading supplier of temporary employment services in the United Kingdom. As of December 31, 2004, Manpower UK conducted operations in the United Kingdom through a network of 121 branch offices and also by providing on-site services to customers who have significant temporary staffing requirements. During 2004, approximately 40% of Manpower UK’s revenues were derived from the supply of office staff, including contact center staff, 33% from the supply of industrial staff, and 27% from the supply of technical staff.</w:t>
      </w:r>
    </w:p>
    <w:p>
      <w:pPr>
        <w:spacing w:after="0" w:line="9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also own Brook Street Bureau PLC, or Brook Street, which operates through a total of 192 branch offices, separate from the Manpower brand. Brook Street is based in the United Kingdom. Its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Portions of Brook Street’s revenues are derived from the placement of permanent staff, however the substantial majority of their revenues are generated from temporary placements.</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Also included in our EMEA operations is Elan, which is a leading IT and technical recruitment staffing firm. In addition to IT and technical recruitment, Elan provides managed service solutions to customers, which enable them to recruit personnel efficiently and achieve ongoing cost savings. Elan provides IT staffing solutions in 16 countries.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2004 approximately 26% of temporary staffing revenues were derived from placing office staff, 40% from placing industrial staff and 34% from placing professional and technical staff.</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also conduct business in EMEA under Jefferson Wells and Right Management Consultants brands. These operations are discussed further in the following sections.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Jefferson Wells provides highly skilled project personnel along three primary business lines – internal audit and controls, technology and risk management, tax and finance and accounting compliance. Our services are provided through 37 offices, which include major United States metropolitan markets, Toronto and London.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Right Management is a leading global provider of career transition services and organizational consulting services operating from approximately 300 offices in 35 countries. During 2004, approximately 65% of Right’s revenues derived from career transition services and 35% from organizational consulting services.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 w:name="page5"/>
    <w:bookmarkEnd w:id="4"/>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Career transition services offer assistance to individuals or groups of employees displaced from employment. Services range from advising employers on severance packages to assisting displaced employees with resume writing, networking and interviewing. Services to displaced employees are provided in individual or group programs. Managerial-level employees generally receive longer-term, individual services, while less-senior employees receive shorter-term, group-based services. Programs frequently begin with the displaced employee receiving counseling immediately after the layoff notification, followed by a combination of classroom training, support services and web-based tools to guide them along the remainder of their career transition process.</w:t>
      </w:r>
    </w:p>
    <w:p>
      <w:pPr>
        <w:spacing w:after="0" w:line="10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While somewhat less common outside of North America, career transition services are prevalent in the United Kingdom and Australia and are becoming more common in continental Europe and Japan.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Organizational consulting services provide assistance in addressing companies’ evolving human capital needs, focusing on assisting organizations in addressing the human side of change. Organizational consultants help companies to build high performance organizations. Organizational consulting services are designed to improve employees’ commitment, skill sets and confidence levels, overall teamwork and leadership development to align the workforce with an organization’s overall business strategy and positively impact the success of the business. Organizational consulting services include a wide range of services centered around assessments, strategic execution, leadership development and strategic talent management. These services also address the need for companies to retain productive human capital and minimize employee turnover, which can otherwise result in lost productivity, lost business, decreased customer satisfaction, decreased morale and lost intellectual capital.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Operations</w:t>
      </w:r>
    </w:p>
    <w:p>
      <w:pPr>
        <w:spacing w:after="0" w:line="77"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We operate under the Manpower name through 467 branch offices and 24 franchise offices in the other markets of the world. The largest of these operations are located in Australia, Japan, and Mexico, all of which operate through branch offices, and Canada, which operates through branch and franchise offices. Other operations are located throughout Central and South America and Asia, which operate through branch and franchise offices. In most of these countries, we primarily supply temporary workers to the office, industrial, and technical markets, which were 60%, 23%, and 17% of revenues, respectively.</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Competition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77"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We compete in the employment service industry by offering a complete range of services, including temporary and permanent staffing, employee assessment, training, specialized professional services, career transition (outplacement) services, and organizational consulting services.</w:t>
      </w:r>
    </w:p>
    <w:p>
      <w:pPr>
        <w:spacing w:after="0" w:line="7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customers and in the employment services industry itself.</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manage these trends by leveraging established strengths, including one of the employment services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5" w:name="page6"/>
    <w:bookmarkEnd w:id="5"/>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services. Correspondingly, during periods of weak economic growth or economic contraction, the demand for our staffing services typically declines, while demand for our career transition services accelerates.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last several years, secular trends toward greater workforce flexibility have had a favorable impact on demand for our services in several markets. As companies attempt to increase the variability of their cost base, contemporary work solutions help them to effectively address the fluctuating demand for their products or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Market</w:t>
      </w:r>
    </w:p>
    <w:p>
      <w:pPr>
        <w:spacing w:after="0" w:line="7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temporary employment services market throughout the world is large and highly fragmented with more than 15,000 firms competing in the industry throughout the world. In addition to us, the largest publicly owned companies specializing in temporary employment services are Adecco, S.A. (Switzerland), Vedior N.V. (Netherlands), Randstad Holding N.V. (Netherlands) and Kelly Services, Inc. (U.S.).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Historically, in periods of economic prosperity, the number of firms operating in the temporary staffing industry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temporary staffing industry, competition is often limited to firms with offices located within a customer’s particular local market because temporary employees (aside from certain employees in the professional services segment) are generally unwilling to travel long distances, resulting in a low barrier to entry. In most major markets, competitors generally include many of the publicly traded companies and numerous regional and local competitors, some of which may operate only in a single market. Governmental entities or agencies, such as state employment offices in the United Kingdom and many European countries may also compete in some markets.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Since customers rely on temporary employment firms having offices within the local area in which they operate, competition varies from market-to-market and country-to-country. In most areas, no single company has a dominant share of the market. Many customers use more than one temporary employment services provider; however, in recent years, the practice of using a limited number of temporary suppliers, a sole temporary supplier or a primary supplier has become increasingly important among the largest customers. These sole supplier relationships can have a significant impact on our revenue and operating profit growth as volume reductions by such customers, whether related to economic factors or otherwise, could have an adverse effect on our results in any period.</w:t>
      </w:r>
    </w:p>
    <w:p>
      <w:pPr>
        <w:spacing w:after="0" w:line="10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Temporary staffing firms act as intermediaries in matching available temporary workers to employer assignments. As a result, temporary staffing firms compete both to recruit and retain a supply of workers and to attract customers to employ temporary employees. Competition is generally limited to firms having offices located in a specific local geographic market. Depending on the economy of a particular market at any point in time, it may be necessary for us to place greater emphasis on recruitment and retention of temporary workers or marketing to customers. We recruit temporary workers through a wide variety of means, principally personal referrals and advertisements and by providing an attractive compensation package in jurisdictions where such benefits are not otherwise required by law, including health insurance, vacation and holiday pay, incentive and pension plans and a recognition program. We also use certain online resources to help in our recruiting efforts.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Methods used to market temporary services to customers vary depending on the customer’s perceived need for temporary workers, the local labor supply, the length of assignment and the number of workers required. Depending on these factors, we compete by means of quality of service provided, scope of service offered and price. In the temporary staffing industry, quality is measured primarily by the ability to effectively match an individual worker to a specific assignment, as well as the rate of and promptness in filling an order. Success in providing a high quality service is a function of the ability to access a large supply of available temporary workers, select suitable individuals for a particular assignment and, in some cases, train available workers in skills required for an assignment.</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 important aspect in the selection of a temporary worker for an assignment is the ability of the temporary services firm to identify the skills, knowledge, abilities, and personal characteristics of a temporary worker and match their competencies or capabilities to an employer’s requirements. We have developed a variety of proprietary programs for identifying and assessing the skill level of our temporary workers, which are used in selecting a particular individual for a specific assignment. The programs include:</w:t>
      </w:r>
    </w:p>
    <w:p>
      <w:pPr>
        <w:spacing w:after="0" w:line="4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Ultraskill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for clerical skills,</w:t>
      </w:r>
    </w:p>
    <w:p>
      <w:pPr>
        <w:spacing w:after="0" w:line="5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Sureskill – for office automation skills such as word processing, spreadsheet, and presentation graphics,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Ultradex – for several important light industrial skills,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Predicta – for critical general office skills,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Teleskill – for customer service and contact center skills,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Linguaskill – for language skills,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Phoneskill – for verbal communication skills.</w:t>
      </w:r>
    </w:p>
    <w:p>
      <w:pPr>
        <w:spacing w:after="0" w:line="18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We believe that our assessment systems enable us to offer a higher quality service by increasing productivity, decreasing turnover and reducing absenteeism.</w:t>
      </w:r>
    </w:p>
    <w:p>
      <w:pPr>
        <w:spacing w:after="0" w:line="118"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It is also important to be able to access a large network of skilled workers and to be able to “create” certain hard-to-find skills by offering training to available workers. Our competitive position is enhanced by our ability to offer a wide variety of skills, in some of the most important market segments for temporary work, through the use of training systems.</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7"/>
          <w:szCs w:val="17"/>
          <w:color w:val="auto"/>
        </w:rPr>
        <w:t>We have developed the Global Learning Center, or GLC, an on-line university for our permanent employees and temporary workers. The GLC provides skills training, assessment and other career-related services. Students of the GLC have access to Skillware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training, which trains office workers on over 50 different applications from a variety of developers including Microsoft and Lotus. Skillware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training is also available to prepare workers for positions in contact centers, banks and other organizations where transaction processing skills are required, and to improve general office skills such as spelling, punctuation and keyboard skills. Students can also select from more than 1,500 courses in the areas of client server, programming, Internet development, and business skills. The training prepares technical employees for certification testing by guiding them through E-Commerce, Visual Basic, C++ Programming, COBOL, JAVA, SAP, PowerBuilder, IEEE LAN Architecture and more. This training is available in a number of different languages, including English, Finnish, French, German, Greek, Italian, Japanese, Portuguese and Spanish.</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continue to evolve a thoughtful and comprehensive approach to our web-based service offerings for candidates, employees, customers and prospective customers. In doing so, we continue to evaluate the need to enhance existing services or products, develop new products, or enter into key strategic relationships with outside providers to offer optimal value propositions in our market segments.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currently use and offer Direct Hire PLUS, which provides customers with the option of hiring a Manpower-screened candidate directly onto their payroll. We help customers acquire the most relevant information about candidates for a fraction of the time and investment required to create a comparable in-house hiring program. Services include resume management, interviewing, applicant testing and online training.</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Although temporary staffing firms compete in a local market, for administrative purposes, the largest customers demand national, and increasingly global, arrangements. A large national or multi-national customer will frequently enter into non-exclusive arrangements with several firms, with the ultimate choice among them being left to its local managers; as a result firms with a large network of offices compete most effectively for this business. National and multi-national arrangements, which generally have agreed-upon pricing or mark-up on services performed, represented approximately 40% of our sales in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Transition and Organizational Consulting Services Market</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market for career transition and organizational consulting services is also highly competitive. In the market for services required by global clients, there are several barriers to entry, such as the global coverage, specialized local knowledge and technology required to provide outstanding services to corporations on a global scale.</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competitors in the career transition market include major career transition services firms, such as Drake Beam Morin, a subsidiary of Thomson Corporation, a publishing company, and career service divisions of global temporary staffing firms. Additionally, there are regional firms and numerous smaller boutiques operating in either limited geographic markets or providing limited services.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competitors in the organizational consulting market include: major firms that compete in serving the large employer worldwide, such as William M. Mercer, Towers Perrin, Watson Wyatt and Hewitt Associates; organizational consulting practice of public accounting and consulting firms, such as PricewaterhouseCoopers, Braxton (Deloitte &amp; Touche), Cap Gemini (Ernst &amp; Young), Bearing Point (KPMG) and Accenture; and boutique firms comprised primarily of professionals formerly associated with the firms mentioned above.</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Companies choose to provide career transition services for several reasons. First, as the competition for attracting and retaining qualified employees increases, companies are increasingly attempting to distinguish themselves in the marketplace as attractive employers. Consequently, more companies are providing career transition services as part of a comprehensive benefits package that provide for the well being of employees not only during their period of employment, but also after their employment ceases. Additionally, when companies complete layoffs, many believe that providing career transition services projects a positive corporate image and improves morale among remaining employees. Finally, companies may provide career transition services to reduce costs by preparing and assisting separated employees to find new employment, thereby diminishing employment-related litigation.</w:t>
      </w:r>
    </w:p>
    <w:p>
      <w:pPr>
        <w:spacing w:after="0" w:line="107" w:lineRule="exact"/>
        <w:rPr>
          <w:sz w:val="20"/>
          <w:szCs w:val="20"/>
          <w:color w:val="auto"/>
        </w:rPr>
      </w:pPr>
    </w:p>
    <w:p>
      <w:pPr>
        <w:ind w:right="420" w:firstLine="456"/>
        <w:spacing w:after="0" w:line="325" w:lineRule="auto"/>
        <w:rPr>
          <w:sz w:val="20"/>
          <w:szCs w:val="20"/>
          <w:color w:val="auto"/>
        </w:rPr>
      </w:pPr>
      <w:r>
        <w:rPr>
          <w:rFonts w:ascii="Arial" w:cs="Arial" w:eastAsia="Arial" w:hAnsi="Arial"/>
          <w:sz w:val="16"/>
          <w:szCs w:val="16"/>
          <w:color w:val="auto"/>
        </w:rPr>
        <w:t>Our technology solutions are designed to be an integral part of our career transition services. We have made significant investments in technology to augment our core services with online, twenty-four hours a day, seven days a week access and support. These solutions are:</w:t>
      </w:r>
    </w:p>
    <w:p>
      <w:pPr>
        <w:spacing w:after="0" w:line="1" w:lineRule="exact"/>
        <w:rPr>
          <w:sz w:val="20"/>
          <w:szCs w:val="20"/>
          <w:color w:val="auto"/>
        </w:rPr>
      </w:pPr>
    </w:p>
    <w:p>
      <w:pPr>
        <w:ind w:left="900" w:right="3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RightTrack (sm) – Web-based collaborative program management tool that enables us to instantly interact and deliver career transition services seamlessly around the world,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Right-from-Home (R) – Web services to help clients find new careers as fast as possible,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Right Connection(R) – Enables companies to provide a customized, co-branded career transition portal for their employees in transition,</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80" w:right="359" w:bottom="1440" w:gutter="0" w:footer="0" w:header="0"/>
        </w:sectPr>
      </w:pPr>
    </w:p>
    <w:bookmarkStart w:id="8" w:name="page9"/>
    <w:bookmarkEnd w:id="8"/>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Job Bank – Provides thousands of exclusive positions for candidates and the opportunity to post jobs from hiring companies,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Resume Bank – Links hiring companies with candidates through a resume database.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Right FasTrack(sm) – A home-based career transition service that combines personalized multi-media tools and individual consulting,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Right Access (sm) – A customized web site for our client companies that gives our HR contacts instant access to our services.</w:t>
      </w:r>
    </w:p>
    <w:p>
      <w:pPr>
        <w:spacing w:after="0" w:line="1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Companies frequently augment their internal human resources professional staff with external consultants for many reasons. First, the growing importance and complexity of employee issues is creating an unprecedented administrative and technical burden on human resources departments. Additionally, human resources departments have historically been viewed as cost centers within organizations, and pressures to contain costs decrease the resources available to managers. Finally, companies increasingly choose to outsource non-core functions that can be addressed either more effectively or less costly by outside professionals.</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technology solutions are designed to be an integral part of our organizational consulting services. We have made significant investments in technology to augment our core services with online, twenty-four hours a day, seven days a week access and support.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Organization Performance tools include:</w:t>
      </w:r>
    </w:p>
    <w:p>
      <w:pPr>
        <w:spacing w:after="0" w:line="7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PeopleBrand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Tool for defining, declaring and delivering employment brand in order to attract and retain high-value talent,</w:t>
      </w:r>
    </w:p>
    <w:p>
      <w:pPr>
        <w:spacing w:after="0" w:line="5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PeoplePoll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Comprehensive employee survey, and</w:t>
      </w:r>
    </w:p>
    <w:p>
      <w:pPr>
        <w:spacing w:after="0" w:line="5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ECustom Surveys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Client-specific surveys on a variety of topics;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Leadership Development tools include:</w:t>
      </w:r>
    </w:p>
    <w:p>
      <w:pPr>
        <w:spacing w:after="0" w:line="7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Compass – 360 feedback tool and workshop focusing on effective leadership,</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Matrix – 360 survey that provides feedback on employees’ power and influence,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ECustom 360</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Survey that focuses on the competencies people need to succeed in a specific company, function or job.</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Talent Management tools include:</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CompAssess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A competency-based assessment tool, and</w:t>
      </w:r>
    </w:p>
    <w:p>
      <w:pPr>
        <w:spacing w:after="0" w:line="57"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Career Management 2000</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a self-directed learning tool that leads employees through the career planning process.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temporary employment services industry is closely regulated in all of the major markets in which we operate, except the United States and Canada.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Temporary employment service firms are generally subject to one or more of the following types of government regulation:</w:t>
      </w:r>
    </w:p>
    <w:p>
      <w:pPr>
        <w:spacing w:after="0" w:line="7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employees,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employees by customers.</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customers to use our services. In some markets, labor agreements are structured on an industry-wide, rather than company-by-company, basis. Changes in these collective labor agreements have occurred in the past and are expected to occur in the future and may have a material impact on the operations of temporary employment services firms, including us.</w:t>
      </w:r>
    </w:p>
    <w:p>
      <w:pPr>
        <w:spacing w:after="0" w:line="130"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In many countries, including the United States and the United Kingdom, temporary employment services firms are considered the legal employers of temporary workers. Therefore, laws regulating the employer/employee relationship, such as tax withholding or reporting, social security or retirement, anti-discrimination and workers’ compensation, govern the firm. In other countries, temporary employment services firms, while not the direct legal employer of temporary workers, are still responsible for collecting taxes and social security deductions and transmitting such amounts to the taxing authorities.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many countries, particularly in continental Europe, entry into the temporary employment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to licensing or registration requirements, many countries impose substantive restrictions on the use of temporary employment services. Such restrictions include regulations affecting the types of work permitted, the maximum length of a temporary assignment, wage levels or reasons for which temporary workers may be employed. In some countries special taxes, fees or costs are imposed in connection with the use of temporary workers. For example, temporary workers in France are entitled to a 10% allowance for the uncertain duration of employment, which is eliminated if a full-time position is offered to them within three days. In some countries, the contract of employment with the temporary employee must differ from the length of assignment.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career transition and organizational consulting services generally are not subjected to governmental regulation in the markets in which we operate.</w:t>
      </w:r>
    </w:p>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7. “Management’s Discussion and Analysis of Financial Condition and Results of Operations - Legal Regulations.”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Trademarks</w:t>
      </w:r>
    </w:p>
    <w:p>
      <w:pPr>
        <w:spacing w:after="0" w:line="77" w:lineRule="exact"/>
        <w:rPr>
          <w:sz w:val="20"/>
          <w:szCs w:val="20"/>
          <w:color w:val="auto"/>
        </w:rPr>
      </w:pPr>
    </w:p>
    <w:p>
      <w:pPr>
        <w:jc w:val="both"/>
        <w:ind w:right="180" w:firstLine="456"/>
        <w:spacing w:after="0" w:line="246" w:lineRule="auto"/>
        <w:rPr>
          <w:sz w:val="20"/>
          <w:szCs w:val="20"/>
          <w:color w:val="auto"/>
        </w:rPr>
      </w:pPr>
      <w:r>
        <w:rPr>
          <w:rFonts w:ascii="Arial" w:cs="Arial" w:eastAsia="Arial" w:hAnsi="Arial"/>
          <w:sz w:val="16"/>
          <w:szCs w:val="16"/>
          <w:color w:val="auto"/>
        </w:rPr>
        <w:t>We maintain a number of registered trademarks, trade names and service marks in the United States and various other countries. We believe that many of these marks and trade names, including Manpower</w:t>
      </w:r>
      <w:r>
        <w:rPr>
          <w:rFonts w:ascii="Arial" w:cs="Arial" w:eastAsia="Arial" w:hAnsi="Arial"/>
          <w:sz w:val="20"/>
          <w:szCs w:val="20"/>
          <w:color w:val="auto"/>
          <w:vertAlign w:val="superscript"/>
        </w:rPr>
        <w:t>®</w:t>
      </w:r>
      <w:r>
        <w:rPr>
          <w:rFonts w:ascii="Arial" w:cs="Arial" w:eastAsia="Arial" w:hAnsi="Arial"/>
          <w:sz w:val="16"/>
          <w:szCs w:val="16"/>
          <w:color w:val="auto"/>
        </w:rPr>
        <w:t>, Right Management Consultants</w:t>
      </w:r>
      <w:r>
        <w:rPr>
          <w:rFonts w:ascii="Arial" w:cs="Arial" w:eastAsia="Arial" w:hAnsi="Arial"/>
          <w:sz w:val="20"/>
          <w:szCs w:val="20"/>
          <w:color w:val="auto"/>
          <w:vertAlign w:val="superscript"/>
        </w:rPr>
        <w:t>®</w:t>
      </w:r>
      <w:r>
        <w:rPr>
          <w:rFonts w:ascii="Arial" w:cs="Arial" w:eastAsia="Arial" w:hAnsi="Arial"/>
          <w:sz w:val="16"/>
          <w:szCs w:val="16"/>
          <w:color w:val="auto"/>
        </w:rPr>
        <w:t>, Ultraskill</w:t>
      </w:r>
      <w:r>
        <w:rPr>
          <w:rFonts w:ascii="Arial" w:cs="Arial" w:eastAsia="Arial" w:hAnsi="Arial"/>
          <w:sz w:val="20"/>
          <w:szCs w:val="20"/>
          <w:color w:val="auto"/>
          <w:vertAlign w:val="superscript"/>
        </w:rPr>
        <w:t>®</w:t>
      </w:r>
      <w:r>
        <w:rPr>
          <w:rFonts w:ascii="Arial" w:cs="Arial" w:eastAsia="Arial" w:hAnsi="Arial"/>
          <w:sz w:val="16"/>
          <w:szCs w:val="16"/>
          <w:color w:val="auto"/>
        </w:rPr>
        <w:t>, and Skillware</w:t>
      </w:r>
      <w:r>
        <w:rPr>
          <w:rFonts w:ascii="Arial" w:cs="Arial" w:eastAsia="Arial" w:hAnsi="Arial"/>
          <w:sz w:val="20"/>
          <w:szCs w:val="20"/>
          <w:color w:val="auto"/>
          <w:vertAlign w:val="superscript"/>
        </w:rPr>
        <w:t>®</w:t>
      </w:r>
      <w:r>
        <w:rPr>
          <w:rFonts w:ascii="Arial" w:cs="Arial" w:eastAsia="Arial" w:hAnsi="Arial"/>
          <w:sz w:val="16"/>
          <w:szCs w:val="16"/>
          <w:color w:val="auto"/>
        </w:rPr>
        <w:t>, Jefferson Wells</w:t>
      </w:r>
      <w:r>
        <w:rPr>
          <w:rFonts w:ascii="Arial" w:cs="Arial" w:eastAsia="Arial" w:hAnsi="Arial"/>
          <w:sz w:val="20"/>
          <w:szCs w:val="20"/>
          <w:color w:val="auto"/>
          <w:vertAlign w:val="superscript"/>
        </w:rPr>
        <w:t>®</w:t>
      </w:r>
      <w:r>
        <w:rPr>
          <w:rFonts w:ascii="Arial" w:cs="Arial" w:eastAsia="Arial" w:hAnsi="Arial"/>
          <w:sz w:val="16"/>
          <w:szCs w:val="16"/>
          <w:color w:val="auto"/>
        </w:rPr>
        <w:t>, Brook Street</w:t>
      </w:r>
      <w:r>
        <w:rPr>
          <w:rFonts w:ascii="Arial" w:cs="Arial" w:eastAsia="Arial" w:hAnsi="Arial"/>
          <w:sz w:val="20"/>
          <w:szCs w:val="20"/>
          <w:color w:val="auto"/>
          <w:vertAlign w:val="superscript"/>
        </w:rPr>
        <w:t>®</w:t>
      </w:r>
      <w:r>
        <w:rPr>
          <w:rFonts w:ascii="Arial" w:cs="Arial" w:eastAsia="Arial" w:hAnsi="Arial"/>
          <w:sz w:val="16"/>
          <w:szCs w:val="16"/>
          <w:color w:val="auto"/>
        </w:rPr>
        <w:t>, and Elan</w:t>
      </w:r>
      <w:r>
        <w:rPr>
          <w:rFonts w:ascii="Arial" w:cs="Arial" w:eastAsia="Arial" w:hAnsi="Arial"/>
          <w:sz w:val="20"/>
          <w:szCs w:val="20"/>
          <w:color w:val="auto"/>
          <w:vertAlign w:val="superscript"/>
        </w:rPr>
        <w:t>®</w:t>
      </w:r>
      <w:r>
        <w:rPr>
          <w:rFonts w:ascii="Arial" w:cs="Arial" w:eastAsia="Arial" w:hAnsi="Arial"/>
          <w:sz w:val="16"/>
          <w:szCs w:val="16"/>
          <w:color w:val="auto"/>
        </w:rPr>
        <w:t>, have significant value and are materially important to our business. In addition, we maintain other intangible property rights.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Employees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had approximately 27,100 full-time equivalent employees as of December 31, 2004. In addition, we estimate that we assign approximately two million consultants and temporary workers on a worldwide basis each year.</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described above, in most jurisdictions, we, as the employer of our temporary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employees.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Information about Foreign and Domestic Operations</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Note 15 to our consolidated financial statements sets forth the information required for each segment and geographical area for the years ended December 31, 2004, 2003 and 2002. Such note is found in our 2004 Annual Report to Shareholders and is incorporated herein by reference.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Our international headquarters are in Glendale, Wisconsin, a suburb of Milwaukee. We own, free of any material encumbrances, an 82,000 square foot building and a 32,000 square foot building situated on a sixteen-acre site in Glendale, Wisconsin. We also own additional properties at various other locations worldwide, which are not material.</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Most of our operations are conducted from leased premises and we do not anticipate any difficulty in renewing these leases or in finding alternative sites in the ordinary course of business.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involved in litigation of a routine nature and various legal matters, which are being defended and handled in the ordinary course of business.</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search warrant was executed on November 30, 2004, at our French headquarters authorizing the French Regional Director on Inquiries of Competition to enter the office and review and obtain documents that may be pertinent to the investigation. According to the search warrant, the investigation stems from a complaint submitted during 2003 to the European Commission and subsequently transferred to France’s Direction Generale de la Concurrence, de la Consommation et de la Repression des Fraudes. We understand that the purpose of the investigation is to search for evidence of price fixing and allocation of market share within the French market. The investigation is continuing and we currently are not able to predict the outcome of the investigation.</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80" w:type="dxa"/>
            <w:vAlign w:val="bottom"/>
            <w:gridSpan w:val="3"/>
          </w:tcPr>
          <w:p>
            <w:pPr>
              <w:ind w:left="1180"/>
              <w:spacing w:after="0"/>
              <w:rPr>
                <w:sz w:val="20"/>
                <w:szCs w:val="20"/>
                <w:color w:val="auto"/>
              </w:rPr>
            </w:pPr>
            <w:r>
              <w:rPr>
                <w:rFonts w:ascii="Arial" w:cs="Arial" w:eastAsia="Arial" w:hAnsi="Arial"/>
                <w:sz w:val="18"/>
                <w:szCs w:val="18"/>
                <w:b w:val="1"/>
                <w:bCs w:val="1"/>
                <w:color w:val="auto"/>
              </w:rPr>
              <w:t>EXECUTIVE OFFICERS OF MANPOWER</w:t>
            </w:r>
          </w:p>
        </w:tc>
      </w:tr>
      <w:tr>
        <w:trPr>
          <w:trHeight w:val="326"/>
        </w:trPr>
        <w:tc>
          <w:tcPr>
            <w:tcW w:w="2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 of Officer</w:t>
            </w:r>
          </w:p>
        </w:tc>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Office</w:t>
            </w:r>
          </w:p>
        </w:tc>
        <w:tc>
          <w:tcPr>
            <w:tcW w:w="3820" w:type="dxa"/>
            <w:vAlign w:val="bottom"/>
          </w:tcPr>
          <w:p>
            <w:pPr>
              <w:spacing w:after="0"/>
              <w:rPr>
                <w:sz w:val="24"/>
                <w:szCs w:val="24"/>
                <w:color w:val="auto"/>
              </w:rPr>
            </w:pPr>
          </w:p>
        </w:tc>
      </w:tr>
      <w:tr>
        <w:trPr>
          <w:trHeight w:val="444"/>
        </w:trPr>
        <w:tc>
          <w:tcPr>
            <w:tcW w:w="2080" w:type="dxa"/>
            <w:vAlign w:val="bottom"/>
            <w:gridSpan w:val="3"/>
          </w:tcPr>
          <w:p>
            <w:pPr>
              <w:jc w:val="center"/>
              <w:ind w:right="480"/>
              <w:spacing w:after="0"/>
              <w:rPr>
                <w:sz w:val="20"/>
                <w:szCs w:val="20"/>
                <w:color w:val="auto"/>
              </w:rPr>
            </w:pPr>
            <w:r>
              <w:rPr>
                <w:rFonts w:ascii="Arial" w:cs="Arial" w:eastAsia="Arial" w:hAnsi="Arial"/>
                <w:sz w:val="18"/>
                <w:szCs w:val="18"/>
                <w:color w:val="auto"/>
                <w:w w:val="87"/>
              </w:rPr>
              <w:t>Jeffrey A. Joerres</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2"/>
              </w:rPr>
              <w:t>Chairman of Manpower since May, 2001, and President and Chief Executive Officer of Manpower since April,</w:t>
            </w:r>
          </w:p>
        </w:tc>
      </w:tr>
      <w:tr>
        <w:trPr>
          <w:trHeight w:val="216"/>
        </w:trPr>
        <w:tc>
          <w:tcPr>
            <w:tcW w:w="220" w:type="dxa"/>
            <w:vAlign w:val="bottom"/>
          </w:tcPr>
          <w:p>
            <w:pPr>
              <w:spacing w:after="0"/>
              <w:rPr>
                <w:sz w:val="18"/>
                <w:szCs w:val="18"/>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Age 45</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88"/>
              </w:rPr>
              <w:t>1999. Senior Vice President – European Operations and Marketing and Major Account Development of Manpower</w:t>
            </w:r>
          </w:p>
        </w:tc>
      </w:t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8"/>
              </w:rPr>
              <w:t>from July, 1998 to April, 1999. A director of Artisan Funds, Inc. and Johnson Controls, Inc. A director of</w:t>
            </w:r>
          </w:p>
        </w:tc>
      </w:tr>
      <w:tr>
        <w:trPr>
          <w:trHeight w:val="222"/>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rPr>
              <w:t>Manpower since April, 1999. An employee of Manpower since July, 1993.</w:t>
            </w:r>
          </w:p>
        </w:tc>
      </w:tr>
      <w:tr>
        <w:trPr>
          <w:trHeight w:val="426"/>
        </w:trPr>
        <w:tc>
          <w:tcPr>
            <w:tcW w:w="208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Michael J. Van Handel</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4"/>
              </w:rPr>
              <w:t>Executive Vice President, Chief Financial Officer and Secretary of Manpower since April, 2002. Senior Vice</w:t>
            </w:r>
          </w:p>
        </w:tc>
      </w:tr>
      <w:tr>
        <w:trPr>
          <w:trHeight w:val="216"/>
        </w:trPr>
        <w:tc>
          <w:tcPr>
            <w:tcW w:w="220" w:type="dxa"/>
            <w:vAlign w:val="bottom"/>
          </w:tcPr>
          <w:p>
            <w:pPr>
              <w:spacing w:after="0"/>
              <w:rPr>
                <w:sz w:val="18"/>
                <w:szCs w:val="18"/>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Age 45</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4"/>
              </w:rPr>
              <w:t>President, Chief Financial Officer and Secretary of Manpower from August, 1999 to April, 2002. Senior Vice</w:t>
            </w:r>
          </w:p>
        </w:tc>
      </w:t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2"/>
              </w:rPr>
              <w:t>President, Chief Financial Officer, Treasurer and Secretary of Manpower from July, 1998 to August, 1999. An</w:t>
            </w:r>
          </w:p>
        </w:tc>
      </w:tr>
      <w:tr>
        <w:trPr>
          <w:trHeight w:val="222"/>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rPr>
              <w:t>employee of Manpower since May, 1989.</w:t>
            </w:r>
          </w:p>
        </w:tc>
      </w:tr>
      <w:tr>
        <w:trPr>
          <w:trHeight w:val="426"/>
        </w:trPr>
        <w:tc>
          <w:tcPr>
            <w:tcW w:w="220" w:type="dxa"/>
            <w:vAlign w:val="bottom"/>
          </w:tcPr>
          <w:p>
            <w:pPr>
              <w:spacing w:after="0"/>
              <w:rPr>
                <w:sz w:val="24"/>
                <w:szCs w:val="24"/>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8"/>
                <w:szCs w:val="18"/>
                <w:color w:val="auto"/>
                <w:w w:val="87"/>
              </w:rPr>
              <w:t>Barbara J. Beck</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87"/>
              </w:rPr>
              <w:t>Executive Vice President of Manpower – United States and Canadian Operations since January, 2002. Independent</w:t>
            </w:r>
          </w:p>
        </w:tc>
      </w:tr>
      <w:tr>
        <w:trPr>
          <w:trHeight w:val="216"/>
        </w:trPr>
        <w:tc>
          <w:tcPr>
            <w:tcW w:w="220" w:type="dxa"/>
            <w:vAlign w:val="bottom"/>
          </w:tcPr>
          <w:p>
            <w:pPr>
              <w:spacing w:after="0"/>
              <w:rPr>
                <w:sz w:val="18"/>
                <w:szCs w:val="18"/>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Age 44</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88"/>
              </w:rPr>
              <w:t>consultant from August, 2000 to January, 2002. Area Vice President and General Manager of United States - West</w:t>
            </w:r>
          </w:p>
        </w:tc>
      </w:tr>
      <w:tr>
        <w:trPr>
          <w:trHeight w:val="222"/>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3"/>
              </w:rPr>
              <w:t>for Sprint Corporation from February, 1996 to August, 2000. An employee of Manpower since January, 2002</w:t>
            </w:r>
          </w:p>
        </w:tc>
      </w:tr>
      <w:tr>
        <w:trPr>
          <w:trHeight w:val="426"/>
        </w:trPr>
        <w:tc>
          <w:tcPr>
            <w:tcW w:w="2080" w:type="dxa"/>
            <w:vAlign w:val="bottom"/>
            <w:gridSpan w:val="3"/>
          </w:tcPr>
          <w:p>
            <w:pPr>
              <w:jc w:val="center"/>
              <w:ind w:right="480"/>
              <w:spacing w:after="0"/>
              <w:rPr>
                <w:sz w:val="20"/>
                <w:szCs w:val="20"/>
                <w:color w:val="auto"/>
              </w:rPr>
            </w:pPr>
            <w:r>
              <w:rPr>
                <w:rFonts w:ascii="Arial" w:cs="Arial" w:eastAsia="Arial" w:hAnsi="Arial"/>
                <w:sz w:val="18"/>
                <w:szCs w:val="18"/>
                <w:color w:val="auto"/>
                <w:w w:val="87"/>
              </w:rPr>
              <w:t>Jean-Pierre Lemonnier</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0"/>
              </w:rPr>
              <w:t>Executive Vice President of Manpower and President of Manpower France since April, 2002. Managing Director</w:t>
            </w:r>
          </w:p>
        </w:tc>
      </w:tr>
      <w:tr>
        <w:trPr>
          <w:trHeight w:val="216"/>
        </w:trPr>
        <w:tc>
          <w:tcPr>
            <w:tcW w:w="220" w:type="dxa"/>
            <w:vAlign w:val="bottom"/>
          </w:tcPr>
          <w:p>
            <w:pPr>
              <w:spacing w:after="0"/>
              <w:rPr>
                <w:sz w:val="18"/>
                <w:szCs w:val="18"/>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Age 46</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4"/>
              </w:rPr>
              <w:t>of Manpower France from March, 2002 to April, 2002. Director of Operations, Manpower France from April,</w:t>
            </w:r>
          </w:p>
        </w:tc>
      </w:tr>
      <w:tr>
        <w:trPr>
          <w:trHeight w:val="222"/>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rPr>
              <w:t>1998 to March, 2002. An employee of Manpower since April, 1998.</w:t>
            </w:r>
          </w:p>
        </w:tc>
      </w:tr>
      <w:tr>
        <w:trPr>
          <w:trHeight w:val="426"/>
        </w:trPr>
        <w:tc>
          <w:tcPr>
            <w:tcW w:w="220" w:type="dxa"/>
            <w:vAlign w:val="bottom"/>
          </w:tcPr>
          <w:p>
            <w:pPr>
              <w:spacing w:after="0"/>
              <w:rPr>
                <w:sz w:val="24"/>
                <w:szCs w:val="24"/>
                <w:color w:val="auto"/>
              </w:rPr>
            </w:pPr>
          </w:p>
        </w:tc>
        <w:tc>
          <w:tcPr>
            <w:tcW w:w="186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Yoav Michaely</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2"/>
              </w:rPr>
              <w:t>Executive Vice President and Managing Director of Europe, Middle East and Africa for Manpower since April,</w:t>
            </w:r>
          </w:p>
        </w:tc>
      </w:tr>
      <w:tr>
        <w:trPr>
          <w:trHeight w:val="216"/>
        </w:trPr>
        <w:tc>
          <w:tcPr>
            <w:tcW w:w="220" w:type="dxa"/>
            <w:vAlign w:val="bottom"/>
          </w:tcPr>
          <w:p>
            <w:pPr>
              <w:spacing w:after="0"/>
              <w:rPr>
                <w:sz w:val="18"/>
                <w:szCs w:val="18"/>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Age 48</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1"/>
              </w:rPr>
              <w:t>2002. Senior Vice President of Manpower and Managing Director – European Region from December, 1999 to</w:t>
            </w:r>
          </w:p>
        </w:tc>
      </w:t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3"/>
              </w:rPr>
              <w:t>April, 2002. Regional Director - Southern Europe from September, 1996 to December, 1999. An employee of</w:t>
            </w:r>
          </w:p>
        </w:tc>
      </w:tr>
      <w:tr>
        <w:trPr>
          <w:trHeight w:val="222"/>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rPr>
              <w:t>Manpower since 1985.</w:t>
            </w:r>
          </w:p>
        </w:tc>
      </w:tr>
      <w:tr>
        <w:trPr>
          <w:trHeight w:val="426"/>
        </w:trPr>
        <w:tc>
          <w:tcPr>
            <w:tcW w:w="220" w:type="dxa"/>
            <w:vAlign w:val="bottom"/>
          </w:tcPr>
          <w:p>
            <w:pPr>
              <w:spacing w:after="0"/>
              <w:rPr>
                <w:sz w:val="24"/>
                <w:szCs w:val="24"/>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8"/>
                <w:szCs w:val="18"/>
                <w:color w:val="auto"/>
                <w:w w:val="90"/>
              </w:rPr>
              <w:t>Owen Sullivan</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2"/>
              </w:rPr>
              <w:t>Executive Vice President of Manpower Inc., and CEO for Right Management Consultants and Jefferson Wells</w:t>
            </w:r>
          </w:p>
        </w:tc>
      </w:tr>
      <w:tr>
        <w:trPr>
          <w:trHeight w:val="216"/>
        </w:trPr>
        <w:tc>
          <w:tcPr>
            <w:tcW w:w="220" w:type="dxa"/>
            <w:vAlign w:val="bottom"/>
          </w:tcPr>
          <w:p>
            <w:pPr>
              <w:spacing w:after="0"/>
              <w:rPr>
                <w:sz w:val="18"/>
                <w:szCs w:val="18"/>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Age 47</w:t>
            </w: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4"/>
              </w:rPr>
              <w:t>since January 2005; Chief Executive Officer of Jefferson Wells International, Inc. from April 2003 to January</w:t>
            </w:r>
          </w:p>
        </w:tc>
      </w:tr>
      <w:tr>
        <w:trPr>
          <w:trHeight w:val="216"/>
        </w:trPr>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w w:val="96"/>
              </w:rPr>
              <w:t>2005; Independent consultant from 2002 to 2003; President of the Financial Services Group – Metavante</w:t>
            </w:r>
          </w:p>
        </w:tc>
      </w:tr>
      <w:tr>
        <w:trPr>
          <w:trHeight w:val="222"/>
        </w:trPr>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580" w:type="dxa"/>
            <w:vAlign w:val="bottom"/>
            <w:gridSpan w:val="3"/>
          </w:tcPr>
          <w:p>
            <w:pPr>
              <w:ind w:left="500"/>
              <w:spacing w:after="0"/>
              <w:rPr>
                <w:sz w:val="20"/>
                <w:szCs w:val="20"/>
                <w:color w:val="auto"/>
              </w:rPr>
            </w:pPr>
            <w:r>
              <w:rPr>
                <w:rFonts w:ascii="Arial" w:cs="Arial" w:eastAsia="Arial" w:hAnsi="Arial"/>
                <w:sz w:val="18"/>
                <w:szCs w:val="18"/>
                <w:color w:val="auto"/>
              </w:rPr>
              <w:t>Corporation from 1999 to 2003. An employee of Manpower since April, 2003.</w:t>
            </w:r>
          </w:p>
        </w:tc>
      </w:tr>
      <w:tr>
        <w:trPr>
          <w:trHeight w:val="365"/>
        </w:trPr>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20" w:type="dxa"/>
            <w:vAlign w:val="bottom"/>
          </w:tcPr>
          <w:p>
            <w:pPr>
              <w:ind w:left="278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60"/>
          </w:cols>
          <w:pgMar w:left="100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INFORMATION</w:t>
      </w:r>
    </w:p>
    <w:p>
      <w:pPr>
        <w:spacing w:after="0" w:line="16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for us by our independent registered public accounting firm, PricewaterhouseCoopers LLP during 2004:</w:t>
      </w:r>
    </w:p>
    <w:p>
      <w:pPr>
        <w:spacing w:after="0" w:line="3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audit-related services including:</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assistance and consultation regarding current, proposed and newly adopted accounting pronouncements;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advisory services related to our Section 404 documentation;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reviews of the Company’s quarterly financial statements;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audits of the Company’s pension and other employee benefit plans;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preparation and/or review of tax returns, including sales and use tax, excise tax, income tax, local tax, property tax, and value-added tax;</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consultation regarding appropriate handling of items on tax returns, required disclosures, elections and filing positions available to the Company</w:t>
      </w:r>
    </w:p>
    <w:p>
      <w:pPr>
        <w:spacing w:after="0" w:line="99" w:lineRule="exact"/>
        <w:rPr>
          <w:rFonts w:ascii="Arial" w:cs="Arial" w:eastAsia="Arial" w:hAnsi="Arial"/>
          <w:sz w:val="16"/>
          <w:szCs w:val="16"/>
          <w:color w:val="auto"/>
        </w:rPr>
      </w:pPr>
    </w:p>
    <w:p>
      <w:pPr>
        <w:jc w:val="both"/>
        <w:ind w:left="900" w:right="2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45" w:lineRule="exact"/>
        <w:rPr>
          <w:rFonts w:ascii="Arial" w:cs="Arial" w:eastAsia="Arial" w:hAnsi="Arial"/>
          <w:sz w:val="18"/>
          <w:szCs w:val="18"/>
          <w:color w:val="auto"/>
        </w:rPr>
      </w:pPr>
    </w:p>
    <w:p>
      <w:pPr>
        <w:ind w:left="900" w:right="500" w:hanging="446"/>
        <w:spacing w:after="0" w:line="32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advice and assistance with respect to transfer pricing matters, including the preparation of reports used by the Company to comply with taxing authority documentation requirements regarding royalties and inter-company pricing, and assistance with tax exemptions;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advice regarding tax issues relating to the Company’s internal reorganizations;</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issuing an audit opinion needed for subsidy declaration of foreign subsidiary;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conducting a technical update seminar;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of disclosure software.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22" w:right="259" w:bottom="1440" w:gutter="0" w:footer="0" w:header="0"/>
        </w:sectPr>
      </w:pPr>
    </w:p>
    <w:bookmarkStart w:id="13" w:name="page14"/>
    <w:bookmarkEnd w:id="13"/>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Purchases of Equity Securities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information required by this Item is set forth in our Annual Report to Shareholders for the fiscal year ended December 31, 2004, under the heading “Quarterly Data” (page 89) and “Corporate Information” (page 92), which information is hereby incorporated herein by reference.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2004, under the heading “Selected Financial Data” (page 91), which information is hereby incorporated herein by reference.</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240" w:top="422" w:right="559" w:bottom="1440" w:gutter="0" w:footer="0" w:header="0"/>
        </w:sectPr>
      </w:pPr>
    </w:p>
    <w:bookmarkStart w:id="14" w:name="page15"/>
    <w:bookmarkEnd w:id="1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Management’s Discussion and Analysis of Financial Condition and Results of Operations set forth below differs from the MD&amp;A contained in our 2004 Annual Report to Shareholders in that it contains a revised constant currency and organic constant currency presentation. Specifically, in the MD&amp;A set forth below we have eliminated the presentation of Net Earnings Per Share - Diluted on a constant currency basis, revised the reconciliation of constant currency and organic constant currency to GAAP, placed the reconciliation after the segment results, and revised our disclosure regarding our use of these measures in evaluating our operating results. The revisions were made in response to comments that we received from the Staff of the Securities and Exchange Commission in connection with their review of our Annual Report on Form 10-K for the fiscal year ended December 31, 2003.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77"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Manpower Inc. is a world leader in the employment services industry. Our global network of over 4,300 offices in 67 countries and territories allows us to meet the needs of our customers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SERVICES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jc w:val="right"/>
              <w:ind w:right="3812"/>
              <w:spacing w:after="0"/>
              <w:rPr>
                <w:sz w:val="20"/>
                <w:szCs w:val="20"/>
                <w:color w:val="auto"/>
              </w:rPr>
            </w:pPr>
            <w:r>
              <w:rPr>
                <w:rFonts w:ascii="Arial" w:cs="Arial" w:eastAsia="Arial" w:hAnsi="Arial"/>
                <w:sz w:val="18"/>
                <w:szCs w:val="18"/>
                <w:color w:val="auto"/>
                <w:w w:val="83"/>
              </w:rPr>
              <w:t>2,041.1</w:t>
            </w:r>
          </w:p>
        </w:tc>
        <w:tc>
          <w:tcPr>
            <w:tcW w:w="47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jc w:val="right"/>
              <w:ind w:right="3812"/>
              <w:spacing w:after="0"/>
              <w:rPr>
                <w:sz w:val="20"/>
                <w:szCs w:val="20"/>
                <w:color w:val="auto"/>
              </w:rPr>
            </w:pPr>
            <w:r>
              <w:rPr>
                <w:rFonts w:ascii="Arial" w:cs="Arial" w:eastAsia="Arial" w:hAnsi="Arial"/>
                <w:sz w:val="18"/>
                <w:szCs w:val="18"/>
                <w:color w:val="auto"/>
                <w:w w:val="83"/>
              </w:rPr>
              <w:t>5,226.7</w:t>
            </w:r>
          </w:p>
        </w:tc>
        <w:tc>
          <w:tcPr>
            <w:tcW w:w="4700" w:type="dxa"/>
            <w:vAlign w:val="bottom"/>
          </w:tcPr>
          <w:p>
            <w:pPr>
              <w:ind w:left="33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jc w:val="right"/>
              <w:ind w:right="3812"/>
              <w:spacing w:after="0"/>
              <w:rPr>
                <w:sz w:val="20"/>
                <w:szCs w:val="20"/>
                <w:color w:val="auto"/>
              </w:rPr>
            </w:pPr>
            <w:r>
              <w:rPr>
                <w:rFonts w:ascii="Arial" w:cs="Arial" w:eastAsia="Arial" w:hAnsi="Arial"/>
                <w:sz w:val="18"/>
                <w:szCs w:val="18"/>
                <w:color w:val="auto"/>
                <w:w w:val="83"/>
              </w:rPr>
              <w:t>5,084.3</w:t>
            </w:r>
          </w:p>
        </w:tc>
        <w:tc>
          <w:tcPr>
            <w:tcW w:w="47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EMEA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jc w:val="right"/>
              <w:ind w:right="3812"/>
              <w:spacing w:after="0"/>
              <w:rPr>
                <w:sz w:val="20"/>
                <w:szCs w:val="20"/>
                <w:color w:val="auto"/>
              </w:rPr>
            </w:pPr>
            <w:r>
              <w:rPr>
                <w:rFonts w:ascii="Arial" w:cs="Arial" w:eastAsia="Arial" w:hAnsi="Arial"/>
                <w:sz w:val="18"/>
                <w:szCs w:val="18"/>
                <w:color w:val="auto"/>
              </w:rPr>
              <w:t>340.6</w:t>
            </w:r>
          </w:p>
        </w:tc>
        <w:tc>
          <w:tcPr>
            <w:tcW w:w="4700" w:type="dxa"/>
            <w:vAlign w:val="bottom"/>
          </w:tcPr>
          <w:p>
            <w:pPr>
              <w:ind w:left="3320"/>
              <w:spacing w:after="0"/>
              <w:rPr>
                <w:sz w:val="20"/>
                <w:szCs w:val="20"/>
                <w:color w:val="auto"/>
              </w:rPr>
            </w:pPr>
            <w:r>
              <w:rPr>
                <w:rFonts w:ascii="Arial" w:cs="Arial" w:eastAsia="Arial" w:hAnsi="Arial"/>
                <w:sz w:val="18"/>
                <w:szCs w:val="18"/>
                <w:color w:val="auto"/>
              </w:rPr>
              <w:t>Jefferson Wells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jc w:val="right"/>
              <w:ind w:right="3812"/>
              <w:spacing w:after="0"/>
              <w:rPr>
                <w:sz w:val="20"/>
                <w:szCs w:val="20"/>
                <w:color w:val="auto"/>
              </w:rPr>
            </w:pPr>
            <w:r>
              <w:rPr>
                <w:rFonts w:ascii="Arial" w:cs="Arial" w:eastAsia="Arial" w:hAnsi="Arial"/>
                <w:sz w:val="18"/>
                <w:szCs w:val="18"/>
                <w:color w:val="auto"/>
              </w:rPr>
              <w:t>431.1</w:t>
            </w:r>
          </w:p>
        </w:tc>
        <w:tc>
          <w:tcPr>
            <w:tcW w:w="47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Right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jc w:val="right"/>
              <w:ind w:right="3812"/>
              <w:spacing w:after="0"/>
              <w:rPr>
                <w:sz w:val="20"/>
                <w:szCs w:val="20"/>
                <w:color w:val="auto"/>
              </w:rPr>
            </w:pPr>
            <w:r>
              <w:rPr>
                <w:rFonts w:ascii="Arial" w:cs="Arial" w:eastAsia="Arial" w:hAnsi="Arial"/>
                <w:sz w:val="18"/>
                <w:szCs w:val="18"/>
                <w:color w:val="auto"/>
                <w:w w:val="83"/>
              </w:rPr>
              <w:t>1,806.2</w:t>
            </w:r>
          </w:p>
        </w:tc>
        <w:tc>
          <w:tcPr>
            <w:tcW w:w="4700" w:type="dxa"/>
            <w:vAlign w:val="bottom"/>
          </w:tcPr>
          <w:p>
            <w:pPr>
              <w:ind w:left="3320"/>
              <w:spacing w:after="0"/>
              <w:rPr>
                <w:sz w:val="20"/>
                <w:szCs w:val="20"/>
                <w:color w:val="auto"/>
              </w:rPr>
            </w:pPr>
            <w:r>
              <w:rPr>
                <w:rFonts w:ascii="Arial" w:cs="Arial" w:eastAsia="Arial" w:hAnsi="Arial"/>
                <w:sz w:val="18"/>
                <w:szCs w:val="18"/>
                <w:color w:val="auto"/>
                <w:w w:val="98"/>
              </w:rPr>
              <w:t>Other Operations</w:t>
            </w:r>
          </w:p>
        </w:tc>
        <w:tc>
          <w:tcPr>
            <w:tcW w:w="0" w:type="dxa"/>
            <w:vAlign w:val="bottom"/>
          </w:tcPr>
          <w:p>
            <w:pPr>
              <w:spacing w:after="0"/>
              <w:rPr>
                <w:sz w:val="1"/>
                <w:szCs w:val="1"/>
                <w:color w:val="auto"/>
              </w:rPr>
            </w:pPr>
          </w:p>
        </w:tc>
      </w:tr>
      <w:tr>
        <w:trPr>
          <w:trHeight w:val="35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OPERATING UNIT PROFIT</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 millions ($)</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44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20" w:type="dxa"/>
            <w:vAlign w:val="bottom"/>
            <w:shd w:val="clear" w:color="auto" w:fill="CCEEFF"/>
          </w:tcPr>
          <w:p>
            <w:pPr>
              <w:jc w:val="right"/>
              <w:ind w:right="3952"/>
              <w:spacing w:after="0"/>
              <w:rPr>
                <w:sz w:val="20"/>
                <w:szCs w:val="20"/>
                <w:color w:val="auto"/>
              </w:rPr>
            </w:pPr>
            <w:r>
              <w:rPr>
                <w:rFonts w:ascii="Arial" w:cs="Arial" w:eastAsia="Arial" w:hAnsi="Arial"/>
                <w:sz w:val="18"/>
                <w:szCs w:val="18"/>
                <w:color w:val="auto"/>
              </w:rPr>
              <w:t>49.3</w:t>
            </w:r>
          </w:p>
        </w:tc>
        <w:tc>
          <w:tcPr>
            <w:tcW w:w="47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jc w:val="right"/>
              <w:ind w:right="3952"/>
              <w:spacing w:after="0"/>
              <w:rPr>
                <w:sz w:val="20"/>
                <w:szCs w:val="20"/>
                <w:color w:val="auto"/>
              </w:rPr>
            </w:pPr>
            <w:r>
              <w:rPr>
                <w:rFonts w:ascii="Arial" w:cs="Arial" w:eastAsia="Arial" w:hAnsi="Arial"/>
                <w:sz w:val="18"/>
                <w:szCs w:val="18"/>
                <w:color w:val="auto"/>
                <w:w w:val="79"/>
              </w:rPr>
              <w:t>178.8</w:t>
            </w:r>
          </w:p>
        </w:tc>
        <w:tc>
          <w:tcPr>
            <w:tcW w:w="4700" w:type="dxa"/>
            <w:vAlign w:val="bottom"/>
          </w:tcPr>
          <w:p>
            <w:pPr>
              <w:ind w:left="33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jc w:val="right"/>
              <w:ind w:right="3952"/>
              <w:spacing w:after="0"/>
              <w:rPr>
                <w:sz w:val="20"/>
                <w:szCs w:val="20"/>
                <w:color w:val="auto"/>
              </w:rPr>
            </w:pPr>
            <w:r>
              <w:rPr>
                <w:rFonts w:ascii="Arial" w:cs="Arial" w:eastAsia="Arial" w:hAnsi="Arial"/>
                <w:sz w:val="18"/>
                <w:szCs w:val="18"/>
                <w:color w:val="auto"/>
                <w:w w:val="79"/>
              </w:rPr>
              <w:t>115.1</w:t>
            </w:r>
          </w:p>
        </w:tc>
        <w:tc>
          <w:tcPr>
            <w:tcW w:w="47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EMEA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jc w:val="right"/>
              <w:ind w:right="3952"/>
              <w:spacing w:after="0"/>
              <w:rPr>
                <w:sz w:val="20"/>
                <w:szCs w:val="20"/>
                <w:color w:val="auto"/>
              </w:rPr>
            </w:pPr>
            <w:r>
              <w:rPr>
                <w:rFonts w:ascii="Arial" w:cs="Arial" w:eastAsia="Arial" w:hAnsi="Arial"/>
                <w:sz w:val="18"/>
                <w:szCs w:val="18"/>
                <w:color w:val="auto"/>
              </w:rPr>
              <w:t>51.4</w:t>
            </w:r>
          </w:p>
        </w:tc>
        <w:tc>
          <w:tcPr>
            <w:tcW w:w="4700" w:type="dxa"/>
            <w:vAlign w:val="bottom"/>
          </w:tcPr>
          <w:p>
            <w:pPr>
              <w:ind w:left="3320"/>
              <w:spacing w:after="0"/>
              <w:rPr>
                <w:sz w:val="20"/>
                <w:szCs w:val="20"/>
                <w:color w:val="auto"/>
              </w:rPr>
            </w:pPr>
            <w:r>
              <w:rPr>
                <w:rFonts w:ascii="Arial" w:cs="Arial" w:eastAsia="Arial" w:hAnsi="Arial"/>
                <w:sz w:val="18"/>
                <w:szCs w:val="18"/>
                <w:color w:val="auto"/>
              </w:rPr>
              <w:t>Jefferson Wells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jc w:val="right"/>
              <w:ind w:right="3952"/>
              <w:spacing w:after="0"/>
              <w:rPr>
                <w:sz w:val="20"/>
                <w:szCs w:val="20"/>
                <w:color w:val="auto"/>
              </w:rPr>
            </w:pPr>
            <w:r>
              <w:rPr>
                <w:rFonts w:ascii="Arial" w:cs="Arial" w:eastAsia="Arial" w:hAnsi="Arial"/>
                <w:sz w:val="18"/>
                <w:szCs w:val="18"/>
                <w:color w:val="auto"/>
              </w:rPr>
              <w:t>24.5</w:t>
            </w:r>
          </w:p>
        </w:tc>
        <w:tc>
          <w:tcPr>
            <w:tcW w:w="47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Right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jc w:val="right"/>
              <w:ind w:right="3952"/>
              <w:spacing w:after="0"/>
              <w:rPr>
                <w:sz w:val="20"/>
                <w:szCs w:val="20"/>
                <w:color w:val="auto"/>
              </w:rPr>
            </w:pPr>
            <w:r>
              <w:rPr>
                <w:rFonts w:ascii="Arial" w:cs="Arial" w:eastAsia="Arial" w:hAnsi="Arial"/>
                <w:sz w:val="18"/>
                <w:szCs w:val="18"/>
                <w:color w:val="auto"/>
              </w:rPr>
              <w:t>46.0</w:t>
            </w:r>
          </w:p>
        </w:tc>
        <w:tc>
          <w:tcPr>
            <w:tcW w:w="4700" w:type="dxa"/>
            <w:vAlign w:val="bottom"/>
          </w:tcPr>
          <w:p>
            <w:pPr>
              <w:ind w:left="3320"/>
              <w:spacing w:after="0"/>
              <w:rPr>
                <w:sz w:val="20"/>
                <w:szCs w:val="20"/>
                <w:color w:val="auto"/>
              </w:rPr>
            </w:pPr>
            <w:r>
              <w:rPr>
                <w:rFonts w:ascii="Arial" w:cs="Arial" w:eastAsia="Arial" w:hAnsi="Arial"/>
                <w:sz w:val="18"/>
                <w:szCs w:val="18"/>
                <w:color w:val="auto"/>
                <w:w w:val="98"/>
              </w:rPr>
              <w:t>Other Operations</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do this through the Manpower family of companies (see Principal Operating Units) which includes:</w:t>
      </w:r>
    </w:p>
    <w:p>
      <w:pPr>
        <w:spacing w:after="0" w:line="7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Manpower – temporary and permanent staffing, employee assessment, and training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Jefferson Wells – professional financial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Right Management Consultants – career transition and organizational consulting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Elan – IT recruitment and managed services</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example, to ensure that customers have the right person – with the right skills – when business demand is high, we offer permanent, temporary and contract recruitment, and employee assessment and training services. We also provide highly specialized professional services, such as internal audit and controls, technology risk management, tax, finance and accounting services. If customers are searching for ways to work “smarter,” we also offer a wide range of organizational consulting services such as strategic talent management and leadership development. On the other hand, if a customer’s business demand is low, we offer career transition (outplacement) services. We also offer managed services if a customer wants to outsource a complete business function with us, such as call center, help desk, recruiting, or manufacturing operations. This balanced business mix allows us to offset the cyclical affects of the national economies in which we operate.</w:t>
      </w:r>
    </w:p>
    <w:p>
      <w:pPr>
        <w:spacing w:after="0" w:line="13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different points in their career paths. Each year, we employ more than two million people who work to help our more than 400,000 customers meet their business objectives. Laborers, seasoned professionals, mothers returning to work, elderly persons wanting to supplement pensions and disabled individuals – all turn to Manpower for employment. Similarly, governments of the nations in which we operate look to us to help them reduce unemployment and train the unemployed with the skills they need to enter the workforce. In this way, Manpower is a bridge to permanent employment for those who desire 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customers and in the employment services industry itself.</w:t>
      </w:r>
    </w:p>
    <w:p>
      <w:pPr>
        <w:spacing w:after="0" w:line="12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manage these trends by leveraging established strengths, including one of the employment services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Customer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services. Correspondingly, during periods of weak economic growth or economic contraction, the demand for our staffing services typically declines, while demand for our career transition services accelerates.</w:t>
      </w:r>
    </w:p>
    <w:p>
      <w:pPr>
        <w:spacing w:after="0" w:line="13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During the last several years, secular trends toward greater workforce flexibility have had a favorable impact on demand for our services in several markets. As companies attempt to increase the variability of their cost base, contemporary work solutions help them to effectively address the fluctuating demand for their products or services. Due to our industry’s dependence on economic factors, the inherent difficulty in forecasting the direction and strength of the economy and the short-term nature of staffing assignments, it is difficult to forecast future demand for our services with any certainty. As a result, we monitor a number of economic indicators, as well as recent business trends, to predict future revenue growth trends. Based upon these anticipated trends, we determine whether additional personnel and office investments are necessary to take full advantage of growth opportunities.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staffing business is organized and managed primarily on a geographic basis, and Jefferson Wells and Right are operated as separate global business units. Each country and business unit primarily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Jefferson Wells; Right; and Other Operations.</w:t>
      </w:r>
    </w:p>
    <w:p>
      <w:pPr>
        <w:spacing w:after="0" w:line="9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United States, France, EMEA, and Other Operations segments derive a significant majority of their revenues from the placement of temporary workers. The remaining revenues within these segments are derived from other human resource services, including permanent employee recruitment, temporary and permanent employee testing, selection, and training and development. Jefferson Wells’ revenues are derived from internal audit and control services, technology risk management, tax, finance and accounting services. The Right segment revenues are derived from career transition (outplacement) services and organizational-performance consulting. Segment revenues represent sales to external customers. Due to the nature of our business, we do not have export or intersegment sales. We provide services to a wide variety of customers, none of which individually comprise a significant portion of revenue for us as a whole and by segment, except for Jefferson Wells, in which approximately 19% of Jefferson Wells’ revenues for 2004 were generated from providing services to one customer.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CONSTANT CURRENCY</w:t>
      </w:r>
    </w:p>
    <w:p>
      <w:pPr>
        <w:spacing w:after="0" w:line="7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Changes in our revenues and operating profits include the impact of changes in foreign currency exchange rates and acquisitions and dispositions. We provide “constant currency” and “organic constant currency” calculations in this annual report to remove the impact of these items. We typically express year-over-year variances that are calculated in constant currency and organic constant currency as a percentage.</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utilize constant currency results in our analysis of subsidiary or segment performance. We also use constant currency when analyzing our performance against that of our competitors. Earnings from our subsidiaries are not generally repatriated to the United States, and we typically do not incur significant gains or losses on foreign currency transactions with our subsidiaries. Therefore, changes in foreign currency exchange rates primarily impact only reported earnings and not our actual cash flow or economic condition.</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 The results of companies we acquire or dispose of are included in or excluded from our financial results on and after the date on which the acquisition or disposition is complete. As a result, these types of transactions distort the reported year-over-year trends in our financial results because the results of acquired companies are not included in our prior year results and the results of companies we dispose of are included in prior year but not current year results. Therefore, we believe it is more meaningful to present trend information without the impact of acquisitions and dispositions.</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 24.</w:t>
      </w:r>
    </w:p>
    <w:p>
      <w:pPr>
        <w:spacing w:after="0" w:line="118" w:lineRule="exact"/>
        <w:rPr>
          <w:sz w:val="20"/>
          <w:szCs w:val="20"/>
          <w:color w:val="auto"/>
        </w:rPr>
      </w:pPr>
    </w:p>
    <w:p>
      <w:pPr>
        <w:ind w:right="4940"/>
        <w:spacing w:after="0" w:line="328" w:lineRule="auto"/>
        <w:rPr>
          <w:sz w:val="20"/>
          <w:szCs w:val="20"/>
          <w:color w:val="auto"/>
        </w:rPr>
      </w:pPr>
      <w:r>
        <w:rPr>
          <w:rFonts w:ascii="Arial" w:cs="Arial" w:eastAsia="Arial" w:hAnsi="Arial"/>
          <w:sz w:val="18"/>
          <w:szCs w:val="18"/>
          <w:u w:val="single" w:color="auto"/>
          <w:color w:val="auto"/>
        </w:rPr>
        <w:t xml:space="preserve">RESULTS OF OPERATIONS – YEARS ENDED DECEMBER 31, 2004, 2003 AND 2002 </w:t>
      </w:r>
      <w:r>
        <w:rPr>
          <w:rFonts w:ascii="Arial" w:cs="Arial" w:eastAsia="Arial" w:hAnsi="Arial"/>
          <w:sz w:val="18"/>
          <w:szCs w:val="18"/>
          <w:b w:val="1"/>
          <w:bCs w:val="1"/>
          <w:color w:val="auto"/>
        </w:rPr>
        <w:t>Consolidated Results – 2004 compared to 2003</w:t>
      </w:r>
    </w:p>
    <w:p>
      <w:pPr>
        <w:spacing w:after="0" w:line="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Revenues from Services increased 22.5% to $14.9 billion. Revenues were favorably impacted by changes in foreign currency exchange rates during the period due to the weakening of the U.S. Dollar relative to the currencies in most of our non-U.S. markets. In constant currency, revenues increased 14.1%. Revenues were also favorably impacted by acquisitions, primarily the acquisition of Right Management Consultants, Inc. (“RMC”). Revenues increased 19.2% excluding acquisitions or 10.9% on an organic constant currency basis. This growth rate is a result of improving economic conditions and increased demand for our services in all of our major markets, particularly EMEA and Jefferson Wells, where revenues increased 18.0% and 149.6% respectively, on a constant currency basis.</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Gross Profit increased 30.5% to $2.8 billion in 2004. The Gross Profit Margin increased 120 basis points (1.2%) to 18.7% in 2004 from 17.5% in 2003. Gross Profit growth from acquisitions, primarily from RMC, was approximately $220 million, which favorably impacted the Gross Profit Margin by 100 basis points (1.0%). Excluding acquisitions, Gross Profit Margin was 17. 7% in 2004, an increase of 20 basis points (0.2%) over the Gross Profit Margin of 17.5% in 2003. This improvement is a result of the change in the mix of services provided, toward those with higher Gross Profit Margins. Approximately one-half of this improvement is due to the relatively higher growth at Jefferson Wells, with the remaining improvement a result of an increase in our permanent placement business, particularly in the EMEA and the Other Operations segments. While we saw Gross Profit Margin improvement in our temporary staffing business in several markets, this improvement was offset by decreases in others due to increased social costs, including increased U.S. workers’ compensation costs and state unemployment taxes.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right="1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and Administrative Expenses increased 27.3% during 2004 or 19.1% in constant currency. This increase is primarily in response to the increase in business volume and the impact of acquisitions, including the intangible asset amortization of $12.3 million in 2004 resulting from the RMC acquisition. Excluding the impact of acquisitions, these expenses increased 16.6%, or 8.9% on an organic constant currency basis. As a percent of revenues, Selling and Administrative Expenses were 16.0% in 2004 compared to 15.4% in 2003. This ratio is impacted by the acquisition of RMC, because RMC has a different cost structure than our existing business. Excluding acquisitions, Selling and Administrative Expenses were 15.1% of revenues in 2004, an improvement of 30 basis points (.3%) from 2003. This improvement reflects continued productivity gains in conjunction with the revenue growth, as we were able to leverage our office network.</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Profit increased 53.5% over 2003, with an Operating Profit Margin of 2.7% in 2004 compared to 2.1% in 2003. On a constant currency basis, Operating Profit increased 43.0%. Excluding the impact of acquisitions, Operating Profit increased 46.0%, or 35.7% on an organic constant currency basis in 2004. Operating Profit Margin, excluding acquisitions, improved to 2.6% in 2004 compared to 2.1% in 2003. This improvement in Operating Profit Margin is due to the increase in Gross Profit Margin coupled with the productivity gains.</w:t>
      </w:r>
    </w:p>
    <w:p>
      <w:pPr>
        <w:spacing w:after="0" w:line="13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 total, Interest and Other Expenses decreased $9.5 million in 2004 from 2003. Net Interest Expense was $36.0 million in 2004 compared to $33.4 million in 2003. This increase is primarily due to increased interest rates and the impact of higher exchange rates on our euro-denominated interest expense, offset by higher interest income. Foreign exchange gains and losses primarily result from intercompany transactions between our foreign subsidiaries and the United States. Such gains were $1.6 million and $1.3 million in 2004 and 2003, respectively.</w:t>
      </w:r>
    </w:p>
    <w:p>
      <w:pPr>
        <w:spacing w:after="0" w:line="102"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Miscellaneous Income (Expense), Net, was income of $8.1 million in 2004 compared to expense of $3.7 million in 2003. The income in 2004 includes non-operating gains of $14.2 million ($0.11 per diluted share), primarily related to the sale of our equity interest in a European internet job board during the first quarter of 2004. Net proceeds from this transaction were $29.8 million.</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provided for income taxes at a rate of 33.5% in 2004 and 38.0% in 2003. Included in the 2004 rate is the impact of the non-operating gains recorded in the first quarter and the reversal of an $8.0 million tax contingency reserve in the third quarter. Excluding these items, our rate for 2004 would have been 36.0%. This rate is higher than the U.S. Federal statutory rate of 35% due to higher foreign income tax rates and $9.5 million of taxes recorded on the unremitted earnings of foreign subsidiaries, offset by the tax benefits, including the reversal of $16.7 million of valuation allowances, of certain internal corporate restructurings and transactions.</w:t>
      </w:r>
    </w:p>
    <w:p>
      <w:pPr>
        <w:spacing w:after="0" w:line="129"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Net Earnings Per Share - Diluted increased 53.3% to $2.59 in 2004 compared to $1.69 in 2003. The higher foreign currency exchange rates positively impacted Net Earnings Per Share - Diluted by approximately $0.14 in 2004. On an undiluted basis, Net Earnings Per Share was $2.76 in 2004 compared to $1.77 in 2003.</w:t>
      </w:r>
    </w:p>
    <w:p>
      <w:pPr>
        <w:spacing w:after="0" w:line="4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September 2004, the Emerging Issues Task Force (“EITF”) issued Issue No. 04-8, “The Effect of Contingently Convertible Debt on Diluted Earnings Per Share”(“EITF 04-8”), which requires the effect of contingently convertible debt securities with a market price trigger to be included in the calculation of diluted earnings per share, using the “if-converted” method, regardless of whether the market price trigger has been met. EITF 04-8 also requires restatement of previously reported earnings. Our convertible debentures, issued August 2001, have such a feature, and therefore we have restated Net Earnings Per Share - Diluted for all periods since the issuance. (See note 3 to the consolidated financial statements for further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Results – 2003 compared to 2002</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Revenues from Services increased 14.8% to $12.2 billion. Revenues were favorably impacted during the year by changes in foreign currency exchange rates due to the weakening of the U.S. Dollar relative to the currencies in most of our non-U.S. markets. In constant currency, revenues increased 2.2%. Revenue growth in 2003 attributable to acquisitions was approximately $21.3 million or 0.2% of revenue. On an organic constant currency basis, revenues increased by 2.0%. This growth rate is a result of increased activity in the Other Operations segment with stable revenue levels in the other markets.</w:t>
      </w:r>
    </w:p>
    <w:p>
      <w:pPr>
        <w:spacing w:after="0" w:line="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Gross Profit increased 11.9% to $2.1 billion during 2003. The Gross Profit Margin declined 50 basis points (.5%) to 17.5% in 2003 from 18.0% in 2002. This decrease was attributable to higher payroll taxes and social costs, increased pricing pressures throughout the world, changes in the service mix of business (from higher margin service lines to lower margin service lines) and changes in the geographical mix of business (as revenue growth in countries with lower Gross Profit Margins, such as France, was higher than in some countries with higher Gross Profit Margins). Gross Profit growth from acquisitions was approximately $2.5 million and had an insignificant impact on Gross Profit Margin.</w:t>
      </w:r>
    </w:p>
    <w:p>
      <w:pPr>
        <w:spacing w:after="0" w:line="10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Selling and Administrative Expenses increased 12.1% during 2003. This increase is primarily due to the changes in exchange rates, as these expenses increased only 0.6% on a constant currency basis. As a percent of revenues, Selling and Administrative Expenses were 15.4% in 2003 compared to 15.8% in 2002. This improvement is a result of continued productivity gains and careful expense management in conjunction with growing revenues.</w:t>
      </w:r>
    </w:p>
    <w:p>
      <w:pPr>
        <w:spacing w:after="0" w:line="9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Operating Profit increased 9.9% during 2003, however on a constant currency basis, Operating Profit declined 6.6%. The Operating Profit Margin was 2.1% compared to 2.2% for 2002. The Operating Profit level primarily reflects the improved leveraging of the business offset by the Gross Profit Margin declines. Acquisitions made during 2003 decreased Operating Profit by approximately $0.2 million. Excluding the impact of acquisitions, Operating Profit increased 9.8% during 2003, however on an organic constant currency basis, Operating Profit decreased 6.6%. Acquisitions had no impact to Operating Profit Margin in 2003.</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 total, Interest and Other Expense decreased $11.0 million from 2002 to 2003. Net interest expense was $33.4 million in 2003 and 2002. Average borrowing levels were lower throughout 2003 compared to 2002, however the impact of this was offset by our Euro-denominated interest expense which was translated at higher rates in 2003. Foreign exchange gains and losses primarily result from intercompany transactions between our foreign subsidiaries and the United States. Such gains were $1.3 million and $1.8 million in 2003 and 2002, respectively.</w:t>
      </w:r>
    </w:p>
    <w:p>
      <w:pPr>
        <w:spacing w:after="0" w:line="10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Miscellaneous Expenses, Net, were $3.7 million in 2003 compared to $15.2 million in 2002. In the fourth quarter of 2002, we recorded a charge of $5.1 million ($2.9 million net of tax, or $0.04 per share) related to a writedown of equity security investments where the decline in market value was determined to be other-than-temporary, as defined by Statement of Financial Accounting Standards (“SFAS”) No. 115, “Accounting for Certain Debt and Equity Securities.”</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provided for income taxes at a rate of 38.0% in 2003. This rate is higher than the U.S. Federal statutory rate of 35% due primarily to the impact of higher foreign income tax rates and valuation reserves recorded against foreign net operating losses. This rate is lower than the 2002 effective tax rate of 39.8% due to an increase in the foreign tax credits used to offset the U.S. taxes on foreign earnings, offset somewhat by a shift in the mix of taxable income toward countries with relatively higher tax rates.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Earnings Per Share – Diluted increased 19.0% to $1.69 in 2003 compared to $1.42 in 2002. Net Earnings Per Share – Diluted in 2003 was positively impacted by the higher foreign currency exchange rates during the year by approximately $0.27. On an undiluted basis, Net Earnings Per Share was $1.77 in 2003 compared to $1.48 in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U.S. – The United States operation is comprised of 591 Company-owned branch offices and 345 stand alone franchise offices. Revenues in the United States consist of sales of our Company-owned branch offices and fees from our franchise operations. Revenues for the year were $ 2.0 billion, an increase of 4.9%, and include franchise fees of $25.0 million. Franchise fees are primarily based on revenues generated by the franchise network, which were $1.2 billion in 2004.</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REVENUES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1,911.4 (-4.6%)</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1,945.8 (+1.8%)</w:t>
            </w:r>
          </w:p>
        </w:tc>
        <w:tc>
          <w:tcPr>
            <w:tcW w:w="402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2,041.1 (+4.9%)</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356"/>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U.S. OPERATING UNIT PROFIT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IN MILLIONS ($)</w:t>
            </w:r>
          </w:p>
        </w:tc>
        <w:tc>
          <w:tcPr>
            <w:tcW w:w="47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29.2</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5"/>
              </w:rPr>
              <w:t>33.7</w:t>
            </w:r>
          </w:p>
        </w:tc>
        <w:tc>
          <w:tcPr>
            <w:tcW w:w="4780" w:type="dxa"/>
            <w:vAlign w:val="bottom"/>
          </w:tcPr>
          <w:p>
            <w:pPr>
              <w:ind w:left="20"/>
              <w:spacing w:after="0"/>
              <w:rPr>
                <w:sz w:val="20"/>
                <w:szCs w:val="20"/>
                <w:color w:val="auto"/>
              </w:rPr>
            </w:pPr>
            <w:r>
              <w:rPr>
                <w:rFonts w:ascii="Arial" w:cs="Arial" w:eastAsia="Arial" w:hAnsi="Arial"/>
                <w:sz w:val="18"/>
                <w:szCs w:val="18"/>
                <w:color w:val="auto"/>
              </w:rPr>
              <w:t>(+15.2%)</w:t>
            </w:r>
          </w:p>
        </w:tc>
        <w:tc>
          <w:tcPr>
            <w:tcW w:w="402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49.3</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(+46.4%)</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in the United States accelerated through the first half of the year, after beginning the year slightly below prior year levels. Revenue growth stabilized in the second half of the year with growth exceeding 6% in both the third and fourth quarters (excluding the impact of Transpersonnel, our trucking operation that was disposed of in July 2004). Fueling this improving growth was an increase in demand for our light industrial and industrial skilled staff, which represents approximately 48% of our U.S. revenues. Revenue growth from placement of these skills increased nearly 20% from the prior year, reflecting an improvement of the U.S. manufacturing sector. Revenue from office and specialty skills lagged the prior year, however, the rate of contraction improved as we progressed through the year.</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Gross Profit Margin declined compared to the prior year due to increases in employment-related costs such as state unemployment taxes and workers’ compensation. While we were able to recover a substantial portion of these increases through higher bill rates, the competitive market environment did not allow us to fully recover all of these cost increases.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and Administrative Expenses trended favorably downward 0.9% during the year, primarily due to a reduction in personnel costs and branch office related costs. This cost reduction, combined with our revenue growth, reflects strong gains in productivity and our ability to leverage excess capacity across our U.S. branch office network.</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Operating Unit Profit for the year increased by 46.4% to $49.3 million. Our Operating Unit Profit Margin increased to 2.4% of revenues from 1.7%, as our productivity enhancements more than offset the decline in Gross Profit Margin.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2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France – Revenues in France increased 12.7% to $5.2 billion. In Euros, French Revenues increased 2.8% to €4.2 billion. The majority of this revenue increase reflects hourly rate increases as volumes increased only slightly during the year. Revenue growth in Euro was modest in the first half of the year, growing by</w:t>
      </w:r>
    </w:p>
    <w:p>
      <w:pPr>
        <w:ind w:right="20"/>
        <w:spacing w:after="0" w:line="295" w:lineRule="auto"/>
        <w:rPr>
          <w:sz w:val="20"/>
          <w:szCs w:val="20"/>
          <w:color w:val="auto"/>
        </w:rPr>
      </w:pPr>
      <w:r>
        <w:rPr>
          <w:rFonts w:ascii="Arial" w:cs="Arial" w:eastAsia="Arial" w:hAnsi="Arial"/>
          <w:sz w:val="16"/>
          <w:szCs w:val="16"/>
          <w:color w:val="auto"/>
        </w:rPr>
        <w:t>2.7%, followed by softening in the third quarter to 1.0% and then accelerating to 4.9% in the fourth quarter of the year. Gross Profit Margins declined compared to the prior year, even after excluding adjustments to our estimated liability related to social program remittances in each year. (In 2004, there was an unfavorable adjustment of $12.8 million, and in 2003, there was a $16.1 million favorable adjustment.) This decline reflects increasing price competition from large and small competitors, partially due to their expansion of office network capacity during a period of nominal growth in the total staffing market.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 REVENUES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3,848.2</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6"/>
              </w:rPr>
              <w:t>4,638.8</w:t>
            </w:r>
          </w:p>
        </w:tc>
        <w:tc>
          <w:tcPr>
            <w:tcW w:w="4780" w:type="dxa"/>
            <w:vAlign w:val="bottom"/>
          </w:tcPr>
          <w:p>
            <w:pPr>
              <w:ind w:left="20"/>
              <w:spacing w:after="0"/>
              <w:rPr>
                <w:sz w:val="20"/>
                <w:szCs w:val="20"/>
                <w:color w:val="auto"/>
              </w:rPr>
            </w:pPr>
            <w:r>
              <w:rPr>
                <w:rFonts w:ascii="Arial" w:cs="Arial" w:eastAsia="Arial" w:hAnsi="Arial"/>
                <w:sz w:val="18"/>
                <w:szCs w:val="18"/>
                <w:color w:val="auto"/>
              </w:rPr>
              <w:t>(+20.5%)</w:t>
            </w:r>
          </w:p>
        </w:tc>
        <w:tc>
          <w:tcPr>
            <w:tcW w:w="380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5,226.7</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(+12.7%)</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356"/>
        </w:trPr>
        <w:tc>
          <w:tcPr>
            <w:tcW w:w="6480" w:type="dxa"/>
            <w:vAlign w:val="bottom"/>
            <w:gridSpan w:val="4"/>
          </w:tcPr>
          <w:p>
            <w:pPr>
              <w:spacing w:after="0"/>
              <w:rPr>
                <w:sz w:val="20"/>
                <w:szCs w:val="20"/>
                <w:color w:val="auto"/>
              </w:rPr>
            </w:pPr>
            <w:r>
              <w:rPr>
                <w:rFonts w:ascii="Arial" w:cs="Arial" w:eastAsia="Arial" w:hAnsi="Arial"/>
                <w:sz w:val="18"/>
                <w:szCs w:val="18"/>
                <w:b w:val="1"/>
                <w:bCs w:val="1"/>
                <w:color w:val="auto"/>
              </w:rPr>
              <w:t>FRANCE OPERATING UNIT PROFIT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in millions ($)</w:t>
            </w:r>
          </w:p>
        </w:tc>
        <w:tc>
          <w:tcPr>
            <w:tcW w:w="1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1160" w:type="dxa"/>
            <w:vAlign w:val="bottom"/>
            <w:vMerge w:val="restart"/>
          </w:tcPr>
          <w:p>
            <w:pPr>
              <w:spacing w:after="0"/>
              <w:rPr>
                <w:sz w:val="24"/>
                <w:szCs w:val="24"/>
                <w:color w:val="auto"/>
              </w:rPr>
            </w:pPr>
          </w:p>
        </w:tc>
        <w:tc>
          <w:tcPr>
            <w:tcW w:w="400" w:type="dxa"/>
            <w:vAlign w:val="bottom"/>
          </w:tcPr>
          <w:p>
            <w:pPr>
              <w:spacing w:after="0"/>
              <w:rPr>
                <w:sz w:val="24"/>
                <w:szCs w:val="24"/>
                <w:color w:val="auto"/>
              </w:rPr>
            </w:pPr>
          </w:p>
        </w:tc>
        <w:tc>
          <w:tcPr>
            <w:tcW w:w="4920" w:type="dxa"/>
            <w:vAlign w:val="bottom"/>
            <w:gridSpan w:val="2"/>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143.6</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184.0</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(+28.2%)</w:t>
            </w:r>
          </w:p>
        </w:tc>
        <w:tc>
          <w:tcPr>
            <w:tcW w:w="380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178.8</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Selling and Administrative Expenses were well controlled during the year, decreasing slightly from 2003 despite continued investment in new offices. A total of 49 new offices were opened during the year, bringing the total office count to 1,127.</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Unit Profit was $178.8 million, a decrease of 2.8% from the prior year. Operating Unit Profit Margin was 3.4%, a decrease from 3.9% in 2003. Operating Unit Profit was unfavorably impacted by the adjustment for social program remittances in 2004, and favorably impacted by the adjustments in 2003, as discussed above.</w:t>
      </w:r>
    </w:p>
    <w:p>
      <w:pPr>
        <w:spacing w:after="0" w:line="12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2004, a new law in France ended the French Job Center’s (ANPE’s) control of the placement of the unemployed. As a result of this law change, temporary staffing companies are allowed to offer placement and recruitment services beginning January 1, 2005. We expect these services will have a long-term benefit on our French business, but will not have a significant impact on 2005 results due to investments required to grow this service line.</w:t>
      </w:r>
    </w:p>
    <w:p>
      <w:pPr>
        <w:spacing w:after="0" w:line="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EMEA – The EMEA region includes our operations in Europe, the Middle East and Africa (excluding France), which covers a total of 18 countries delivering services through 1,400 offices. In addition to employment services delivered under the Manpower brand, this region also includes Elan, which is a leading IT recruitment, staffing and managed services firm operating across 16 countries in the region, and Brook Street, which provides general staffing and recruitment services primarily in the United Kingdom.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EMEA REVENUES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3,434.9</w:t>
            </w: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6"/>
              </w:rPr>
              <w:t>3,920.2</w:t>
            </w:r>
          </w:p>
        </w:tc>
        <w:tc>
          <w:tcPr>
            <w:tcW w:w="4680" w:type="dxa"/>
            <w:vAlign w:val="bottom"/>
          </w:tcPr>
          <w:p>
            <w:pPr>
              <w:ind w:left="20"/>
              <w:spacing w:after="0"/>
              <w:rPr>
                <w:sz w:val="20"/>
                <w:szCs w:val="20"/>
                <w:color w:val="auto"/>
              </w:rPr>
            </w:pPr>
            <w:r>
              <w:rPr>
                <w:rFonts w:ascii="Arial" w:cs="Arial" w:eastAsia="Arial" w:hAnsi="Arial"/>
                <w:sz w:val="18"/>
                <w:szCs w:val="18"/>
                <w:color w:val="auto"/>
              </w:rPr>
              <w:t>(+14.1%)</w:t>
            </w:r>
          </w:p>
        </w:tc>
        <w:tc>
          <w:tcPr>
            <w:tcW w:w="390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5,084.3</w:t>
            </w: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(+29.7%)</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356"/>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EMEA OPERATING UNIT PROFIT</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in millions ($)</w:t>
            </w:r>
          </w:p>
        </w:tc>
        <w:tc>
          <w:tcPr>
            <w:tcW w:w="46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1160" w:type="dxa"/>
            <w:vAlign w:val="bottom"/>
            <w:vMerge w:val="restart"/>
          </w:tcPr>
          <w:p>
            <w:pPr>
              <w:spacing w:after="0"/>
              <w:rPr>
                <w:sz w:val="24"/>
                <w:szCs w:val="24"/>
                <w:color w:val="auto"/>
              </w:rPr>
            </w:pPr>
          </w:p>
        </w:tc>
        <w:tc>
          <w:tcPr>
            <w:tcW w:w="5220" w:type="dxa"/>
            <w:vAlign w:val="bottom"/>
            <w:gridSpan w:val="2"/>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83.0 (-21.6%)</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51.7 (-37.7%)</w:t>
            </w:r>
          </w:p>
        </w:tc>
        <w:tc>
          <w:tcPr>
            <w:tcW w:w="390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115.1 (+122.4%)</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Geographically, the largest operations in this segment are the U.K., which comprises 27% of EMEA revenues, Germany, Italy, the Netherlands, Norway, Spain and Sweden, which combined comprise 52% of EMEA revenues. Elan comprises 11% of EMEA revenues.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jc w:val="both"/>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in EMEA increased 29.7% to $5.1 billion, or 18.0% in constant currency. Constant currency revenue growth accelerated in the first half of the year and stabilized at 20% for the second half of the year. Fueling this strong revenue growth were investments in new offices, implementation of effective sales initiatives and positive secular trends in the usage of flexible staffing services. Revenue growth improved at all entities in the region, with significant local currency growth coming from Belgium (+27.3%), Elan (+24.6%), Italy (+18.9%) and Germany (+17.4%).</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Gross Profit Margin for the full year was slightly below the prior year, but was stable with the prior year in the second half of the year. The decline in Gross Profit Margin is due to competitive pricing pressure in certain markets and changing business mix, partially offset by the favorable impact of growth in permanent placement fees.</w:t>
      </w:r>
    </w:p>
    <w:p>
      <w:pPr>
        <w:spacing w:after="0" w:line="12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Selling and Administrative Expenses increased 22.3%, or 11.4% in constant currency. This growth in expenses reflects the necessary investments to support the rapid revenue growth. Additionally, we were able to achieve significant productivity gains, as we were able to leverage our existing office infrastructure.</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Unit Profit more than doubled to $115.1 million, an increase of 122.4%, or 104.1% in constant currency. The Operating Unit Profit Margin increased to 2.3% from 1.3%, reflecting the significant productivity gains.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Jefferson Wells – Jefferson Wells provides highly skilled project personnel along three primary business lines – internal audit and controls, technology risk management, tax and finance and accounting compliance. Our services are provided through 37 offices, which include major United States metropolitan markets, Toronto and London. The majority of employees assigned by Jefferson Wells are full-time company employees and therefore employee utilization is a significant factor in determining Gross Profit Margins.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JEFFERSON WELLS REVENUES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141.7</w:t>
            </w: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(+105.5%)</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136.4</w:t>
            </w:r>
          </w:p>
        </w:tc>
        <w:tc>
          <w:tcPr>
            <w:tcW w:w="4580" w:type="dxa"/>
            <w:vAlign w:val="bottom"/>
          </w:tcPr>
          <w:p>
            <w:pPr>
              <w:ind w:left="20"/>
              <w:spacing w:after="0"/>
              <w:rPr>
                <w:sz w:val="20"/>
                <w:szCs w:val="20"/>
                <w:color w:val="auto"/>
              </w:rPr>
            </w:pPr>
            <w:r>
              <w:rPr>
                <w:rFonts w:ascii="Arial" w:cs="Arial" w:eastAsia="Arial" w:hAnsi="Arial"/>
                <w:sz w:val="18"/>
                <w:szCs w:val="18"/>
                <w:color w:val="auto"/>
              </w:rPr>
              <w:t>(-3.7%)</w:t>
            </w:r>
          </w:p>
        </w:tc>
        <w:tc>
          <w:tcPr>
            <w:tcW w:w="41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340.6</w:t>
            </w: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(+149.6%)</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JEFFERSON WELLS OPERATING UNIT PROFIT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(8.3) (N/A)</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(9.9) (N/A)</w:t>
            </w:r>
          </w:p>
        </w:tc>
        <w:tc>
          <w:tcPr>
            <w:tcW w:w="43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51.4 (N/A)</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bl>
    <w:p>
      <w:pPr>
        <w:spacing w:after="0" w:line="140"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Revenues increased dramatically during the year, to $340.6 million from $136.4 million in 2003. This significant growth was primarily fueled by increased customer demand for technology risk management and internal audit and control services. Included in these services are personnel who assist companies in complying with the Sarbanes-Oxley Act legislation.</w:t>
      </w:r>
    </w:p>
    <w:p>
      <w:pPr>
        <w:spacing w:after="0" w:line="12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Revenue trends grew sequentially throughout the year, and reached their peak levels in October. Revenues in the fourth quarter were $102.9 million, down 7.0% sequentially from the third quarter of 2004. This decline, which may continue into 2005, reflects a lower level of demand for our services as companies complete the initial stages of Sarbanes-Oxley compliance.</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Gross Profit Margins have improved by more than 650 basis points (6.5%) over the prior year and are in excess of 40% for 2004. This improvement primarily reflects the improved utilization of employees assigned to customer engagements.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and Administrative Expenses increased by 56.7% as we continued to invest in new office openings and additional personnel to support the rapid revenue growth. As a percentage of revenues, these expenses declined dramatically as we were able to grow into office capacity, in which we had invested in previous years.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Operating Unit Profit was $51.4 million or 15.1% of revenue, reflecting the high employee utilization levels and expense leveraging discussed earlier.</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 On January 22, 2004, we completed our exchange offer to acquire RMC, the world’s largest career transition and organizational consulting services firm, operating through approximately 300 offices in 35 countries. The results of RMC’s operations are included in our consolidated financial statements since that date. The acquisition of RMC expands the range of services that we offer to customers as a strategic partner through every stage of the employment cycle. We have merged our Empower operations into RMC, and the results of the combined entity are reported as the Right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REVENUES</w:t>
      </w:r>
      <w:r>
        <w:rPr>
          <w:rFonts w:ascii="Arial" w:cs="Arial" w:eastAsia="Arial" w:hAnsi="Arial"/>
          <w:sz w:val="22"/>
          <w:szCs w:val="22"/>
          <w:b w:val="1"/>
          <w:bCs w:val="1"/>
          <w:color w:val="auto"/>
          <w:vertAlign w:val="superscript"/>
        </w:rPr>
        <w:t>(a)</w:t>
      </w:r>
    </w:p>
    <w:p>
      <w:pPr>
        <w:ind w:left="20"/>
        <w:spacing w:after="0"/>
        <w:rPr>
          <w:sz w:val="20"/>
          <w:szCs w:val="20"/>
          <w:color w:val="auto"/>
        </w:rPr>
      </w:pPr>
      <w:r>
        <w:rPr>
          <w:rFonts w:ascii="Arial" w:cs="Arial" w:eastAsia="Arial" w:hAnsi="Arial"/>
          <w:sz w:val="18"/>
          <w:szCs w:val="18"/>
          <w:color w:val="auto"/>
        </w:rPr>
        <w:t>in millions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54.4</w:t>
            </w: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(+36.5%)</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5"/>
              </w:rPr>
              <w:t>66.9</w:t>
            </w:r>
          </w:p>
        </w:tc>
        <w:tc>
          <w:tcPr>
            <w:tcW w:w="4920" w:type="dxa"/>
            <w:vAlign w:val="bottom"/>
          </w:tcPr>
          <w:p>
            <w:pPr>
              <w:ind w:left="20"/>
              <w:spacing w:after="0"/>
              <w:rPr>
                <w:sz w:val="20"/>
                <w:szCs w:val="20"/>
                <w:color w:val="auto"/>
              </w:rPr>
            </w:pPr>
            <w:r>
              <w:rPr>
                <w:rFonts w:ascii="Arial" w:cs="Arial" w:eastAsia="Arial" w:hAnsi="Arial"/>
                <w:sz w:val="18"/>
                <w:szCs w:val="18"/>
                <w:color w:val="auto"/>
              </w:rPr>
              <w:t>(+23.0%)</w:t>
            </w:r>
          </w:p>
        </w:tc>
        <w:tc>
          <w:tcPr>
            <w:tcW w:w="388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431.1 (N/A)</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356"/>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RIGHT OPERATING UNIT PROFIT</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ind w:left="20"/>
              <w:spacing w:after="0"/>
              <w:rPr>
                <w:sz w:val="20"/>
                <w:szCs w:val="20"/>
                <w:color w:val="auto"/>
              </w:rPr>
            </w:pPr>
            <w:r>
              <w:rPr>
                <w:rFonts w:ascii="Arial" w:cs="Arial" w:eastAsia="Arial" w:hAnsi="Arial"/>
                <w:sz w:val="18"/>
                <w:szCs w:val="18"/>
                <w:color w:val="auto"/>
              </w:rPr>
              <w:t>in millions ($)</w:t>
            </w:r>
          </w:p>
        </w:tc>
        <w:tc>
          <w:tcPr>
            <w:tcW w:w="49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5240" w:type="dxa"/>
            <w:vAlign w:val="bottom"/>
            <w:gridSpan w:val="2"/>
          </w:tcPr>
          <w:p>
            <w:pPr>
              <w:spacing w:after="0"/>
              <w:rPr>
                <w:sz w:val="13"/>
                <w:szCs w:val="13"/>
                <w:color w:val="auto"/>
              </w:rPr>
            </w:pPr>
          </w:p>
        </w:tc>
        <w:tc>
          <w:tcPr>
            <w:tcW w:w="3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 (N/A)</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(2.3) (N/A)</w:t>
            </w:r>
          </w:p>
        </w:tc>
        <w:tc>
          <w:tcPr>
            <w:tcW w:w="388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24.5</w:t>
            </w: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Represents the operations of Right Management Consultants, Inc., since its acquisition in January 2004, and the Empower Group.</w:t>
      </w:r>
    </w:p>
    <w:p>
      <w:pPr>
        <w:spacing w:after="0" w:line="14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Right’s revenues for the year are $431.1 million, of which, approximately 65% relates to career transition services and 35% relates to organizational consulting in 2004. Historically, the career transition services have a higher gross profit margin than the organizational consulting services.</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nine months of the year, demand for career transition services declined as the economy improved. Fourth quarter revenues, however, improved 4.3% sequentially due in part to seasonal factors. Demand for organizational consulting services has improved modestly during the course of the year as companies became more willing to invest in these services with an improving economy.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Operating Unit Profit for the year was $24.5 million, which is net of $8.1 million of integration costs related to the merger of Empower into RMC.</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Operating Unit Profit Margin for the year was 5.7%. This below-normal Operating Unit Profit Margin not only reflects the integration costs discussed above, but also reflects a transition period in adjusting expense levels to support lower revenue levels.</w:t>
      </w:r>
    </w:p>
    <w:p>
      <w:pPr>
        <w:spacing w:after="0" w:line="11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Other Operations – The Other Operations segment includes our operations in the Asia Pacific region, Canada, Mexico and South America, delivering service through 491 offices. Our largest country operation within this segment is Japan, which accounts for approximately 45% of the segment’s revenues.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OPERATIONS REVENUES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1,220.3</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1,476.4</w:t>
            </w:r>
          </w:p>
        </w:tc>
        <w:tc>
          <w:tcPr>
            <w:tcW w:w="4460" w:type="dxa"/>
            <w:vAlign w:val="bottom"/>
          </w:tcPr>
          <w:p>
            <w:pPr>
              <w:ind w:left="20"/>
              <w:spacing w:after="0"/>
              <w:rPr>
                <w:sz w:val="20"/>
                <w:szCs w:val="20"/>
                <w:color w:val="auto"/>
              </w:rPr>
            </w:pPr>
            <w:r>
              <w:rPr>
                <w:rFonts w:ascii="Arial" w:cs="Arial" w:eastAsia="Arial" w:hAnsi="Arial"/>
                <w:sz w:val="18"/>
                <w:szCs w:val="18"/>
                <w:color w:val="auto"/>
              </w:rPr>
              <w:t>(+21.0%)</w:t>
            </w:r>
          </w:p>
        </w:tc>
        <w:tc>
          <w:tcPr>
            <w:tcW w:w="412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1,806.2</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(+22.3%)</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UNIT PROFIT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19.4</w:t>
            </w:r>
          </w:p>
        </w:tc>
        <w:tc>
          <w:tcPr>
            <w:tcW w:w="4620" w:type="dxa"/>
            <w:vAlign w:val="bottom"/>
          </w:tcPr>
          <w:p>
            <w:pPr>
              <w:ind w:left="20"/>
              <w:spacing w:after="0"/>
              <w:rPr>
                <w:sz w:val="20"/>
                <w:szCs w:val="20"/>
                <w:color w:val="auto"/>
              </w:rPr>
            </w:pPr>
            <w:r>
              <w:rPr>
                <w:rFonts w:ascii="Arial" w:cs="Arial" w:eastAsia="Arial" w:hAnsi="Arial"/>
                <w:sz w:val="18"/>
                <w:szCs w:val="18"/>
                <w:color w:val="auto"/>
              </w:rPr>
              <w:t>(+27.1%)</w:t>
            </w:r>
          </w:p>
        </w:tc>
        <w:tc>
          <w:tcPr>
            <w:tcW w:w="418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5"/>
              </w:rPr>
              <w:t>40.1</w:t>
            </w:r>
          </w:p>
        </w:tc>
        <w:tc>
          <w:tcPr>
            <w:tcW w:w="4620" w:type="dxa"/>
            <w:vAlign w:val="bottom"/>
          </w:tcPr>
          <w:p>
            <w:pPr>
              <w:ind w:left="20"/>
              <w:spacing w:after="0"/>
              <w:rPr>
                <w:sz w:val="20"/>
                <w:szCs w:val="20"/>
                <w:color w:val="auto"/>
              </w:rPr>
            </w:pPr>
            <w:r>
              <w:rPr>
                <w:rFonts w:ascii="Arial" w:cs="Arial" w:eastAsia="Arial" w:hAnsi="Arial"/>
                <w:sz w:val="18"/>
                <w:szCs w:val="18"/>
                <w:color w:val="auto"/>
              </w:rPr>
              <w:t>(+106.7%)</w:t>
            </w:r>
          </w:p>
        </w:tc>
        <w:tc>
          <w:tcPr>
            <w:tcW w:w="41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22"/>
        </w:trPr>
        <w:tc>
          <w:tcPr>
            <w:tcW w:w="340" w:type="dxa"/>
            <w:vAlign w:val="bottom"/>
          </w:tcPr>
          <w:p>
            <w:pPr>
              <w:jc w:val="right"/>
              <w:spacing w:after="0"/>
              <w:rPr>
                <w:sz w:val="20"/>
                <w:szCs w:val="20"/>
                <w:color w:val="auto"/>
              </w:rPr>
            </w:pPr>
            <w:r>
              <w:rPr>
                <w:rFonts w:ascii="Arial" w:cs="Arial" w:eastAsia="Arial" w:hAnsi="Arial"/>
                <w:sz w:val="18"/>
                <w:szCs w:val="18"/>
                <w:color w:val="auto"/>
                <w:w w:val="85"/>
              </w:rPr>
              <w:t>46.0</w:t>
            </w:r>
          </w:p>
        </w:tc>
        <w:tc>
          <w:tcPr>
            <w:tcW w:w="4620" w:type="dxa"/>
            <w:vAlign w:val="bottom"/>
          </w:tcPr>
          <w:p>
            <w:pPr>
              <w:ind w:left="20"/>
              <w:spacing w:after="0"/>
              <w:rPr>
                <w:sz w:val="20"/>
                <w:szCs w:val="20"/>
                <w:color w:val="auto"/>
              </w:rPr>
            </w:pPr>
            <w:r>
              <w:rPr>
                <w:rFonts w:ascii="Arial" w:cs="Arial" w:eastAsia="Arial" w:hAnsi="Arial"/>
                <w:sz w:val="18"/>
                <w:szCs w:val="18"/>
                <w:color w:val="auto"/>
              </w:rPr>
              <w:t>(+14.9%)</w:t>
            </w:r>
          </w:p>
        </w:tc>
        <w:tc>
          <w:tcPr>
            <w:tcW w:w="4180" w:type="dxa"/>
            <w:vAlign w:val="bottom"/>
          </w:tcPr>
          <w:p>
            <w:pPr>
              <w:jc w:val="right"/>
              <w:spacing w:after="0"/>
              <w:rPr>
                <w:sz w:val="20"/>
                <w:szCs w:val="20"/>
                <w:color w:val="auto"/>
              </w:rPr>
            </w:pPr>
            <w:r>
              <w:rPr>
                <w:rFonts w:ascii="Arial" w:cs="Arial" w:eastAsia="Arial" w:hAnsi="Arial"/>
                <w:sz w:val="18"/>
                <w:szCs w:val="18"/>
                <w:color w:val="auto"/>
              </w:rPr>
              <w:t>2004</w:t>
            </w:r>
          </w:p>
        </w:tc>
      </w:tr>
    </w:tbl>
    <w:p>
      <w:pPr>
        <w:spacing w:after="0" w:line="14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Revenues in the region improved 22.3% to $1.8 billion, or 16.0% in constant currency. This strong local currency revenue growth was fueled by South America (+50.4%), Japan (+11.6%), Mexico (+15.0%), Australia (+10.3%) and Canada (+5.9%).</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Gross Profit Margin improved in the region primarily due to an increase in permanent placement fees. This improvement was partially offset by a decline in Gross Profit Margin in Japan, as increases in social costs were not fully recovered through higher bill rates due to competitive pressures.</w:t>
      </w:r>
    </w:p>
    <w:p>
      <w:pPr>
        <w:spacing w:after="0" w:line="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Selling and Administrative Expenses increased 28.0%, or 21.3% in constant currency, reflecting increased investments in 52 new offices in the segment and additional personnel to support the growth of the permanent placement business.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23" w:name="page24"/>
    <w:bookmarkEnd w:id="2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Unit Profit increased 14.9% to $46.0 million, or 8.5% in constant currency. The Operating Unit Profit Margin declined from 2.7% to 2.5% as Selling and Administrative Expense increases exceeded the gains in Gross Profit Margin.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 – CONSTANT CURRENCY AND ORGANIC CONSTANT CURRENCY RECONCILIATION</w:t>
      </w:r>
    </w:p>
    <w:p>
      <w:pPr>
        <w:spacing w:after="0" w:line="7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Certain constant currency and organic constant currency percent variances are discussed throughout this annual report. A reconciliation to the percent variances calculated based on our annual financial results is provided below. (See Constant Currency on page 17 for further information.)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Impact of</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Variance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Acquisitions/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Reported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In</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Dispositions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Reported</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Impact Of</w:t>
            </w: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Constant</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(In Constant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Variance</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Currency</w:t>
            </w: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Currency</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Amounts represent 2003</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Percentages represent 2003 compared to 2002</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United States</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1,945.8</w:t>
            </w:r>
          </w:p>
        </w:tc>
        <w:tc>
          <w:tcPr>
            <w:tcW w:w="24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4,638.8</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EMEA</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3,920.2</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14.4</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Right(a)</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12,184.5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2"/>
        </w:trPr>
        <w:tc>
          <w:tcPr>
            <w:tcW w:w="4180" w:type="dxa"/>
            <w:vAlign w:val="bottom"/>
            <w:gridSpan w:val="2"/>
          </w:tcPr>
          <w:p>
            <w:pPr>
              <w:spacing w:after="0"/>
              <w:rPr>
                <w:sz w:val="20"/>
                <w:szCs w:val="20"/>
                <w:color w:val="auto"/>
              </w:rPr>
            </w:pPr>
            <w:r>
              <w:rPr>
                <w:rFonts w:ascii="Arial" w:cs="Arial" w:eastAsia="Arial" w:hAnsi="Arial"/>
                <w:sz w:val="18"/>
                <w:szCs w:val="18"/>
                <w:color w:val="auto"/>
              </w:rPr>
              <w:t>Gross Profit - Manpower Inc.</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2,136.8</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50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12.2</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United States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EMEA</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(37.7)</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7.7</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(45.4)</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Right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Profit - Manpower Inc.</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257.9</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Amounts represent 2004</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Percentages represent 2004 compared to 2003</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United States</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2,041.1</w:t>
            </w:r>
          </w:p>
        </w:tc>
        <w:tc>
          <w:tcPr>
            <w:tcW w:w="24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EMEA</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5,084.3</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5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11.7</w:t>
            </w:r>
          </w:p>
        </w:tc>
        <w:tc>
          <w:tcPr>
            <w:tcW w:w="560" w:type="dxa"/>
            <w:vAlign w:val="bottom"/>
          </w:tcPr>
          <w:p>
            <w:pPr>
              <w:jc w:val="right"/>
              <w:spacing w:after="0"/>
              <w:rPr>
                <w:sz w:val="20"/>
                <w:szCs w:val="20"/>
                <w:color w:val="auto"/>
              </w:rPr>
            </w:pPr>
            <w:r>
              <w:rPr>
                <w:rFonts w:ascii="Arial" w:cs="Arial" w:eastAsia="Arial" w:hAnsi="Arial"/>
                <w:sz w:val="18"/>
                <w:szCs w:val="18"/>
                <w:color w:val="auto"/>
              </w:rPr>
              <w:t>18.0</w:t>
            </w:r>
          </w:p>
        </w:tc>
        <w:tc>
          <w:tcPr>
            <w:tcW w:w="4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Right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14,930.0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22"/>
        </w:trPr>
        <w:tc>
          <w:tcPr>
            <w:tcW w:w="4180" w:type="dxa"/>
            <w:vAlign w:val="bottom"/>
            <w:gridSpan w:val="2"/>
          </w:tcPr>
          <w:p>
            <w:pPr>
              <w:spacing w:after="0"/>
              <w:rPr>
                <w:sz w:val="20"/>
                <w:szCs w:val="20"/>
                <w:color w:val="auto"/>
              </w:rPr>
            </w:pPr>
            <w:r>
              <w:rPr>
                <w:rFonts w:ascii="Arial" w:cs="Arial" w:eastAsia="Arial" w:hAnsi="Arial"/>
                <w:sz w:val="18"/>
                <w:szCs w:val="18"/>
                <w:color w:val="auto"/>
              </w:rPr>
              <w:t>Gross Profit - Manpower Inc.</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2,788.1</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50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8.5</w:t>
            </w: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48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9.9</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United States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50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46.4</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EMEA</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115.1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5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18.3</w:t>
            </w:r>
          </w:p>
        </w:tc>
        <w:tc>
          <w:tcPr>
            <w:tcW w:w="560" w:type="dxa"/>
            <w:vAlign w:val="bottom"/>
          </w:tcPr>
          <w:p>
            <w:pPr>
              <w:jc w:val="right"/>
              <w:spacing w:after="0"/>
              <w:rPr>
                <w:sz w:val="20"/>
                <w:szCs w:val="20"/>
                <w:color w:val="auto"/>
              </w:rPr>
            </w:pPr>
            <w:r>
              <w:rPr>
                <w:rFonts w:ascii="Arial" w:cs="Arial" w:eastAsia="Arial" w:hAnsi="Arial"/>
                <w:sz w:val="18"/>
                <w:szCs w:val="18"/>
                <w:color w:val="auto"/>
              </w:rPr>
              <w:t>104.1</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Right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Profit - Manpower Inc.</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395.8</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50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10.5</w:t>
            </w: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48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7.3</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460" w:right="28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operations of Right Management Consultants, Inc. (“RMC”), since its acquisition in January 2004, and the Empower Group. Since RMC comprises most of this segment, the year-over-year variances are not meaningful and have been excluded from the above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SOURCES AND USES</w:t>
      </w:r>
    </w:p>
    <w:p>
      <w:pPr>
        <w:spacing w:after="0" w:line="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principal ongoing cash needs are to finance working capital, capital expenditures, share repurchases, debt payments, and acquisitions. Working capital is primarily in the form of trade receivables, which generally increase as revenues increase. The amount of financing necessary to support revenue growth depends on receivable turnover, which differs in each market in which we operate.</w:t>
      </w:r>
    </w:p>
    <w:p>
      <w:pPr>
        <w:spacing w:after="0" w:line="12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During 2004, cash provided by operating activities was $187.4 million, compared to $223.4 million for 2003 and $227.9 million for 2002. The strong results reflect the impact of our focus on working capital management over the past few years. The change in 2004 from 2003 is due primarily to the higher working capital requirements to fund the growth in our business, offset by the higher earnings level in 2004.</w:t>
      </w:r>
    </w:p>
    <w:p>
      <w:pPr>
        <w:spacing w:after="0" w:line="12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Accounts receivable increased to $3,227.8 million as of December 31, 2004 from $2,600.9 million as of December 31, 2003. This increase is primarily due to increased business volumes, the acquisition of RMC, and changes in foreign currency exchange rates. At constant exchange rates, the 2004 Accounts Receivable balance would have been approximately $190 million less than reported. Days Sales Outstanding (“DSO”) has remained relatively stable during 2004, and has decreased one day since 2002. However, this calculation is impacted by the effect of exchange rates on our mix of accounts receivable by country. Excluding that impact, we have reduced DSO by approximately two days compared to 2002.</w:t>
      </w:r>
    </w:p>
    <w:p>
      <w:pPr>
        <w:spacing w:after="0" w:line="10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One of our wholly-owned U.S. subsidiaries has an agreement to transfer, on an ongoing basis, up to $200.0 million of an interest in its Accounts Receivable. The terms of this agreement are such that transfers do not qualify as a sale of accounts receivable. Accordingly, any advances under this agreement are reflected as debt on the consolidated balance sheets. Prior to an amendment to the agreement in November 2002, transfers of accounts receivable qualified as a sale and the related amount of accounts receivable was removed from our consolidated balance sheets. In July 2004, we amended the agreement to extend it to July 2005. All other terms remain substantially unchanged. No amounts were advanced under this facility as of December 31, 2004 and 2003.</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Capital expenditures were $67.9 million, $55.5 million, and $58.5 million during 2004, 2003 and 2002, respectively. These expenditures are primarily comprised of purchases of computer equipment, office furniture and other costs related to office openings and refurbishments, as well as capitalized software costs of $2.7 million, $8.2 million, and $17.7 million in 2004, 2003, and 2002, respectively.</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we acquire and invest in companies throughout the world, including U.S. franchises. The total cash consideration for such transactions was $117.3 million, $6.7 million, and $33.5 million in 2004, 2003 and 2002, respectively. The 2004 amount includes the payment of acquisition-related costs and the $123.8 million repayment of RMC’s long-term debt that we were required to make due to change of control provisions contained in the agreements. We financed the acquisition-related costs and this repayment with excess cash and borrowings under our U.S. Receivables Facility, which was repaid in 2004. Cash acquired of approximately $39.5 million offsets these payments. In 2003 and 2002, in addition to the cash consideration, we acquired ownership interests in certain U.S. franchises in exchange for approximately 13,000 and 592,000 shares of our common stock, respectively, which had an aggregate market value of $0.7 million and $21.9 million, respectively, at the dates of acquisition.</w:t>
      </w:r>
    </w:p>
    <w:p>
      <w:pPr>
        <w:spacing w:after="0" w:line="10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January 22, 2004, we completed our exchange offer to acquire RMC for $630.6 million. The purchase price includes the issuance of 8,852,000 shares of our common stock valued at $48.40 per share ($428.4 million); the fair value of 1,962,000 options in our common stock that resulted from our assuming both of RMC’s stock option plans ($59.5 million); the repayment of RMC’s long-term debt ($123.8 million); the payment of acquisition-related costs, net of tax ($11.5 million); a severance payment and accelerated vesting of RMC’s Supplemental Executive Retirement Plan, net of tax ($6.0 million); and other items ($1.4 million). (See note 2 to our consolidated financial statements for further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acquisition of RMC, we have established reserves for severances and other office closure costs to streamline RMC’s worldwide operations that total $24.5 million. We have recorded a net deferred tax asset of $6.5 million related to these items. During 2004, approximately $7.8 million was paid from these reserves. Of the remaining balance, approximately $15.1 million will be paid during 2005, with the remaining $1.6 million to be paid thereafter.</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borrowings were $5.7 million for 2004, compared to repayments of $84.5 million for 2003, and $115.0 million for 2002. During 2004, 2003, and 2002, we used excess cash to pay down borrowings under various facilities when appropriate. Proceeds from Long-Term Debt and Repayments of Long-Term Debt include activity related to our commercial paper program.</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October 2004, the Board of Directors authorized the repurchase of 5 million shares of our common stock, not to exceed a total purchase price of $250.0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This repurchase authorization replaces all previous authorizations. As of December 31, 2004, there were no shares repurchased under this authorization, however, as of February 18, 2005, 925,000 shares have been repurchased at a total cost of $41.0 million. There were no share repurchases in 2003 and a total of 900,000 shares at a cost of $30.7 million were repurchased in 2002 under a previous authorization.</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2004, 2003, and 2002, the Board of Directors declared two cash dividends for a total of $0.30, $0.20, and $0.20 per share, respectively. Our total dividend payments were $27.1 million, $15.6 million, and $15.3 million in 2004, 2003, and 2002, respectively.</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have aggregate commitments of $1,614.2 million related to debt repayments, operating leases, acquisition-related severances and office closure costs, and certain other commitments,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2005</w:t>
            </w:r>
          </w:p>
        </w:tc>
        <w:tc>
          <w:tcPr>
            <w:tcW w:w="7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2007</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67.2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Acquisition-related severances and other office closure costs</w:t>
            </w: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$439.0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74.1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also have entered into guarantee contracts and stand-by letters of credit that total approximately $115.3 million and $135.4 million as of December 31, 2004 and 2003, respectively ($37.6 million and $68.7 million for guarantees, respectively, and $77.7 million and $66.7 million for stand-by letters of credit, respectively). Guarantees primarily relate to indebtedness, bank accounts, and leases.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RESOURCES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Total capitalization as of December 31, 2004 was $3,075.8 million, comprised of $901.8 million in debt and $2,174.0 million in equity. Debt as a percentage of total capitalization was 29% as of December 31, 2004 compared to 39% as of December 31, 2003. This decrease is primarily a result of the equity issued in connection with the acquisition of RMC.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capitalization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w:t>
      </w:r>
    </w:p>
    <w:p>
      <w:pPr>
        <w:spacing w:after="0" w:line="147"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Debt</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1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2120" w:type="dxa"/>
            <w:vAlign w:val="bottom"/>
          </w:tcPr>
          <w:p>
            <w:pPr>
              <w:spacing w:after="0"/>
              <w:rPr>
                <w:sz w:val="15"/>
                <w:szCs w:val="15"/>
                <w:color w:val="auto"/>
              </w:rPr>
            </w:pPr>
          </w:p>
        </w:tc>
      </w:tr>
      <w:tr>
        <w:trPr>
          <w:trHeight w:val="95"/>
        </w:trPr>
        <w:tc>
          <w:tcPr>
            <w:tcW w:w="20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r>
      <w:tr>
        <w:trPr>
          <w:trHeight w:val="102"/>
        </w:trPr>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120" w:type="dxa"/>
            <w:vAlign w:val="bottom"/>
          </w:tcPr>
          <w:p>
            <w:pPr>
              <w:spacing w:after="0"/>
              <w:rPr>
                <w:sz w:val="8"/>
                <w:szCs w:val="8"/>
                <w:color w:val="auto"/>
              </w:rPr>
            </w:pPr>
          </w:p>
        </w:tc>
      </w:tr>
      <w:tr>
        <w:trPr>
          <w:trHeight w:val="216"/>
        </w:trPr>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2380" w:type="dxa"/>
            <w:vAlign w:val="bottom"/>
            <w:gridSpan w:val="2"/>
          </w:tcPr>
          <w:p>
            <w:pPr>
              <w:jc w:val="right"/>
              <w:spacing w:after="0"/>
              <w:rPr>
                <w:sz w:val="20"/>
                <w:szCs w:val="20"/>
                <w:color w:val="auto"/>
              </w:rPr>
            </w:pPr>
            <w:r>
              <w:rPr>
                <w:rFonts w:ascii="Arial" w:cs="Arial" w:eastAsia="Arial" w:hAnsi="Arial"/>
                <w:sz w:val="18"/>
                <w:szCs w:val="18"/>
                <w:color w:val="auto"/>
              </w:rPr>
              <w:t>834.8</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814.3</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1,649.1</w:t>
            </w:r>
          </w:p>
        </w:tc>
        <w:tc>
          <w:tcPr>
            <w:tcW w:w="212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1,821.7</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2380" w:type="dxa"/>
            <w:vAlign w:val="bottom"/>
            <w:gridSpan w:val="2"/>
          </w:tcPr>
          <w:p>
            <w:pPr>
              <w:jc w:val="right"/>
              <w:spacing w:after="0"/>
              <w:rPr>
                <w:sz w:val="20"/>
                <w:szCs w:val="20"/>
                <w:color w:val="auto"/>
              </w:rPr>
            </w:pPr>
            <w:r>
              <w:rPr>
                <w:rFonts w:ascii="Arial" w:cs="Arial" w:eastAsia="Arial" w:hAnsi="Arial"/>
                <w:sz w:val="18"/>
                <w:szCs w:val="18"/>
                <w:color w:val="auto"/>
              </w:rPr>
              <w:t>841.7</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1,310.3</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2,152.0</w:t>
            </w:r>
          </w:p>
        </w:tc>
        <w:tc>
          <w:tcPr>
            <w:tcW w:w="212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3,075.8</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bl>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$435.4 million in aggregate principal amount at maturity of unsecured zero-coupon convertible debentures, due August 17, 2021 (“Debentures”), with a carrying value of $265.3 million as of December 31, 2004. These Debentures were issued in August 2001 at a discount to yield an effective interest rate of 3% per year, and they rank equally with all of our existing and future senior unsecured indebtedness. There are no scheduled cash interest payments associated with the Debentures.</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Debentures are convertible into 6.1 million shares of our common stock if the closing price of our common stock on the New York Stock Exchange exceeds specified levels, or in certain other circumstances.</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of the Debentures may require us to purchase these Debentures at the issue price, plus accreted original issue discount, on the first, third, fifth, tenth and fifteenth anniversary dates. We have the option to settle this obligation in cash, common stock, or a combination thereof. There were no Debentures “put” to us on the first anniversary date. On the third anniversary date, $0.1 million of principal amount at maturity of the Debentures was tendered for repurchase, resulting in a payment of approximately $0.1 million. Our intent is to settle any future “put” in cash. In the event of a significant change in the economic environment, we may choose to settle a future “put” with common stock, which would have a dilutive effect on existing shareholders. As of August 17, 2004, we may also now “call” the Debentures.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We have €150.0 million in unsecured notes due March 2005, at 6.25%, and €200.0 million in unsecured notes due July 2006, at 5.63%. We plan to repay the</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€150.0 million notes with cash or other available borrowing facilities when they come due. (See Significant Matters Affecting Results of Operations and notes 7 and 13 to the consolidated financial statements for further information.)</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2004, we entered into a new $625.0 million revolving credit agreement with a syndicate of commercial banks that expires in October 2009. The new agreement replaces our $450.0 million five-year revolving credit facility and $200.0 million 364-day revolving credit facility. Amounts borrowed under the $450.0 million five-year facility were transferred to this new facility.</w:t>
      </w:r>
    </w:p>
    <w:p>
      <w:pPr>
        <w:spacing w:after="0" w:line="12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The new revolving credit agreement allows for borrowings in various currencies and up to $150.0 million may be used for the issuance of stand-by letters of credit. Outstanding letters of credit totaled $77.7 million and $66.7 million as of December 31, 2004 and 2003, respectively. Additional borrowings of $411.8 million were available to us under this new revolving credit agreement as of December 31, 2004.</w:t>
      </w:r>
    </w:p>
    <w:p>
      <w:pPr>
        <w:spacing w:after="0" w:line="93" w:lineRule="exact"/>
        <w:rPr>
          <w:sz w:val="20"/>
          <w:szCs w:val="20"/>
          <w:color w:val="auto"/>
        </w:rPr>
      </w:pPr>
    </w:p>
    <w:p>
      <w:pPr>
        <w:jc w:val="both"/>
        <w:ind w:right="320"/>
        <w:spacing w:after="0" w:line="332" w:lineRule="auto"/>
        <w:rPr>
          <w:sz w:val="20"/>
          <w:szCs w:val="20"/>
          <w:color w:val="auto"/>
        </w:rPr>
      </w:pPr>
      <w:r>
        <w:rPr>
          <w:rFonts w:ascii="Arial" w:cs="Arial" w:eastAsia="Arial" w:hAnsi="Arial"/>
          <w:sz w:val="16"/>
          <w:szCs w:val="16"/>
          <w:color w:val="auto"/>
        </w:rPr>
        <w:t>The interest rate and facility fee on the new agreement, as well as the fee paid for the issuance of letters of credit on the facility, vary based on our public debt ratings and borrowing level. The current interest rate is LIBOR plus .675% and the facility and issuance fees are .20% and .675%, respectively.</w:t>
      </w:r>
    </w:p>
    <w:p>
      <w:pPr>
        <w:spacing w:after="0" w:line="7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new agreement requires, among other things, that we comply with a Debt-to-EBITDA ratio of less than 3.25 to 1 and a fixed charge ratio of greater than 2.00 to 1. As defined in the agreement, we had a Debt-to-EBITDA ratio of 1.84 to 1 and a fixed charge ratio of 2.69 to 1 as of December 31, 2004. Based upon current forecasts, we expect to be in compliance with these covenants throughout the coming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our $125.0 million U.S. commercial paper program as of December 31, 2004 and 2003.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7" w:name="page28"/>
    <w:bookmarkEnd w:id="27"/>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previously mentioned facilities, we maintain separate bank facilities with foreign financial institutions to meet working capital needs of our foreign operations. As of December 31, 2004, such facilities totaled $295.0 million, of which $284.9 million was unused.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Our current credit rating from Moody’s Corporation is Baa3 with a stable outlook and our credit rating from Standard &amp; Poor’s is BBB- with a stable outlook.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Both of these credit ratings are investment grade.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a Selling and Administrative Expense and was $27.3 million, $16.7 million, and $18.2 million for 2004, 2003, and 2002,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3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$21.9 million, $19.5 million, and $18.4 million, for 2004,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Employment-Related Items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employment of temporary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sponsor several qualified and nonqualified pension plans covering permanent employees. The most significant plans are located in the United States, France, the United Kingdom, Japan and other European countries. Annual expense relating to these plans is recorded as Selling and Administrative Expense, in accordance with the accounting rules generally accepted in the United States. The calculations of annual pension expense and the pension liability required at year-end include various actuarial assumptions such as discount rates, expected rate of return on plan assets, compensation increases and employee turnover rates. Changes to any of these assumptions will impact the level of annual expense recorded related to the plans. We review the actuarial assumptions on an annual basis and make modifications to the assumptions as necessary. (See note 9 to the consolidated financial statements for further information.)</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United States, we are self-insured in most states for workers’ compensation claims for our temporary workers. We determine the proper reserve balance using an actuarial valuation, which considers our historical payment experience and current employee demographics. Our reserve for such claims as of December 31, 2004 and 2003 was $100.0 and $103.0 million, respectively. The workers’ compensation expense is recorded as a component of Cost of Services. A significant increase in claims or changes in laws may require us to record more expense related to workers’ compensation. On the other hand, significantly improved claim experience may result in a lower annual expense level.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France, the government has various social programs that are aimed at reducing the cost of labor and encouraging employment, particularly for low-wage workers, through the reduction of payroll taxes (or social contribution). A portion of these payroll tax reductions is remitted to our customers in certain circumstances. We are required to make an estimate for the amount that will be remitted, which is recorded as a reduction of Revenue from Services. We make this estimate based on our historical experience, including related trends. To the extent that our experience differs from our estimate, we will need to make adjustments to our reserve balance, which will impact the results of our French operation. In addition, future changes to laws governing these payroll tax reductions may require us to revise our estimates, which may significantly impact our consolidated financial statements. In the fourth quarter of 2003, we reduced our estimated liability related to these remittances by $16.1 million due to the recent historical trends in the amounts remitted.</w:t>
      </w:r>
    </w:p>
    <w:p>
      <w:pPr>
        <w:spacing w:after="0" w:line="10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a routine basis, governmental agencies in some of the countries in which we operate will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 We make an estimate of the additional remittances that may be required and record the estimate as a component of Cost of Services. The estimate is based on the results of past audits,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w:t>
      </w:r>
    </w:p>
    <w:p>
      <w:pPr>
        <w:spacing w:after="0" w:line="1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France, we are currently under audit for payroll tax remittances made during 2001 and for remittances made during 2002 and 2003. We have received a preliminary notification related to 2001 and have responded to the notification with additional information. During 2004, we increased our estimated liability related to these remittances by $12.8 million.</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Netherlands, we are currently under audit for compliance with regulations related to the collection and maintenance of payroll-related documents for our temporary employees. We have not received any notification of findings related to this audit, however we currently do not expect any assessment to have a significant impact on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recognize revenue under the provisions of Staff Accounting Bulletin No. 104, “Revenue Recognition” (“SAB 104”). SAB 104 generally provides that revenue for time-based services be recognized over the average length of the services being provided. For the career transition line of business, we recognize revenue from individual programs on a straight-line basis over the average length of time for candidates to find jobs based on statistically valid data for the specific type of program. If statistically valid data is not available, then we recognize career transition revenue on a straight-line basis over the actual term of the agreements. For group programs and large projects within the career transition line of business, we defer and recognize revenue over the period in which the contracts are completed. The difference between the amount billed for career transition services and the amount recognized as revenue is recorded as Deferred Revenue, which is included in Accrued Liabilities on our consolidated balance sheets.</w:t>
      </w:r>
    </w:p>
    <w:p>
      <w:pPr>
        <w:spacing w:after="0" w:line="10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Significant factors impacting Deferred Revenue are the type of programs sold, the level of current billings for new programs and projects, and the average length of the programs. Over time, an increasing volume of new billings will generally result in higher amounts of Deferred Revenue, while decreasing levels of new billings will generally result in lower amounts of Deferred Revenue. As of December 31, 2004, we had $43.8 million of Deferred Revenue recorded.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account for income taxes in accordance with SFAS No. 109, “Accounting for Income Taxes.” Deferred tax assets and liabilities are recognized for the future tax consequences attributable to differences between financial statement carrying amounts of existing assets and liabilities and their respective tax bases, net operating loss and tax credit carryforwards, and tax contingencies.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tax contingencies recorded related to items in various countries. To the extent these items are settled in our favor, a portion of our recorded contingency will be reversed. To the extent items are settled for an amount greater than the amount we have recorded, an additional tax provision will be recorded.</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that actual results differ from these estimates, our estimated annual tax rate may change between quarterly periods and may differ from the actual effective tax rate for the year. For 2005, we expect our effective tax rate will be approximately 36.5%.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 of RMC. Our remaining goodwill relates primarily to our acquisitions of Elan and Jefferson Wells.</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this analysis include: expected future revenue growth rates, operating unit profit margins, and working capital levels; a discount rate; and a terminal value multiple.</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completed our annual impairment review for 2004 and determined there to be no impairment of either goodwill or indefinite-lived intangible assets. We plan to perform our next annual impairment review during the third quarter of 2005.</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lower-than-forecasted earnings levels for various reporting units. In addition, changes to other assumptions could significantly impact our estimate of the fair value of our reporting units. Such a change may result in an impairment charge, which could have a significant impact on the reportable segments that include the related reporting units and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Economic Conditions</w:t>
      </w:r>
    </w:p>
    <w:p>
      <w:pPr>
        <w:spacing w:after="0" w:line="8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One of the principal attractions of using temporary staffing solutions is to maintain a flexible supply of labor to meet changing economic conditions. Therefore, the industry has been and remains sensitive to economic cycles. To help minimize the effects of these economic cycles, we offer customers a continuum of services to meet their needs throughout the employment and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 Regulations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temporary employment services industry is closely regulated in all of the major markets in which we operate except the United States and Canada. Many countries impose licensing or registration requirements, substantive restrictions on temporary employment services, either on the temporary staffing company or the ultimate client company, or minimum benefits to be paid to the temporary employee either during or following the temporary assignment. Regulations also may restrict the length of temporary assignments, the type of work permitted for temporary workers or the occasions on which temporary workers may be used. Changes in applicable laws or regulations have occurred in the past and are expected in the future to affect the extent to which temporary employment services firms may operate. These changes could impose additional costs, taxes, record keeping or reporting requirements; restrict the tasks to which temporaries may be assigned; limit the duration of or otherwise impose restrictions on the nature of the temporary relationship (with us or the customer); or otherwise adversely affect the industry. Our career transition and organizational consulting services are currently not regulated.</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customers to utilize our services. In some markets, labor agreements are structured on a national or industry-wide (rather than a company) basis. Changes in these collective labor agreements have occurred in the past, are expected to occur in the future, and may have a material impact on the operations of temporary staffing firms, including us.</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 search warrant was executed on November 30, 2004, at our French headquarters authorizing the French Regional Director on Inquiries of Competition to enter the office and review and obtain documents that may be pertinent to the investigation. According to the search warrant, the investigation stems from a complaint submitted during 2003 to the European Commission and subsequently transferred to France’s Direction Generale de la Concurrence, de la Consommation et de la Repression des Fraudes. We understand that the purpose of the investigation is to search for evidence of price fixing and allocation of market share within the French market. The investigation is continuing and we currently are not able to predict the outcome.</w:t>
      </w:r>
    </w:p>
    <w:p>
      <w:pPr>
        <w:spacing w:after="0" w:line="1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2002, the European Commission released proposed legislation, the Agency Workers Directive (“AWD”), aimed at improving the quality of temporary staffing work through a principle of non-discrimination between temporary staff and permanent employees. The AWD has been returned to a consultation and revision phase by the Commission and is the subject of strong debate and suggested amendment by a number of member states. The AWD will be discussed in the future, but given the uncertainty surrounding the AWD, we cannot currently estimate the impact, if any, on the future results of our European operations or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May 2004, the FASB (Financial Accounting Standards Board) issued FASB Staff Position (“FSP”) No. 106-2, “Accounting and Disclosure Requirements Related to the Medicare Prescription Drug, Improvement and Modernization Act of 2003” (“FSP 106-2”), which provides guidance on accounting for the effects of the new Medicare prescription drug legislation (“the Act”). The Act, which was signed into law on December 8, 2003, introduces a prescription drug benefit under Medicare (Medicare Part D) as well as a federal subsidy to sponsors of retiree health care benefit plans that provide a benefit that is at least actuarially equivalent to Medicare Part D. FSP 106-2 was adopted by us in the third quarter of 2004 and did not have a material impact on our consolidated financial statements.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September 2004, the Emerging Issues Task Force (“EITF”) issued Issue No. 04-8, “The Effect of Contingently Convertible Debt on Diluted Earnings Per Share” (“EITF 04-8”), which requires the effect of contingently convertible debt securities with a market price trigger to be included in the calculation of diluted earnings per share, using the “if-converted” method, regardless of whether the market price trigger has been met. EITF 04-8 also requires that previously reported diluted earnings per share be restated. We adopted EITF 04-8 in the fourth quarter of 2004. (See note 3 to our consolidated financial statements for further information.)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1" w:name="page32"/>
    <w:bookmarkEnd w:id="3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December 2004, the FASB issued SFAS No. 123R “Share-Based Payment” (“SFAS 123R”), which replaces SFAS No. 123, “Accounting for Stock-Based Compensation,” (“SFAS 123”) and supercedes APB Opinion No. 25, “Accounting for Stock Issued to Employees.” SFAS 123R requires all share-based payments to employees, including grants of employee stock options, to be recognized as expense in the financial statements based on their fair values beginning with the first interim or annual period after June 15, 2005, with early adoption encouraged. The pro forma disclosures previously permitted under SFAS 123 will no longer be an alternative to expense recognition. We will adopt SFAS 123R using the modified-prospective method in the third quarter of 2005. We expect SFAS 123R will have approximately a $0.06 per share impact on Net Earnings Per Share – Diluted in the second half of 2005.</w:t>
      </w:r>
    </w:p>
    <w:p>
      <w:pPr>
        <w:spacing w:after="0" w:line="1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December 2004, the FASB issued FSP No. 109-2, “Accounting and Disclosure Guidance for the Foreign Earnings Repatriation Provision within the American Jobs Creation Act of 2004” (“FSP 109-2”), which provides guidance on accounting for the potential impact of the repatriation provisions of the American Jobs Creation Act of 2004 (the “Jobs Act”) on enterprises’ income tax expense and deferred tax liability.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109. Based on our analysis to date, we are not yet in a position to decide on whether, or to what extent, we might repatriate foreign earnings under the Jobs Act. However, we expect to be in a position to finalize our assessment by June 2005.</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information required by this Item is set forth in our Annual Report to Shareholders for the fiscal year ended December 31, 2004, under the heading “Significant Matters Affecting Results of Operations” (pages 53 to 55), which information is hereby incorporated herein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100" w:lineRule="exact"/>
        <w:rPr>
          <w:sz w:val="20"/>
          <w:szCs w:val="20"/>
          <w:color w:val="auto"/>
        </w:rPr>
      </w:pPr>
    </w:p>
    <w:p>
      <w:pPr>
        <w:ind w:left="900" w:right="8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 changes in the demand from larger customers, including customers with which we have national, multi-national, or sole-supplier arrangements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temporary workers or workers with the skills required by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wages paid to temporary workers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market pressures, including pricing pressures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pass along direct cost increases to customers</w:t>
      </w:r>
    </w:p>
    <w:p>
      <w:pPr>
        <w:spacing w:after="0" w:line="103"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demand for our specialized services, including assisting companies in complying with the Sarbanes-Oxley Act legislation, and career transition services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into new markets or offer new service lines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invest in and implement information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technological changes, including obsolescence or impairment of information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attitudes toward the use of staffing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tax or regulatory policies adverse to the employment services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in domestic and international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and exchange rate fluctuations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related to acquisitions, including integrating the acquired companies and achieving the expected benefits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impairments to the carrying value of acquisitions and other investments resulting from poor financial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disclosed below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2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Any significant economic downturn could result in our customers using fewer temporary employees, which would materially adversely affect our business.</w:t>
      </w:r>
    </w:p>
    <w:p>
      <w:pPr>
        <w:spacing w:after="0" w:line="11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Because demand for temporary personnel services is sensitive to changes in the level of economic activity, our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22" w:right="279" w:bottom="1440" w:gutter="0" w:footer="0" w:header="0"/>
        </w:sectPr>
      </w:pPr>
    </w:p>
    <w:bookmarkStart w:id="33" w:name="page34"/>
    <w:bookmarkEnd w:id="33"/>
    <w:p>
      <w:pPr>
        <w:ind w:right="1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worldwide staffing services industry is highly competitive with limited barriers to entry, which could limit our ability to maintain or increase our market share or profitability.</w:t>
      </w:r>
    </w:p>
    <w:p>
      <w:pPr>
        <w:spacing w:after="0" w:line="11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worldwide staffing services market is highly competitive with limited barriers to entry, and in recent years has been undergoing significant consolidation. We compete in markets throughout North America, South America, Europe, Australia and Asia with full-service and specialized temporary service agencies. Several of our competitors, including Adecco S.A., Vedior N.V., Randstad Holding N.V. and Kelly Services, Inc., have very substantial marketing and financial resources. Price competition in the staffing industry is intense and pricing pressures from competitors and customers are increasing. We expect that the level of competition will remain high in the future, which could limit our ability to maintain or increase our market share or profitability.</w:t>
      </w:r>
    </w:p>
    <w:p>
      <w:pPr>
        <w:spacing w:after="0" w:line="9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1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many jurisdictions in which we operate, such as France and Germany, the temporary employment industry is heavily regulated. For example, governmental regulations in Germany restrict the length of contracts of temporary employees and the industries in which temporary employees may be used. In some countries, special taxes, fees or costs are imposed in connection with the use of temporary workers. For example, temporary workers in France are entitled to a 10% allowance for the uncertain duration of employment, which is eliminated if a full-time position is offered to them within three days. The countries in which we operate may:</w:t>
      </w:r>
    </w:p>
    <w:p>
      <w:pPr>
        <w:spacing w:after="0" w:line="48"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new or additional benefit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staffing services;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staffing services.</w:t>
      </w:r>
    </w:p>
    <w:p>
      <w:pPr>
        <w:spacing w:after="0" w:line="1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future regulations may have a material adverse effect on our financial condition, results of operations and liquidity because they may make it more difficult or expensive for us to continue to provide staffing services.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acquired Elan Group Limited in 2000 for a total purchase price of $146.2 million and we acquired Jefferson Wells International, Inc. in 2001 for a purchase price of $174.0 million. In addition, we acquired and invested in other companies during 2002 for a total consideration of $55.4 million, $33.5 million of which was paid in cash. In 2003, we acquired and invested in other companies for a total consideration of $6.7 million.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2004, we acquired Right Management Consultants Inc., or RMC, by means of an exchange offer for all of RMC’s outstanding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for this acquisition is $630.6 million, the majority of which represents the fair value of shares exchanged and stock options.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make acquisitions in the future. Our acquisition strategy involves significant risks, including:</w:t>
      </w:r>
    </w:p>
    <w:p>
      <w:pPr>
        <w:spacing w:after="0" w:line="7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over-valuation by us of acquired companies;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insufficient indemnification from the selling parties for legal liabilities incurred by the acquired companies prior to the acquisitions;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risks could have a material adverse effect on our business because they may result in substantial costs to us and disrupt our business. In addition, future acquisitions could materially adversely effect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and restructuring charges could also occur.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ind w:right="5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Intense competition may limit our ability to attract, train and retain the qualified personnel necessary for us to meet our customers’ staffing needs.</w:t>
      </w:r>
    </w:p>
    <w:p>
      <w:pPr>
        <w:spacing w:after="0" w:line="11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depend on our ability to attract and retain qualified temporary personnel who possess the skills and experience necessary to meet the staffing requirements of our customers. We must continually evaluate and upgrade our base of available qualified personnel through recruiting and training programs to keep pace with changing customer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We may not be able to develop training programs to respond to our customers’ changing needs or retain employees who we have trained. The failure to recruit, train and retain qualified temporary employees could materially adversely affect our business because it may result in an inability to meet our customers’ staffing needs.</w:t>
      </w:r>
    </w:p>
    <w:p>
      <w:pPr>
        <w:spacing w:after="0" w:line="99"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We may be exposed to employment-related claims and costs and other litigation that could materially adversely affect our business, financial condition and results of operations.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business of employing people and placing them in the workplaces of other businesses. Risks relating to these activities include:</w:t>
      </w:r>
    </w:p>
    <w:p>
      <w:pPr>
        <w:spacing w:after="0" w:line="10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of misconduct or negligence on the part of our employees;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by our employees of discrimination or harassment directed at them, including claims relating to actions of our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errors and omissions of our temporary employees, particularly in the case of professionals, such as accountants; and</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by our customers relating to our employees’ misuse of customer proprietary information, misappropriation of funds, other criminal activity or torts or other similar claims.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assure you that we will not experience these problems in the future or that our insurance will be sufficient in amount or scope to cover any of these types of liabilities.</w:t>
      </w:r>
    </w:p>
    <w:p>
      <w:pPr>
        <w:spacing w:after="0" w:line="9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cannot assure you that our insurance will cover all claims that may be asserted against us. Should the ultimate judgments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operations are dependent on the continued efforts of our officers and executive management. In addition, we are dependent on the performance and productivity of our local managers and field personnel. Our ability to attract and retain business is significantly affected by local relationships and the quality of service rendered. The loss of those key officers and members of executive management who have acquired significant experience in operating an employment services company on an international level may cause a significant disruption to our business. Moreover, the loss of our key managers and field personnel may jeopardize existing customer relationships with businesses that continue to use our services based upon past relationships with these local managers and field personnel. The loss of such key personnel could materially adversely affect our operations, because it may result in an inability to establish and maintain customer relationships and otherwise operate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Some of our subsidiaries might have significant customers, which if lost, could have a material adverse impact on their earnings.</w:t>
      </w:r>
    </w:p>
    <w:p>
      <w:pPr>
        <w:spacing w:after="0" w:line="18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Jefferson Wells is a global professional services provider of internal audit and controls, technology risk management, tax, finance and accounting services, with operations in the United States and Canada and has recently expanded into the United Kingdom. Approximately 19% of Jefferson Wells’ revenues for 2004 were generated from providing services to one customer. Should this customer’s demand for our services decrease, this would negatively impact our Jefferson Wells segment and overall profitability for us as a whole.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16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conduct our operations in 67 countries and territories and the results of our local operations are reported in the applicable foreign currencies and then translated into U.S. Dollars at the applicable foreign currency exchange rates for inclusion in our consolidated financial statements. During 2004, approximately 80% of our revenues were generated outside of the United States, the majority of which were generated in Europe. Furthermore, approximately $634 million of our outstanding indebtedness as of December 31, 2004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99"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As of December 31, 2004, we had $901.8 million of total debt. This level of debt could adversely affect our operating flexibility and put us at a competitive disadvantage.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level of debt and the limitations imposed on us by our credit agreements could have important consequences for investors, including the following:</w:t>
      </w:r>
    </w:p>
    <w:p>
      <w:pPr>
        <w:spacing w:after="0" w:line="10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have to use a portion of our cash flow from operations for debt service rather than for our operations;</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some or all of the debt under our current or future revolving credit facilities may be at a variable interest rate, making us more vulnerable to increases in interest rates;</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be more vulnerable to general adverse economic and industry conditions;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disadvantaged compared to competitors with less leverage.</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terms of our revolving credit facility permit additional borrowings, subject to certain conditions. If new debt is added to our current debt levels, the related risks we now face could intensify.</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6" w:name="page37"/>
    <w:bookmarkEnd w:id="36"/>
    <w:p>
      <w:pPr>
        <w:ind w:right="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failure to comply with restrictive covenants under our revolving credit facilities or a failure to maintain an “investment grade” rating on our debt could trigger prepayment obligations.</w:t>
      </w:r>
    </w:p>
    <w:p>
      <w:pPr>
        <w:spacing w:after="0" w:line="11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failure to comply with the restrictive covenants under our revolving credit facilities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9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Certain of our financing agreements require us to maintain “investment grade” credit ratings on our debt. As of February 16, 2005, we had such ratings from Standard &amp; Poors and Moody’s Corporation. If our ratings were lowered, our accounts receivable securitization facility would need to be re-negotiated or would no longer be available. In addition, a lowering of our credit ratings could result in a portion or all of our zero-coupon convertible debentures being converted into shares of our common stock.</w:t>
      </w:r>
    </w:p>
    <w:p>
      <w:pPr>
        <w:spacing w:after="0" w:line="124"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The holders of our zero-coupon convertible debentures could require us to purchase the debentures resulting in dilution in the value of our outstanding common stock or the incurrence of additional debt.</w:t>
      </w:r>
    </w:p>
    <w:p>
      <w:pPr>
        <w:spacing w:after="0" w:line="11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terms of the zero-coupon convertible debentures give holders of the debentures the option to require us to purchase the debentures at the issue price plus accreted original issue discount. Such holders can exercise this option on the first, third, fifth, tenth, and fifteenth anniversary dates. The next such option date is August 16, 2006. If the option were exercised, we would be required to purchase all or a portion of the debentures through the issuance of common stock, with available cash, or by financing the purchase using other available facilities which could result in dilution of the value of common stock held by our shareholders or the incurrence of a significant amount of 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performance of our subsidiaries may vary, negatively affecting our ability to service our debt.</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Since we conduct a significant portion of our operations through our subsidiaries, our cash flow and our consequent ability to service our debt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price for our common stock has been and may continue to be volatile. For example, during the fiscal year ended December 31, 2004, the prices of our common stock as reported on the New York Stock Exchange ranged from a high of $50.77 to a low of $38.71. Our stock price can fluctuate as a result of a variety of factors, including factors listed in these “Risk Factors” and others, many of which are beyond our control. These factors include:</w:t>
      </w:r>
    </w:p>
    <w:p>
      <w:pPr>
        <w:spacing w:after="0" w:line="1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85" w:lineRule="exact"/>
        <w:rPr>
          <w:sz w:val="20"/>
          <w:szCs w:val="20"/>
          <w:color w:val="auto"/>
        </w:rPr>
      </w:pPr>
    </w:p>
    <w:p>
      <w:pPr>
        <w:jc w:val="center"/>
        <w:ind w:left="500" w:right="200"/>
        <w:spacing w:after="0" w:line="440" w:lineRule="auto"/>
        <w:rPr>
          <w:sz w:val="20"/>
          <w:szCs w:val="20"/>
          <w:color w:val="auto"/>
        </w:rPr>
      </w:pPr>
      <w:r>
        <w:rPr>
          <w:rFonts w:ascii="Arial" w:cs="Arial" w:eastAsia="Arial" w:hAnsi="Arial"/>
          <w:sz w:val="18"/>
          <w:szCs w:val="18"/>
          <w:color w:val="auto"/>
        </w:rPr>
        <w:t>Because of this volatility, we may fail to meet the expectations of our shareholders or of securities analysts, and our stock price could decline as a result. 37</w:t>
      </w:r>
    </w:p>
    <w:p>
      <w:pPr>
        <w:sectPr>
          <w:pgSz w:w="11900" w:h="16838" w:orient="portrait"/>
          <w:cols w:equalWidth="0" w:num="1">
            <w:col w:w="11360"/>
          </w:cols>
          <w:pgMar w:left="240" w:top="274" w:right="299" w:bottom="1440" w:gutter="0" w:footer="0" w:header="0"/>
        </w:sectPr>
      </w:pPr>
    </w:p>
    <w:bookmarkStart w:id="37" w:name="page38"/>
    <w:bookmarkEnd w:id="37"/>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Wisconsin law and our articles of incorporation and bylaws contain provisions that could make the takeover of us more difficult.</w:t>
      </w:r>
    </w:p>
    <w:p>
      <w:pPr>
        <w:spacing w:after="0" w:line="187" w:lineRule="exact"/>
        <w:rPr>
          <w:sz w:val="20"/>
          <w:szCs w:val="20"/>
          <w:color w:val="auto"/>
        </w:rPr>
      </w:pPr>
    </w:p>
    <w:p>
      <w:pPr>
        <w:ind w:right="580" w:firstLine="456"/>
        <w:spacing w:after="0" w:line="325"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represent a premium over the available market price of our common stock, may be withdrawn or otherwise fail to be realized. The provisions described above could cause our stock price to decline.</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information required by this Item is set forth in the financial statements and the notes thereto (pages 59 to 88) contained in our Annual Report to Shareholders for the fiscal year ended December 31, 2004, which information is hereby incorporated herein by reference.</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December 31, 2004.</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3" w:lineRule="exact"/>
        <w:rPr>
          <w:sz w:val="20"/>
          <w:szCs w:val="20"/>
          <w:color w:val="auto"/>
        </w:rPr>
      </w:pPr>
    </w:p>
    <w:p>
      <w:pPr>
        <w:jc w:val="both"/>
        <w:ind w:right="340" w:firstLine="456"/>
        <w:spacing w:after="0" w:line="255" w:lineRule="auto"/>
        <w:rPr>
          <w:sz w:val="20"/>
          <w:szCs w:val="20"/>
          <w:color w:val="auto"/>
        </w:rPr>
      </w:pPr>
      <w:r>
        <w:rPr>
          <w:rFonts w:ascii="Arial" w:cs="Arial" w:eastAsia="Arial" w:hAnsi="Arial"/>
          <w:sz w:val="18"/>
          <w:szCs w:val="18"/>
          <w:color w:val="auto"/>
        </w:rPr>
        <w:t>The Management Report on Internal Control Over Financial Reporting is set forth on page 57 in our Annual Report to Shareholders for the fiscal year ended December 31, 2004 which information is hereby incorporated herein by reference. The Independent Registered Public Accounting Firm’s report with respect to our assessment of the effectiveness of internal control over financial reporting, and the effectiveness of internal control over financial reporting is included on pages 58 of our Annual Report to Shareholders for the fiscal year ended December 31, 2004 which information is hereby incorporated herein by reference.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4"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83"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 in Part I after Item 4.</w:t>
      </w:r>
    </w:p>
    <w:p>
      <w:pPr>
        <w:spacing w:after="0" w:line="76"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April 26, 2005 under the caption “Election of Directors,” which information is hereby incorporated herein by reference.</w:t>
      </w:r>
    </w:p>
    <w:p>
      <w:pPr>
        <w:spacing w:after="0" w:line="37" w:lineRule="exact"/>
        <w:rPr>
          <w:rFonts w:ascii="Arial" w:cs="Arial" w:eastAsia="Arial" w:hAnsi="Arial"/>
          <w:sz w:val="18"/>
          <w:szCs w:val="18"/>
          <w:color w:val="auto"/>
        </w:rPr>
      </w:pPr>
    </w:p>
    <w:p>
      <w:pPr>
        <w:ind w:left="900" w:right="180" w:hanging="446"/>
        <w:spacing w:after="0" w:line="325"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16 Compliance. The information required by this Item is set forth in our Proxy Statement for the Annual Meeting of Shareholders to be held on April 26, 2005 under the caption “Section 16(a) Beneficial Ownership Reporting Compliance,” which information is hereby incorporated herein by reference.</w:t>
      </w:r>
    </w:p>
    <w:p>
      <w:pPr>
        <w:spacing w:after="0" w:line="45"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www.manpower.com.</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26, 2005, under the caption “Remuneration of Directors”; under the caption “Executive Compensation”; and under the caption “Executive Compensation Committee Interlocks and Insider Participation,” which information is hereby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26, 2005, under the caption “Security Ownership of Certain Beneficial Owners” and under the caption “Security Ownership of Management,” which information is hereby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26, 2005, under the caption “Remuneration of Directors,” which information is hereby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26, 2005, under the caption “Audit Committee Report,” which information is hereby incorporated herein by reference.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4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9660" w:type="dxa"/>
            <w:vAlign w:val="bottom"/>
          </w:tcPr>
          <w:p>
            <w:pPr>
              <w:ind w:left="4620"/>
              <w:spacing w:after="0"/>
              <w:rPr>
                <w:sz w:val="20"/>
                <w:szCs w:val="20"/>
                <w:color w:val="auto"/>
              </w:rPr>
            </w:pPr>
            <w:r>
              <w:rPr>
                <w:rFonts w:ascii="Arial" w:cs="Arial" w:eastAsia="Arial" w:hAnsi="Arial"/>
                <w:sz w:val="18"/>
                <w:szCs w:val="18"/>
                <w:b w:val="1"/>
                <w:bCs w:val="1"/>
                <w:color w:val="auto"/>
              </w:rPr>
              <w:t>PART IV</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4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660" w:type="dxa"/>
            <w:vAlign w:val="bottom"/>
          </w:tcPr>
          <w:p>
            <w:pPr>
              <w:ind w:left="300"/>
              <w:spacing w:after="0"/>
              <w:rPr>
                <w:sz w:val="20"/>
                <w:szCs w:val="20"/>
                <w:color w:val="auto"/>
              </w:rPr>
            </w:pPr>
            <w:r>
              <w:rPr>
                <w:rFonts w:ascii="Arial" w:cs="Arial" w:eastAsia="Arial" w:hAnsi="Arial"/>
                <w:sz w:val="18"/>
                <w:szCs w:val="18"/>
                <w:b w:val="1"/>
                <w:bCs w:val="1"/>
                <w:color w:val="auto"/>
              </w:rPr>
              <w:t>Exhibits and Financial Statement Schedules.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Page Number(s)</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Annual Report</w:t>
            </w: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to Shareholders</w:t>
            </w:r>
          </w:p>
        </w:tc>
        <w:tc>
          <w:tcPr>
            <w:tcW w:w="0" w:type="dxa"/>
            <w:vAlign w:val="bottom"/>
          </w:tcPr>
          <w:p>
            <w:pPr>
              <w:spacing w:after="0"/>
              <w:rPr>
                <w:sz w:val="1"/>
                <w:szCs w:val="1"/>
                <w:color w:val="auto"/>
              </w:rPr>
            </w:pPr>
          </w:p>
        </w:tc>
      </w:tr>
      <w:tr>
        <w:trPr>
          <w:trHeight w:val="95"/>
        </w:trPr>
        <w:tc>
          <w:tcPr>
            <w:tcW w:w="740" w:type="dxa"/>
            <w:vAlign w:val="bottom"/>
            <w:vMerge w:val="restart"/>
          </w:tcPr>
          <w:p>
            <w:pPr>
              <w:spacing w:after="0"/>
              <w:rPr>
                <w:sz w:val="20"/>
                <w:szCs w:val="20"/>
                <w:color w:val="auto"/>
              </w:rPr>
            </w:pPr>
            <w:r>
              <w:rPr>
                <w:rFonts w:ascii="Arial" w:cs="Arial" w:eastAsia="Arial" w:hAnsi="Arial"/>
                <w:sz w:val="18"/>
                <w:szCs w:val="18"/>
                <w:color w:val="auto"/>
              </w:rPr>
              <w:t>(a)(1)</w:t>
            </w:r>
          </w:p>
        </w:tc>
        <w:tc>
          <w:tcPr>
            <w:tcW w:w="9660" w:type="dxa"/>
            <w:vAlign w:val="bottom"/>
            <w:vMerge w:val="restart"/>
          </w:tcPr>
          <w:p>
            <w:pPr>
              <w:ind w:left="140"/>
              <w:spacing w:after="0"/>
              <w:rPr>
                <w:sz w:val="20"/>
                <w:szCs w:val="20"/>
                <w:color w:val="auto"/>
              </w:rPr>
            </w:pPr>
            <w:r>
              <w:rPr>
                <w:rFonts w:ascii="Arial" w:cs="Arial" w:eastAsia="Arial" w:hAnsi="Arial"/>
                <w:sz w:val="18"/>
                <w:szCs w:val="18"/>
                <w:color w:val="auto"/>
              </w:rPr>
              <w:t>Financial Statements</w:t>
            </w: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40" w:type="dxa"/>
            <w:vAlign w:val="bottom"/>
            <w:vMerge w:val="continue"/>
          </w:tcPr>
          <w:p>
            <w:pPr>
              <w:spacing w:after="0"/>
              <w:rPr>
                <w:sz w:val="24"/>
                <w:szCs w:val="24"/>
                <w:color w:val="auto"/>
              </w:rPr>
            </w:pPr>
          </w:p>
        </w:tc>
        <w:tc>
          <w:tcPr>
            <w:tcW w:w="9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Consolidated Financial Statements (data incorporated by reference from the attached Annual Report to Shareholders):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560"/>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560"/>
              <w:spacing w:after="0"/>
              <w:rPr>
                <w:sz w:val="20"/>
                <w:szCs w:val="20"/>
                <w:color w:val="auto"/>
              </w:rPr>
            </w:pPr>
            <w:r>
              <w:rPr>
                <w:rFonts w:ascii="Arial" w:cs="Arial" w:eastAsia="Arial" w:hAnsi="Arial"/>
                <w:sz w:val="18"/>
                <w:szCs w:val="18"/>
                <w:color w:val="auto"/>
              </w:rPr>
              <w:t>Consolidated Statements of Operations for the years ended December 31, 2004, 2003 and 2002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560"/>
              <w:spacing w:after="0"/>
              <w:rPr>
                <w:sz w:val="20"/>
                <w:szCs w:val="20"/>
                <w:color w:val="auto"/>
              </w:rPr>
            </w:pPr>
            <w:r>
              <w:rPr>
                <w:rFonts w:ascii="Arial" w:cs="Arial" w:eastAsia="Arial" w:hAnsi="Arial"/>
                <w:sz w:val="18"/>
                <w:szCs w:val="18"/>
                <w:color w:val="auto"/>
              </w:rPr>
              <w:t>Consolidated Balance Sheets as of December 31, 2004 and 2003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560"/>
              <w:spacing w:after="0"/>
              <w:rPr>
                <w:sz w:val="20"/>
                <w:szCs w:val="20"/>
                <w:color w:val="auto"/>
              </w:rPr>
            </w:pPr>
            <w:r>
              <w:rPr>
                <w:rFonts w:ascii="Arial" w:cs="Arial" w:eastAsia="Arial" w:hAnsi="Arial"/>
                <w:sz w:val="18"/>
                <w:szCs w:val="18"/>
                <w:color w:val="auto"/>
              </w:rPr>
              <w:t>Consolidated Statements of Cash Flows for the years ended December 31, 2004, 2003 and 2002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560"/>
              <w:spacing w:after="0"/>
              <w:rPr>
                <w:sz w:val="20"/>
                <w:szCs w:val="20"/>
                <w:color w:val="auto"/>
              </w:rPr>
            </w:pPr>
            <w:r>
              <w:rPr>
                <w:rFonts w:ascii="Arial" w:cs="Arial" w:eastAsia="Arial" w:hAnsi="Arial"/>
                <w:sz w:val="18"/>
                <w:szCs w:val="18"/>
                <w:color w:val="auto"/>
              </w:rPr>
              <w:t>Consolidated Statements of Shareholders’ Equity for the years ended December 31, 2004, 2003 and 2002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560"/>
              <w:spacing w:after="0"/>
              <w:rPr>
                <w:sz w:val="20"/>
                <w:szCs w:val="20"/>
                <w:color w:val="auto"/>
              </w:rPr>
            </w:pPr>
            <w:r>
              <w:rPr>
                <w:rFonts w:ascii="Arial" w:cs="Arial" w:eastAsia="Arial" w:hAnsi="Arial"/>
                <w:sz w:val="18"/>
                <w:szCs w:val="18"/>
                <w:color w:val="auto"/>
              </w:rPr>
              <w:t>Notes to Consolidated Financial Statements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63 - 88</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(a)(2)</w:t>
            </w:r>
          </w:p>
        </w:tc>
        <w:tc>
          <w:tcPr>
            <w:tcW w:w="9660" w:type="dxa"/>
            <w:vAlign w:val="bottom"/>
          </w:tcPr>
          <w:p>
            <w:pPr>
              <w:ind w:left="140"/>
              <w:spacing w:after="0"/>
              <w:rPr>
                <w:sz w:val="20"/>
                <w:szCs w:val="20"/>
                <w:color w:val="auto"/>
              </w:rPr>
            </w:pPr>
            <w:r>
              <w:rPr>
                <w:rFonts w:ascii="Arial" w:cs="Arial" w:eastAsia="Arial" w:hAnsi="Arial"/>
                <w:sz w:val="18"/>
                <w:szCs w:val="18"/>
                <w:color w:val="auto"/>
              </w:rPr>
              <w:t>Financial Statement Schedules.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Consent of Independent Registered Public Accounting Firm</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SCHEDULE II - Valuation and Qualifying Accounts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(a)(3)</w:t>
            </w:r>
          </w:p>
        </w:tc>
        <w:tc>
          <w:tcPr>
            <w:tcW w:w="966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See (c) below.</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880" w:right="1540"/>
        <w:spacing w:after="0" w:line="306" w:lineRule="auto"/>
        <w:rPr>
          <w:sz w:val="20"/>
          <w:szCs w:val="20"/>
          <w:color w:val="auto"/>
        </w:rPr>
      </w:pPr>
      <w:r>
        <w:rPr>
          <w:rFonts w:ascii="Arial" w:cs="Arial" w:eastAsia="Arial" w:hAnsi="Arial"/>
          <w:sz w:val="16"/>
          <w:szCs w:val="16"/>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2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w w:val="99"/>
              </w:rPr>
              <w:t>(c) Exhibits.</w:t>
            </w:r>
          </w:p>
        </w:tc>
        <w:tc>
          <w:tcPr>
            <w:tcW w:w="10400" w:type="dxa"/>
            <w:vAlign w:val="bottom"/>
          </w:tcPr>
          <w:p>
            <w:pPr>
              <w:spacing w:after="0"/>
              <w:rPr>
                <w:sz w:val="19"/>
                <w:szCs w:val="19"/>
                <w:color w:val="auto"/>
              </w:rPr>
            </w:pPr>
          </w:p>
        </w:tc>
      </w:tr>
      <w:tr>
        <w:trPr>
          <w:trHeight w:val="466"/>
        </w:trPr>
        <w:tc>
          <w:tcPr>
            <w:tcW w:w="960" w:type="dxa"/>
            <w:vAlign w:val="bottom"/>
          </w:tcPr>
          <w:p>
            <w:pPr>
              <w:ind w:left="60"/>
              <w:spacing w:after="0"/>
              <w:rPr>
                <w:sz w:val="20"/>
                <w:szCs w:val="20"/>
                <w:color w:val="auto"/>
              </w:rPr>
            </w:pPr>
            <w:r>
              <w:rPr>
                <w:rFonts w:ascii="Arial" w:cs="Arial" w:eastAsia="Arial" w:hAnsi="Arial"/>
                <w:sz w:val="18"/>
                <w:szCs w:val="18"/>
                <w:color w:val="auto"/>
              </w:rPr>
              <w:t>2.1</w:t>
            </w:r>
          </w:p>
        </w:tc>
        <w:tc>
          <w:tcPr>
            <w:tcW w:w="10400" w:type="dxa"/>
            <w:vAlign w:val="bottom"/>
          </w:tcPr>
          <w:p>
            <w:pPr>
              <w:ind w:left="80"/>
              <w:spacing w:after="0"/>
              <w:rPr>
                <w:sz w:val="20"/>
                <w:szCs w:val="20"/>
                <w:color w:val="auto"/>
              </w:rPr>
            </w:pPr>
            <w:r>
              <w:rPr>
                <w:rFonts w:ascii="Arial" w:cs="Arial" w:eastAsia="Arial" w:hAnsi="Arial"/>
                <w:sz w:val="18"/>
                <w:szCs w:val="18"/>
                <w:color w:val="auto"/>
                <w:w w:val="89"/>
              </w:rPr>
              <w:t>Agreement and Plan of Merger among Right Management Consultants, Inc., Manpower Inc. and Hoosier Acquisition Corp. dated as of December</w:t>
            </w:r>
          </w:p>
        </w:tc>
      </w:tr>
      <w:tr>
        <w:trPr>
          <w:trHeight w:val="216"/>
        </w:trPr>
        <w:tc>
          <w:tcPr>
            <w:tcW w:w="960" w:type="dxa"/>
            <w:vAlign w:val="bottom"/>
          </w:tcPr>
          <w:p>
            <w:pPr>
              <w:spacing w:after="0"/>
              <w:rPr>
                <w:sz w:val="18"/>
                <w:szCs w:val="18"/>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w w:val="88"/>
              </w:rPr>
              <w:t>10, 2003, incorporated by reference to Appendix A to the Prospectus included in the Company’s Registration Statement on Form S-4 (Registration</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No. 333-111337).</w:t>
            </w:r>
          </w:p>
        </w:tc>
      </w:tr>
      <w:tr>
        <w:trPr>
          <w:trHeight w:val="277"/>
        </w:trPr>
        <w:tc>
          <w:tcPr>
            <w:tcW w:w="960" w:type="dxa"/>
            <w:vAlign w:val="bottom"/>
          </w:tcPr>
          <w:p>
            <w:pPr>
              <w:spacing w:after="0"/>
              <w:rPr>
                <w:sz w:val="24"/>
                <w:szCs w:val="24"/>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w w:val="93"/>
              </w:rPr>
              <w:t>(Certain exhibits and schedules to the Agreement and Plan of Merger have been omitted pursuant to Regulation S-K, Item 601(b)(2) of the</w:t>
            </w:r>
          </w:p>
        </w:tc>
      </w:tr>
      <w:tr>
        <w:trPr>
          <w:trHeight w:val="216"/>
        </w:trPr>
        <w:tc>
          <w:tcPr>
            <w:tcW w:w="960" w:type="dxa"/>
            <w:vAlign w:val="bottom"/>
          </w:tcPr>
          <w:p>
            <w:pPr>
              <w:spacing w:after="0"/>
              <w:rPr>
                <w:sz w:val="18"/>
                <w:szCs w:val="18"/>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w w:val="90"/>
              </w:rPr>
              <w:t>Securities Act. Such exhibits and schedules are described in the Agreement and Plan of Merger. The Company hereby agrees to furnish to the</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Securities and Exchange Commission, upon its request, any or all of such omitted exhibits or schedules).</w:t>
            </w:r>
          </w:p>
        </w:tc>
      </w:tr>
      <w:tr>
        <w:trPr>
          <w:trHeight w:val="331"/>
        </w:trPr>
        <w:tc>
          <w:tcPr>
            <w:tcW w:w="960" w:type="dxa"/>
            <w:vAlign w:val="bottom"/>
          </w:tcPr>
          <w:p>
            <w:pPr>
              <w:ind w:left="60"/>
              <w:spacing w:after="0"/>
              <w:rPr>
                <w:sz w:val="20"/>
                <w:szCs w:val="20"/>
                <w:color w:val="auto"/>
              </w:rPr>
            </w:pPr>
            <w:r>
              <w:rPr>
                <w:rFonts w:ascii="Arial" w:cs="Arial" w:eastAsia="Arial" w:hAnsi="Arial"/>
                <w:sz w:val="18"/>
                <w:szCs w:val="18"/>
                <w:color w:val="auto"/>
              </w:rPr>
              <w:t>2.2</w:t>
            </w:r>
          </w:p>
        </w:tc>
        <w:tc>
          <w:tcPr>
            <w:tcW w:w="10400" w:type="dxa"/>
            <w:vAlign w:val="bottom"/>
          </w:tcPr>
          <w:p>
            <w:pPr>
              <w:ind w:left="80"/>
              <w:spacing w:after="0"/>
              <w:rPr>
                <w:sz w:val="20"/>
                <w:szCs w:val="20"/>
                <w:color w:val="auto"/>
              </w:rPr>
            </w:pPr>
            <w:r>
              <w:rPr>
                <w:rFonts w:ascii="Arial" w:cs="Arial" w:eastAsia="Arial" w:hAnsi="Arial"/>
                <w:sz w:val="18"/>
                <w:szCs w:val="18"/>
                <w:color w:val="auto"/>
                <w:w w:val="90"/>
              </w:rPr>
              <w:t>Letter Agreement between Manpower Inc. and Right Management Consultants, Inc. dated as of January 14, 2004, incorporated by reference to</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w w:val="98"/>
              </w:rPr>
              <w:t>Amendment No. 2 to the Company’s Registration Statement on Form S-4 (Registration No. 333-111337) filed on January 15, 2004.</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3.1</w:t>
            </w:r>
          </w:p>
        </w:tc>
        <w:tc>
          <w:tcPr>
            <w:tcW w:w="10400" w:type="dxa"/>
            <w:vAlign w:val="bottom"/>
          </w:tcPr>
          <w:p>
            <w:pPr>
              <w:ind w:left="80"/>
              <w:spacing w:after="0"/>
              <w:rPr>
                <w:sz w:val="20"/>
                <w:szCs w:val="20"/>
                <w:color w:val="auto"/>
              </w:rPr>
            </w:pPr>
            <w:r>
              <w:rPr>
                <w:rFonts w:ascii="Arial" w:cs="Arial" w:eastAsia="Arial" w:hAnsi="Arial"/>
                <w:sz w:val="18"/>
                <w:szCs w:val="18"/>
                <w:color w:val="auto"/>
                <w:w w:val="91"/>
              </w:rPr>
              <w:t>Articles of Incorporation of Manpower Inc. incorporated by reference to Annex C of the Prospectus, which is contained in Amendment No. 1 to</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Form S-4 (Registration No. 33-38684).</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3.2</w:t>
            </w:r>
          </w:p>
        </w:tc>
        <w:tc>
          <w:tcPr>
            <w:tcW w:w="10400" w:type="dxa"/>
            <w:vAlign w:val="bottom"/>
          </w:tcPr>
          <w:p>
            <w:pPr>
              <w:ind w:left="80"/>
              <w:spacing w:after="0"/>
              <w:rPr>
                <w:sz w:val="20"/>
                <w:szCs w:val="20"/>
                <w:color w:val="auto"/>
              </w:rPr>
            </w:pPr>
            <w:r>
              <w:rPr>
                <w:rFonts w:ascii="Arial" w:cs="Arial" w:eastAsia="Arial" w:hAnsi="Arial"/>
                <w:sz w:val="18"/>
                <w:szCs w:val="18"/>
                <w:color w:val="auto"/>
                <w:w w:val="89"/>
              </w:rPr>
              <w:t>Amendment of Amended and Restated Articles of Incorporation of Manpower Inc., incorporated by reference to the Company’s Quarterly Report</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on Form 10-Q for the quarter ended June 30, 2001.</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3.3</w:t>
            </w:r>
          </w:p>
        </w:tc>
        <w:tc>
          <w:tcPr>
            <w:tcW w:w="10400" w:type="dxa"/>
            <w:vAlign w:val="bottom"/>
          </w:tcPr>
          <w:p>
            <w:pPr>
              <w:ind w:left="80"/>
              <w:spacing w:after="0"/>
              <w:rPr>
                <w:sz w:val="20"/>
                <w:szCs w:val="20"/>
                <w:color w:val="auto"/>
              </w:rPr>
            </w:pPr>
            <w:r>
              <w:rPr>
                <w:rFonts w:ascii="Arial" w:cs="Arial" w:eastAsia="Arial" w:hAnsi="Arial"/>
                <w:sz w:val="18"/>
                <w:szCs w:val="18"/>
                <w:color w:val="auto"/>
                <w:w w:val="90"/>
              </w:rPr>
              <w:t>Amended and Restated By-laws of Manpower Inc., incorporated by reference to the Company’s Quarterly Report on Form 10-Q for the quarter</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ended June 30, 2004.</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4.1</w:t>
            </w:r>
          </w:p>
        </w:tc>
        <w:tc>
          <w:tcPr>
            <w:tcW w:w="10400" w:type="dxa"/>
            <w:vAlign w:val="bottom"/>
          </w:tcPr>
          <w:p>
            <w:pPr>
              <w:ind w:left="80"/>
              <w:spacing w:after="0"/>
              <w:rPr>
                <w:sz w:val="20"/>
                <w:szCs w:val="20"/>
                <w:color w:val="auto"/>
              </w:rPr>
            </w:pPr>
            <w:r>
              <w:rPr>
                <w:rFonts w:ascii="Arial" w:cs="Arial" w:eastAsia="Arial" w:hAnsi="Arial"/>
                <w:sz w:val="18"/>
                <w:szCs w:val="18"/>
                <w:color w:val="auto"/>
                <w:w w:val="92"/>
              </w:rPr>
              <w:t>Indenture between Manpower Inc. and Citibank, N.A., dated as of August 17, 2001, incorporated by reference to the Company’s Registration</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Statement on Form S-3 (Registration No. 333-71040) filed on October 5, 2001.</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10.1</w:t>
            </w:r>
          </w:p>
        </w:tc>
        <w:tc>
          <w:tcPr>
            <w:tcW w:w="10400" w:type="dxa"/>
            <w:vAlign w:val="bottom"/>
          </w:tcPr>
          <w:p>
            <w:pPr>
              <w:ind w:left="80"/>
              <w:spacing w:after="0"/>
              <w:rPr>
                <w:sz w:val="20"/>
                <w:szCs w:val="20"/>
                <w:color w:val="auto"/>
              </w:rPr>
            </w:pPr>
            <w:r>
              <w:rPr>
                <w:rFonts w:ascii="Arial" w:cs="Arial" w:eastAsia="Arial" w:hAnsi="Arial"/>
                <w:sz w:val="18"/>
                <w:szCs w:val="18"/>
                <w:color w:val="auto"/>
                <w:w w:val="91"/>
              </w:rPr>
              <w:t>Manpower Inc. Senior Management Performance-Based Deferred Compensation Plan incorporated by reference to the Company’s Quarterly</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Report on Form 10-Q for the quarter ended March 31, 2004. **</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10.2</w:t>
            </w:r>
          </w:p>
        </w:tc>
        <w:tc>
          <w:tcPr>
            <w:tcW w:w="10400" w:type="dxa"/>
            <w:vAlign w:val="bottom"/>
          </w:tcPr>
          <w:p>
            <w:pPr>
              <w:ind w:left="80"/>
              <w:spacing w:after="0"/>
              <w:rPr>
                <w:sz w:val="20"/>
                <w:szCs w:val="20"/>
                <w:color w:val="auto"/>
              </w:rPr>
            </w:pPr>
            <w:r>
              <w:rPr>
                <w:rFonts w:ascii="Arial" w:cs="Arial" w:eastAsia="Arial" w:hAnsi="Arial"/>
                <w:sz w:val="18"/>
                <w:szCs w:val="18"/>
                <w:color w:val="auto"/>
                <w:w w:val="89"/>
              </w:rPr>
              <w:t>Five-Year Credit Agreement dated as of October 8, 2004 among Manpower Inc., the initial lenders named therein, Citibank N.A., Wachovia Bank,</w:t>
            </w:r>
          </w:p>
        </w:tc>
      </w:tr>
      <w:tr>
        <w:trPr>
          <w:trHeight w:val="216"/>
        </w:trPr>
        <w:tc>
          <w:tcPr>
            <w:tcW w:w="960" w:type="dxa"/>
            <w:vAlign w:val="bottom"/>
          </w:tcPr>
          <w:p>
            <w:pPr>
              <w:spacing w:after="0"/>
              <w:rPr>
                <w:sz w:val="18"/>
                <w:szCs w:val="18"/>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w w:val="92"/>
              </w:rPr>
              <w:t>BNP Paribas, Bank One N.A., and The Royal Bank of Scott, incorporated by reference to the Company’s Current Report on Form 8-K dated</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October 14, 2004.</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10.3</w:t>
            </w:r>
          </w:p>
        </w:tc>
        <w:tc>
          <w:tcPr>
            <w:tcW w:w="10400" w:type="dxa"/>
            <w:vAlign w:val="bottom"/>
          </w:tcPr>
          <w:p>
            <w:pPr>
              <w:ind w:left="80"/>
              <w:spacing w:after="0"/>
              <w:rPr>
                <w:sz w:val="20"/>
                <w:szCs w:val="20"/>
                <w:color w:val="auto"/>
              </w:rPr>
            </w:pPr>
            <w:r>
              <w:rPr>
                <w:rFonts w:ascii="Arial" w:cs="Arial" w:eastAsia="Arial" w:hAnsi="Arial"/>
                <w:sz w:val="18"/>
                <w:szCs w:val="18"/>
                <w:color w:val="auto"/>
                <w:w w:val="88"/>
              </w:rPr>
              <w:t>Amended and Restated Manpower 1991 Executive Stock Option and Restricted Stock Plan, incorporated by reference to Form 10-Q of Manpower</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Inc. dated September 30, 1996. **</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10.4</w:t>
            </w:r>
          </w:p>
        </w:tc>
        <w:tc>
          <w:tcPr>
            <w:tcW w:w="10400" w:type="dxa"/>
            <w:vAlign w:val="bottom"/>
          </w:tcPr>
          <w:p>
            <w:pPr>
              <w:ind w:left="80"/>
              <w:spacing w:after="0"/>
              <w:rPr>
                <w:sz w:val="20"/>
                <w:szCs w:val="20"/>
                <w:color w:val="auto"/>
              </w:rPr>
            </w:pPr>
            <w:r>
              <w:rPr>
                <w:rFonts w:ascii="Arial" w:cs="Arial" w:eastAsia="Arial" w:hAnsi="Arial"/>
                <w:sz w:val="18"/>
                <w:szCs w:val="18"/>
                <w:color w:val="auto"/>
                <w:w w:val="89"/>
              </w:rPr>
              <w:t>Manpower Savings Related Share Option Scheme, incorporated by reference to Amendment No. 1 to the Company’s Registration Statement on</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Form S-4 (Registration No. 33-38684). **</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10.5</w:t>
            </w:r>
          </w:p>
        </w:tc>
        <w:tc>
          <w:tcPr>
            <w:tcW w:w="10400" w:type="dxa"/>
            <w:vAlign w:val="bottom"/>
          </w:tcPr>
          <w:p>
            <w:pPr>
              <w:ind w:left="80"/>
              <w:spacing w:after="0"/>
              <w:rPr>
                <w:sz w:val="20"/>
                <w:szCs w:val="20"/>
                <w:color w:val="auto"/>
              </w:rPr>
            </w:pPr>
            <w:r>
              <w:rPr>
                <w:rFonts w:ascii="Arial" w:cs="Arial" w:eastAsia="Arial" w:hAnsi="Arial"/>
                <w:sz w:val="18"/>
                <w:szCs w:val="18"/>
                <w:color w:val="auto"/>
                <w:w w:val="89"/>
              </w:rPr>
              <w:t>Amended and Restated Manpower 1990 Employee Stock Purchase Plan, incorporated by reference to the Company’s Registration Statement on</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Form S-8 (Registration No. 333-31021). **</w:t>
            </w:r>
          </w:p>
        </w:tc>
      </w:tr>
      <w:tr>
        <w:trPr>
          <w:trHeight w:val="318"/>
        </w:trPr>
        <w:tc>
          <w:tcPr>
            <w:tcW w:w="960" w:type="dxa"/>
            <w:vAlign w:val="bottom"/>
          </w:tcPr>
          <w:p>
            <w:pPr>
              <w:ind w:left="60"/>
              <w:spacing w:after="0"/>
              <w:rPr>
                <w:sz w:val="20"/>
                <w:szCs w:val="20"/>
                <w:color w:val="auto"/>
              </w:rPr>
            </w:pPr>
            <w:r>
              <w:rPr>
                <w:rFonts w:ascii="Arial" w:cs="Arial" w:eastAsia="Arial" w:hAnsi="Arial"/>
                <w:sz w:val="18"/>
                <w:szCs w:val="18"/>
                <w:color w:val="auto"/>
              </w:rPr>
              <w:t>10.6</w:t>
            </w:r>
          </w:p>
        </w:tc>
        <w:tc>
          <w:tcPr>
            <w:tcW w:w="10400" w:type="dxa"/>
            <w:vAlign w:val="bottom"/>
          </w:tcPr>
          <w:p>
            <w:pPr>
              <w:ind w:left="80"/>
              <w:spacing w:after="0"/>
              <w:rPr>
                <w:sz w:val="20"/>
                <w:szCs w:val="20"/>
                <w:color w:val="auto"/>
              </w:rPr>
            </w:pPr>
            <w:r>
              <w:rPr>
                <w:rFonts w:ascii="Arial" w:cs="Arial" w:eastAsia="Arial" w:hAnsi="Arial"/>
                <w:sz w:val="18"/>
                <w:szCs w:val="18"/>
                <w:color w:val="auto"/>
                <w:w w:val="89"/>
              </w:rPr>
              <w:t>Manpower Retirement Plan, as amended and restated effective as of March 1, 1989, incorporated by reference to Form 10-K of Manpower PLC,</w:t>
            </w:r>
          </w:p>
        </w:tc>
      </w:tr>
      <w:tr>
        <w:trPr>
          <w:trHeight w:val="222"/>
        </w:trPr>
        <w:tc>
          <w:tcPr>
            <w:tcW w:w="960" w:type="dxa"/>
            <w:vAlign w:val="bottom"/>
          </w:tcPr>
          <w:p>
            <w:pPr>
              <w:spacing w:after="0"/>
              <w:rPr>
                <w:sz w:val="19"/>
                <w:szCs w:val="19"/>
                <w:color w:val="auto"/>
              </w:rPr>
            </w:pPr>
          </w:p>
        </w:tc>
        <w:tc>
          <w:tcPr>
            <w:tcW w:w="10400" w:type="dxa"/>
            <w:vAlign w:val="bottom"/>
          </w:tcPr>
          <w:p>
            <w:pPr>
              <w:ind w:left="80"/>
              <w:spacing w:after="0"/>
              <w:rPr>
                <w:sz w:val="20"/>
                <w:szCs w:val="20"/>
                <w:color w:val="auto"/>
              </w:rPr>
            </w:pPr>
            <w:r>
              <w:rPr>
                <w:rFonts w:ascii="Arial" w:cs="Arial" w:eastAsia="Arial" w:hAnsi="Arial"/>
                <w:sz w:val="18"/>
                <w:szCs w:val="18"/>
                <w:color w:val="auto"/>
              </w:rPr>
              <w:t>SEC File No. 0-9890, filed for the fiscal year ended October 31, 1989. **</w:t>
            </w:r>
          </w:p>
        </w:tc>
      </w:tr>
      <w:tr>
        <w:trPr>
          <w:trHeight w:val="365"/>
        </w:trPr>
        <w:tc>
          <w:tcPr>
            <w:tcW w:w="960" w:type="dxa"/>
            <w:vAlign w:val="bottom"/>
          </w:tcPr>
          <w:p>
            <w:pPr>
              <w:spacing w:after="0"/>
              <w:rPr>
                <w:sz w:val="24"/>
                <w:szCs w:val="24"/>
                <w:color w:val="auto"/>
              </w:rPr>
            </w:pPr>
          </w:p>
        </w:tc>
        <w:tc>
          <w:tcPr>
            <w:tcW w:w="10400" w:type="dxa"/>
            <w:vAlign w:val="bottom"/>
          </w:tcPr>
          <w:p>
            <w:pPr>
              <w:ind w:left="4660"/>
              <w:spacing w:after="0"/>
              <w:rPr>
                <w:sz w:val="20"/>
                <w:szCs w:val="20"/>
                <w:color w:val="auto"/>
              </w:rPr>
            </w:pPr>
            <w:r>
              <w:rPr>
                <w:rFonts w:ascii="Arial" w:cs="Arial" w:eastAsia="Arial" w:hAnsi="Arial"/>
                <w:sz w:val="18"/>
                <w:szCs w:val="18"/>
                <w:color w:val="auto"/>
              </w:rPr>
              <w:t>41</w:t>
            </w:r>
          </w:p>
        </w:tc>
      </w:tr>
    </w:tbl>
    <w:p>
      <w:pPr>
        <w:ind w:left="4660"/>
        <w:spacing w:after="0"/>
        <w:rPr>
          <w:sz w:val="20"/>
          <w:szCs w:val="20"/>
          <w:color w:val="auto"/>
        </w:rPr>
        <w:sectPr>
          <w:pgSz w:w="11900" w:h="16838" w:orient="portrait"/>
          <w:cols w:equalWidth="0" w:num="1">
            <w:col w:w="11360"/>
          </w:cols>
          <w:pgMar w:left="240" w:top="280" w:right="2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1" w:name="page42"/>
    <w:bookmarkEnd w:id="41"/>
    <w:tbl>
      <w:tblPr>
        <w:tblLayout w:type="fixed"/>
        <w:tblInd w:w="0" w:type="dxa"/>
        <w:tblCellMar>
          <w:top w:w="0" w:type="dxa"/>
          <w:left w:w="0" w:type="dxa"/>
          <w:bottom w:w="0" w:type="dxa"/>
          <w:right w:w="0" w:type="dxa"/>
        </w:tblCellMar>
      </w:tblPr>
      <w:tr>
        <w:trPr>
          <w:trHeight w:val="216"/>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7"/>
              </w:rPr>
              <w:t>10.7(a)</w:t>
            </w:r>
          </w:p>
        </w:tc>
        <w:tc>
          <w:tcPr>
            <w:tcW w:w="10520" w:type="dxa"/>
            <w:vAlign w:val="bottom"/>
          </w:tcPr>
          <w:p>
            <w:pPr>
              <w:ind w:left="260"/>
              <w:spacing w:after="0"/>
              <w:rPr>
                <w:sz w:val="20"/>
                <w:szCs w:val="20"/>
                <w:color w:val="auto"/>
              </w:rPr>
            </w:pPr>
            <w:r>
              <w:rPr>
                <w:rFonts w:ascii="Arial" w:cs="Arial" w:eastAsia="Arial" w:hAnsi="Arial"/>
                <w:sz w:val="18"/>
                <w:szCs w:val="18"/>
                <w:color w:val="auto"/>
                <w:w w:val="88"/>
              </w:rPr>
              <w:t>1994 Executive Stock Option and Restricted Stock Plan of Manpower Inc. (Amended and Restated October 29, 2002), incorporated by reference</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for the fiscal year ended December 31, 2002.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7"/>
              </w:rPr>
              <w:t>10.7(b)</w:t>
            </w: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Procedures Governing the Grant of Options to Non-Employee Directors under 1994 Executive Stock Option and Restricted Stock Plan of</w:t>
            </w:r>
          </w:p>
        </w:tc>
      </w:tr>
      <w:tr>
        <w:trPr>
          <w:trHeight w:val="216"/>
        </w:trPr>
        <w:tc>
          <w:tcPr>
            <w:tcW w:w="88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88"/>
              </w:rPr>
              <w:t>Manpower Inc. dated May 1, 2001, incorporated by reference to the Company’s Annual Report on Form 10-K for the fiscal year ended December</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31, 2001.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7"/>
              </w:rPr>
              <w:t>10.8(a)</w:t>
            </w:r>
          </w:p>
        </w:tc>
        <w:tc>
          <w:tcPr>
            <w:tcW w:w="10520" w:type="dxa"/>
            <w:vAlign w:val="bottom"/>
          </w:tcPr>
          <w:p>
            <w:pPr>
              <w:ind w:left="260"/>
              <w:spacing w:after="0"/>
              <w:rPr>
                <w:sz w:val="20"/>
                <w:szCs w:val="20"/>
                <w:color w:val="auto"/>
              </w:rPr>
            </w:pPr>
            <w:r>
              <w:rPr>
                <w:rFonts w:ascii="Arial" w:cs="Arial" w:eastAsia="Arial" w:hAnsi="Arial"/>
                <w:sz w:val="18"/>
                <w:szCs w:val="18"/>
                <w:color w:val="auto"/>
                <w:w w:val="89"/>
              </w:rPr>
              <w:t>Manpower Inc. 2002 Corporate Senior Management Incentive Program, incorporated by reference to the Company’s Annual Report on Form 10-</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K for the fiscal year ended December 31, 2001.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7"/>
              </w:rPr>
              <w:t>10.8(b)</w:t>
            </w:r>
          </w:p>
        </w:tc>
        <w:tc>
          <w:tcPr>
            <w:tcW w:w="10520" w:type="dxa"/>
            <w:vAlign w:val="bottom"/>
          </w:tcPr>
          <w:p>
            <w:pPr>
              <w:ind w:left="260"/>
              <w:spacing w:after="0"/>
              <w:rPr>
                <w:sz w:val="20"/>
                <w:szCs w:val="20"/>
                <w:color w:val="auto"/>
              </w:rPr>
            </w:pPr>
            <w:r>
              <w:rPr>
                <w:rFonts w:ascii="Arial" w:cs="Arial" w:eastAsia="Arial" w:hAnsi="Arial"/>
                <w:sz w:val="18"/>
                <w:szCs w:val="18"/>
                <w:color w:val="auto"/>
                <w:w w:val="89"/>
              </w:rPr>
              <w:t>Amendment to Manpower Inc. 2002 Corporate Senior Management Incentive Program dated as of October 29, 2002, incorporated by reference</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for the fiscal year ended December 31, 2002. **</w:t>
            </w:r>
          </w:p>
        </w:tc>
      </w:tr>
      <w:tr>
        <w:trPr>
          <w:trHeight w:val="318"/>
        </w:trPr>
        <w:tc>
          <w:tcPr>
            <w:tcW w:w="880" w:type="dxa"/>
            <w:vAlign w:val="bottom"/>
          </w:tcPr>
          <w:p>
            <w:pPr>
              <w:ind w:left="60"/>
              <w:spacing w:after="0"/>
              <w:rPr>
                <w:sz w:val="20"/>
                <w:szCs w:val="20"/>
                <w:color w:val="auto"/>
              </w:rPr>
            </w:pPr>
            <w:r>
              <w:rPr>
                <w:rFonts w:ascii="Arial" w:cs="Arial" w:eastAsia="Arial" w:hAnsi="Arial"/>
                <w:sz w:val="18"/>
                <w:szCs w:val="18"/>
                <w:color w:val="auto"/>
              </w:rPr>
              <w:t>10.9</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Amended and Restated Manpower 1991 Directors Stock Option Plan, incorporated by reference to the Company’s Registration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Form S-8 (Registration No. 333-31021). **</w:t>
            </w:r>
          </w:p>
        </w:tc>
      </w:tr>
      <w:tr>
        <w:trPr>
          <w:trHeight w:val="318"/>
        </w:trPr>
        <w:tc>
          <w:tcPr>
            <w:tcW w:w="880" w:type="dxa"/>
            <w:vAlign w:val="bottom"/>
          </w:tcPr>
          <w:p>
            <w:pPr>
              <w:ind w:left="60"/>
              <w:spacing w:after="0"/>
              <w:rPr>
                <w:sz w:val="20"/>
                <w:szCs w:val="20"/>
                <w:color w:val="auto"/>
              </w:rPr>
            </w:pPr>
            <w:r>
              <w:rPr>
                <w:rFonts w:ascii="Arial" w:cs="Arial" w:eastAsia="Arial" w:hAnsi="Arial"/>
                <w:sz w:val="18"/>
                <w:szCs w:val="18"/>
                <w:color w:val="auto"/>
              </w:rPr>
              <w:t>10.10</w:t>
            </w:r>
          </w:p>
        </w:tc>
        <w:tc>
          <w:tcPr>
            <w:tcW w:w="10520" w:type="dxa"/>
            <w:vAlign w:val="bottom"/>
          </w:tcPr>
          <w:p>
            <w:pPr>
              <w:ind w:left="260"/>
              <w:spacing w:after="0"/>
              <w:rPr>
                <w:sz w:val="20"/>
                <w:szCs w:val="20"/>
                <w:color w:val="auto"/>
              </w:rPr>
            </w:pPr>
            <w:r>
              <w:rPr>
                <w:rFonts w:ascii="Arial" w:cs="Arial" w:eastAsia="Arial" w:hAnsi="Arial"/>
                <w:sz w:val="18"/>
                <w:szCs w:val="18"/>
                <w:color w:val="auto"/>
                <w:w w:val="89"/>
              </w:rPr>
              <w:t>Amended and Restated Manpower Deferred Stock Plan, incorporated by reference to the Company’s Annual Report on Form 10-K for the fiscal</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year ended December 31, 1996.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6"/>
              </w:rPr>
              <w:t>10.11(a)</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Employment Agreement between Terry A. Hueneke and Manpower Inc. dated February 18, 1997, incorporated by reference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Annual Report on Form 10-K for the fiscal year ended December 31, 1996.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6"/>
              </w:rPr>
              <w:t>10.11(b)</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Employment Agreement between Terry A. Hueneke and Manpower Inc. dated February 23, 1998, incorporated by reference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Annual Report on Form 10-K for the fiscal year ended December 31, 1998.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7"/>
              </w:rPr>
              <w:t>10.11(c)</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Separation Agreement between Terry Hueneke and Manpower Inc. dated as of March 27, 2002, incorporated by reference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March 31, 2002.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6"/>
              </w:rPr>
              <w:t>10.12(a)</w:t>
            </w: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Employment Agreement between Jeffrey A. Joerres and Manpower Inc. dated as of February 19, 2002, incorporated by reference to the</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fiscal year ended December 31, 2001. **</w:t>
            </w:r>
          </w:p>
        </w:tc>
      </w:tr>
      <w:tr>
        <w:trPr>
          <w:trHeight w:val="318"/>
        </w:trPr>
        <w:tc>
          <w:tcPr>
            <w:tcW w:w="880" w:type="dxa"/>
            <w:vAlign w:val="bottom"/>
          </w:tcPr>
          <w:p>
            <w:pPr>
              <w:jc w:val="center"/>
              <w:ind w:right="192"/>
              <w:spacing w:after="0"/>
              <w:rPr>
                <w:sz w:val="20"/>
                <w:szCs w:val="20"/>
                <w:color w:val="auto"/>
              </w:rPr>
            </w:pPr>
            <w:r>
              <w:rPr>
                <w:rFonts w:ascii="Arial" w:cs="Arial" w:eastAsia="Arial" w:hAnsi="Arial"/>
                <w:sz w:val="18"/>
                <w:szCs w:val="18"/>
                <w:color w:val="auto"/>
                <w:w w:val="89"/>
              </w:rPr>
              <w:t>10.12(b)</w:t>
            </w:r>
          </w:p>
        </w:tc>
        <w:tc>
          <w:tcPr>
            <w:tcW w:w="10520" w:type="dxa"/>
            <w:vAlign w:val="bottom"/>
          </w:tcPr>
          <w:p>
            <w:pPr>
              <w:ind w:left="260"/>
              <w:spacing w:after="0"/>
              <w:rPr>
                <w:sz w:val="20"/>
                <w:szCs w:val="20"/>
                <w:color w:val="auto"/>
              </w:rPr>
            </w:pPr>
            <w:r>
              <w:rPr>
                <w:rFonts w:ascii="Arial" w:cs="Arial" w:eastAsia="Arial" w:hAnsi="Arial"/>
                <w:sz w:val="18"/>
                <w:szCs w:val="18"/>
                <w:color w:val="auto"/>
                <w:w w:val="88"/>
              </w:rPr>
              <w:t>Severance Agreement between Jeffrey A. Joerres and Manpower Inc. dated as of February 19, 2002, incorporated by reference to the Company’s</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Annual Report on Form 10-K for the fiscal year ended December 31, 2001.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7"/>
              </w:rPr>
              <w:t>10.12(c)</w:t>
            </w:r>
          </w:p>
        </w:tc>
        <w:tc>
          <w:tcPr>
            <w:tcW w:w="10520" w:type="dxa"/>
            <w:vAlign w:val="bottom"/>
          </w:tcPr>
          <w:p>
            <w:pPr>
              <w:ind w:left="260"/>
              <w:spacing w:after="0"/>
              <w:rPr>
                <w:sz w:val="20"/>
                <w:szCs w:val="20"/>
                <w:color w:val="auto"/>
              </w:rPr>
            </w:pPr>
            <w:r>
              <w:rPr>
                <w:rFonts w:ascii="Arial" w:cs="Arial" w:eastAsia="Arial" w:hAnsi="Arial"/>
                <w:sz w:val="18"/>
                <w:szCs w:val="18"/>
                <w:color w:val="auto"/>
                <w:w w:val="88"/>
              </w:rPr>
              <w:t>Amendment to Severance Agreement between Jeffrey A. Joerres and Manpower Inc. dated as of October 29, 2002,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the Company’s Annual Report on Form 10-K for the fiscal year ended December 31, 2002. **</w:t>
            </w:r>
          </w:p>
        </w:tc>
      </w:tr>
      <w:tr>
        <w:trPr>
          <w:trHeight w:val="318"/>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86"/>
              </w:rPr>
              <w:t>10.13(a)</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Employment Agreement between Michael J. Van Handel and Manpower Inc. dated as of February 19, 2002, incorporated by reference to the</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fiscal year ended December 31, 2001. **</w:t>
            </w:r>
          </w:p>
        </w:tc>
      </w:tr>
      <w:tr>
        <w:trPr>
          <w:trHeight w:val="318"/>
        </w:trPr>
        <w:tc>
          <w:tcPr>
            <w:tcW w:w="880" w:type="dxa"/>
            <w:vAlign w:val="bottom"/>
          </w:tcPr>
          <w:p>
            <w:pPr>
              <w:jc w:val="center"/>
              <w:ind w:right="192"/>
              <w:spacing w:after="0"/>
              <w:rPr>
                <w:sz w:val="20"/>
                <w:szCs w:val="20"/>
                <w:color w:val="auto"/>
              </w:rPr>
            </w:pPr>
            <w:r>
              <w:rPr>
                <w:rFonts w:ascii="Arial" w:cs="Arial" w:eastAsia="Arial" w:hAnsi="Arial"/>
                <w:sz w:val="18"/>
                <w:szCs w:val="18"/>
                <w:color w:val="auto"/>
                <w:w w:val="89"/>
              </w:rPr>
              <w:t>10.13(b)</w:t>
            </w: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Severance Agreement between Michael J. Van Handel and Manpower Inc. dated as of February 19, 2002, incorporated by reference to the</w:t>
            </w:r>
          </w:p>
        </w:tc>
      </w:tr>
      <w:tr>
        <w:trPr>
          <w:trHeight w:val="222"/>
        </w:trPr>
        <w:tc>
          <w:tcPr>
            <w:tcW w:w="88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fiscal year ended December 31, 2001. **</w:t>
            </w:r>
          </w:p>
        </w:tc>
      </w:tr>
      <w:tr>
        <w:trPr>
          <w:trHeight w:val="365"/>
        </w:trPr>
        <w:tc>
          <w:tcPr>
            <w:tcW w:w="88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42</w:t>
            </w:r>
          </w:p>
        </w:tc>
      </w:tr>
    </w:tbl>
    <w:p>
      <w:pPr>
        <w:ind w:left="4720"/>
        <w:spacing w:after="0"/>
        <w:rPr>
          <w:sz w:val="20"/>
          <w:szCs w:val="20"/>
          <w:color w:val="auto"/>
        </w:rPr>
        <w:sectPr>
          <w:pgSz w:w="11900" w:h="16838" w:orient="portrait"/>
          <w:cols w:equalWidth="0" w:num="1">
            <w:col w:w="11400"/>
          </w:cols>
          <w:pgMar w:left="26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2" w:name="page43"/>
    <w:bookmarkEnd w:id="42"/>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10.13(c)</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Amendment to Severance Agreement between Michael J. Van Handel and Manpower Inc. dated as of October 29, 2002, incorporated by</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the Company’s Annual Report on Form 10-K for the fiscal year ended December 31, 2002.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Employment Agreement between Barbara J. Beck and Manpower Inc. dated as of December 18, 2001, incorporated by reference to the</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Quarterly Report on Form 10-Q for the quarter ended June 30, 2002.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10480" w:type="dxa"/>
            <w:vAlign w:val="bottom"/>
          </w:tcPr>
          <w:p>
            <w:pPr>
              <w:ind w:left="260"/>
              <w:spacing w:after="0"/>
              <w:rPr>
                <w:sz w:val="20"/>
                <w:szCs w:val="20"/>
                <w:color w:val="auto"/>
              </w:rPr>
            </w:pPr>
            <w:r>
              <w:rPr>
                <w:rFonts w:ascii="Arial" w:cs="Arial" w:eastAsia="Arial" w:hAnsi="Arial"/>
                <w:sz w:val="18"/>
                <w:szCs w:val="18"/>
                <w:color w:val="auto"/>
                <w:w w:val="89"/>
              </w:rPr>
              <w:t>Severance Agreement between Barbara J. Beck and Manpower Inc. dated as of August 15, 2002, incorporated by reference to the Company’s</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fiscal year ended December 31, 2002.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10.15(a)</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Description of Bonus Arrangement for Yoav Michaely, incorporated by reference to the Company’s Quarterly Report on Form 10-Q for the</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 ended June 30, 2002. **</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10.15(b)</w:t>
            </w:r>
          </w:p>
        </w:tc>
        <w:tc>
          <w:tcPr>
            <w:tcW w:w="10480" w:type="dxa"/>
            <w:vAlign w:val="bottom"/>
          </w:tcPr>
          <w:p>
            <w:pPr>
              <w:ind w:left="260"/>
              <w:spacing w:after="0"/>
              <w:rPr>
                <w:sz w:val="20"/>
                <w:szCs w:val="20"/>
                <w:color w:val="auto"/>
              </w:rPr>
            </w:pPr>
            <w:r>
              <w:rPr>
                <w:rFonts w:ascii="Arial" w:cs="Arial" w:eastAsia="Arial" w:hAnsi="Arial"/>
                <w:sz w:val="18"/>
                <w:szCs w:val="18"/>
                <w:color w:val="auto"/>
              </w:rPr>
              <w:t>Severance Agreement between Manpower Inc. and Yoav Michaely dated as of July 20, 2004.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10.16(a)</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Description of Bonus Arrangement for Jean-Pierre Lemonnier, incorporated by reference to the Company’s Quarterly Report on Form 10-Q for</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quarter ended June 30, 2002.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10.16(b)</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Severance Agreement among Manpower S.A.S., Manpower Inc. and Jean-Pierre Lemonnier dated as of September 1, 2003, incorporated by</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the Company’s Quarterly Report on Form 10-Q for the quarter ended September 30, 2003. **</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10.17(a)</w:t>
            </w:r>
          </w:p>
        </w:tc>
        <w:tc>
          <w:tcPr>
            <w:tcW w:w="10480" w:type="dxa"/>
            <w:vAlign w:val="bottom"/>
          </w:tcPr>
          <w:p>
            <w:pPr>
              <w:ind w:left="260"/>
              <w:spacing w:after="0"/>
              <w:rPr>
                <w:sz w:val="20"/>
                <w:szCs w:val="20"/>
                <w:color w:val="auto"/>
              </w:rPr>
            </w:pPr>
            <w:r>
              <w:rPr>
                <w:rFonts w:ascii="Arial" w:cs="Arial" w:eastAsia="Arial" w:hAnsi="Arial"/>
                <w:sz w:val="18"/>
                <w:szCs w:val="18"/>
                <w:color w:val="auto"/>
              </w:rPr>
              <w:t>2003 Equity Incentive Plan of Manpower Inc. (Amended and Restated Effective December 15, 2004).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10.17(b)</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Terms and Conditions Regarding the Grant of Options in Lieu of Cash Directors Fees to Non-Employee Directors Under 2003 Equity Incentive</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Plan of Manpower Inc., incorporated by reference in the Company’s Quarterly Report on Form 10-Q for the quarter ended June 30, 2003.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10.17(c)</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Terms and Conditions Regarding the Grant of Awards to Non-Employee Directors under the 2003 Equity Incentive Plan of Manpower Inc.</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(Amended and Restated Effective December 15, 2004).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10.18(a)</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Employment Agreement dated as of December 10, 2003 between Manpower Inc. and Richard J. Pinola, incorporated by reference to the</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Registration Statement on Form S-4 (Registration No. 333-111337) filed on December 19, 2003.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10.18(b)</w:t>
            </w:r>
          </w:p>
        </w:tc>
        <w:tc>
          <w:tcPr>
            <w:tcW w:w="10480" w:type="dxa"/>
            <w:vAlign w:val="bottom"/>
          </w:tcPr>
          <w:p>
            <w:pPr>
              <w:ind w:left="260"/>
              <w:spacing w:after="0"/>
              <w:rPr>
                <w:sz w:val="20"/>
                <w:szCs w:val="20"/>
                <w:color w:val="auto"/>
              </w:rPr>
            </w:pPr>
            <w:r>
              <w:rPr>
                <w:rFonts w:ascii="Arial" w:cs="Arial" w:eastAsia="Arial" w:hAnsi="Arial"/>
                <w:sz w:val="18"/>
                <w:szCs w:val="18"/>
                <w:color w:val="auto"/>
                <w:w w:val="89"/>
              </w:rPr>
              <w:t>Change of Control Agreement dated as of December 10, 2003 between Manpower Inc. and Richard J. Pinola, incorporated by reference to the</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Registration Statement on Form S-4 (Registration No. 333-111337) filed on December 19, 2003. **</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10.18(c)</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Separation Agreement dated as of December 20, 2004 between Manpower Inc. and Richard J. Pinola, incorporated by reference to the</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Report on Form 8-K filed on December 20, 2004.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260"/>
              <w:spacing w:after="0"/>
              <w:rPr>
                <w:sz w:val="20"/>
                <w:szCs w:val="20"/>
                <w:color w:val="auto"/>
              </w:rPr>
            </w:pPr>
            <w:r>
              <w:rPr>
                <w:rFonts w:ascii="Arial" w:cs="Arial" w:eastAsia="Arial" w:hAnsi="Arial"/>
                <w:sz w:val="18"/>
                <w:szCs w:val="18"/>
                <w:color w:val="auto"/>
                <w:w w:val="87"/>
              </w:rPr>
              <w:t>Right Management Consultants, Inc. 1993 Stock Incentive Plan, as amended, incorporated by reference to the Registration Statement on Form S-</w:t>
            </w:r>
          </w:p>
        </w:tc>
      </w:tr>
      <w:tr>
        <w:trPr>
          <w:trHeight w:val="222"/>
        </w:trPr>
        <w:tc>
          <w:tcPr>
            <w:tcW w:w="88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8 of Right Management Consultants, Inc. (Registration No. 333-84493). **</w:t>
            </w:r>
          </w:p>
        </w:tc>
      </w:tr>
      <w:tr>
        <w:trPr>
          <w:trHeight w:val="365"/>
        </w:trPr>
        <w:tc>
          <w:tcPr>
            <w:tcW w:w="880" w:type="dxa"/>
            <w:vAlign w:val="bottom"/>
          </w:tcPr>
          <w:p>
            <w:pPr>
              <w:spacing w:after="0"/>
              <w:rPr>
                <w:sz w:val="24"/>
                <w:szCs w:val="24"/>
                <w:color w:val="auto"/>
              </w:rPr>
            </w:pPr>
          </w:p>
        </w:tc>
        <w:tc>
          <w:tcPr>
            <w:tcW w:w="10480" w:type="dxa"/>
            <w:vAlign w:val="bottom"/>
          </w:tcPr>
          <w:p>
            <w:pPr>
              <w:ind w:left="4720"/>
              <w:spacing w:after="0"/>
              <w:rPr>
                <w:sz w:val="20"/>
                <w:szCs w:val="20"/>
                <w:color w:val="auto"/>
              </w:rPr>
            </w:pPr>
            <w:r>
              <w:rPr>
                <w:rFonts w:ascii="Arial" w:cs="Arial" w:eastAsia="Arial" w:hAnsi="Arial"/>
                <w:sz w:val="18"/>
                <w:szCs w:val="18"/>
                <w:color w:val="auto"/>
              </w:rPr>
              <w:t>43</w:t>
            </w:r>
          </w:p>
        </w:tc>
      </w:tr>
    </w:tbl>
    <w:p>
      <w:pPr>
        <w:ind w:left="4720"/>
        <w:spacing w:after="0"/>
        <w:rPr>
          <w:sz w:val="20"/>
          <w:szCs w:val="20"/>
          <w:color w:val="auto"/>
        </w:rPr>
        <w:sectPr>
          <w:pgSz w:w="11900" w:h="16838" w:orient="portrait"/>
          <w:cols w:equalWidth="0" w:num="1">
            <w:col w:w="11360"/>
          </w:cols>
          <w:pgMar w:left="26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3" w:name="page44"/>
    <w:bookmarkEnd w:id="43"/>
    <w:p>
      <w:pPr>
        <w:ind w:left="32"/>
        <w:spacing w:after="0"/>
        <w:tabs>
          <w:tab w:leader="none" w:pos="7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10.20</w:t>
      </w:r>
      <w:r>
        <w:rPr>
          <w:sz w:val="20"/>
          <w:szCs w:val="20"/>
          <w:color w:val="auto"/>
        </w:rPr>
        <w:tab/>
      </w:r>
      <w:r>
        <w:rPr>
          <w:rFonts w:ascii="Arial" w:cs="Arial" w:eastAsia="Arial" w:hAnsi="Arial"/>
          <w:sz w:val="15"/>
          <w:szCs w:val="15"/>
          <w:color w:val="auto"/>
        </w:rPr>
        <w:t>Right Management Consultants, Inc. Amended and Restated Directors’ Stock Option Plan, incorporated by reference to the Annual Report on Form</w:t>
      </w:r>
    </w:p>
    <w:p>
      <w:pPr>
        <w:spacing w:after="0" w:line="15" w:lineRule="exact"/>
        <w:rPr>
          <w:sz w:val="20"/>
          <w:szCs w:val="20"/>
          <w:color w:val="auto"/>
        </w:rPr>
      </w:pPr>
    </w:p>
    <w:p>
      <w:pPr>
        <w:ind w:left="812"/>
        <w:spacing w:after="0"/>
        <w:rPr>
          <w:sz w:val="20"/>
          <w:szCs w:val="20"/>
          <w:color w:val="auto"/>
        </w:rPr>
      </w:pPr>
      <w:r>
        <w:rPr>
          <w:rFonts w:ascii="Arial" w:cs="Arial" w:eastAsia="Arial" w:hAnsi="Arial"/>
          <w:sz w:val="18"/>
          <w:szCs w:val="18"/>
          <w:color w:val="auto"/>
        </w:rPr>
        <w:t>10-K for the year ended December 31, 2001 of Right Management Consultants, Inc. **</w:t>
      </w:r>
    </w:p>
    <w:p>
      <w:pPr>
        <w:spacing w:after="0" w:line="111" w:lineRule="exact"/>
        <w:rPr>
          <w:sz w:val="20"/>
          <w:szCs w:val="20"/>
          <w:color w:val="auto"/>
        </w:rPr>
      </w:pPr>
    </w:p>
    <w:p>
      <w:pPr>
        <w:ind w:left="32"/>
        <w:spacing w:after="0"/>
        <w:tabs>
          <w:tab w:leader="none" w:pos="79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Ratio of Earnings to Fixed Charges.</w:t>
      </w:r>
    </w:p>
    <w:p>
      <w:pPr>
        <w:spacing w:after="0" w:line="117" w:lineRule="exact"/>
        <w:rPr>
          <w:sz w:val="20"/>
          <w:szCs w:val="20"/>
          <w:color w:val="auto"/>
        </w:rPr>
      </w:pPr>
    </w:p>
    <w:p>
      <w:pPr>
        <w:ind w:left="812" w:hanging="773"/>
        <w:spacing w:after="0" w:line="268" w:lineRule="auto"/>
        <w:tabs>
          <w:tab w:leader="none" w:pos="8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2004 Annual Report to Shareholders. Pursuant to Item 601(b)(13) of Regulation S-K, the portions of the Annual Report incorporated by reference in this Form 10-K are filed as an exhibit hereto.</w:t>
      </w:r>
    </w:p>
    <w:p>
      <w:pPr>
        <w:spacing w:after="0" w:line="77" w:lineRule="exact"/>
        <w:rPr>
          <w:rFonts w:ascii="Arial" w:cs="Arial" w:eastAsia="Arial" w:hAnsi="Arial"/>
          <w:sz w:val="18"/>
          <w:szCs w:val="18"/>
          <w:color w:val="auto"/>
        </w:rPr>
      </w:pPr>
    </w:p>
    <w:p>
      <w:pPr>
        <w:ind w:left="812" w:right="20" w:hanging="773"/>
        <w:spacing w:after="0" w:line="268" w:lineRule="auto"/>
        <w:tabs>
          <w:tab w:leader="none" w:pos="8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Manpower Inc. Code of Business Conduct and Ethics (Amended and Restated Effective December 9, 2003) incorporated by reference to the Annual Report on Form 10-K for the year ended December 31, 2003.</w:t>
      </w:r>
    </w:p>
    <w:p>
      <w:pPr>
        <w:spacing w:after="0" w:line="78" w:lineRule="exact"/>
        <w:rPr>
          <w:sz w:val="20"/>
          <w:szCs w:val="20"/>
          <w:color w:val="auto"/>
        </w:rPr>
      </w:pPr>
    </w:p>
    <w:p>
      <w:pPr>
        <w:ind w:left="32"/>
        <w:spacing w:after="0"/>
        <w:tabs>
          <w:tab w:leader="none" w:pos="79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Manpower Inc.</w:t>
      </w:r>
    </w:p>
    <w:p>
      <w:pPr>
        <w:spacing w:after="0" w:line="117" w:lineRule="exact"/>
        <w:rPr>
          <w:sz w:val="20"/>
          <w:szCs w:val="20"/>
          <w:color w:val="auto"/>
        </w:rPr>
      </w:pPr>
    </w:p>
    <w:p>
      <w:pPr>
        <w:ind w:left="32"/>
        <w:spacing w:after="0"/>
        <w:tabs>
          <w:tab w:leader="none" w:pos="79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117" w:lineRule="exact"/>
        <w:rPr>
          <w:sz w:val="20"/>
          <w:szCs w:val="20"/>
          <w:color w:val="auto"/>
        </w:rPr>
      </w:pPr>
    </w:p>
    <w:p>
      <w:pPr>
        <w:ind w:left="32"/>
        <w:spacing w:after="0"/>
        <w:tabs>
          <w:tab w:leader="none" w:pos="79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Powers of Attorney.</w:t>
      </w:r>
    </w:p>
    <w:p>
      <w:pPr>
        <w:spacing w:after="0" w:line="117" w:lineRule="exact"/>
        <w:rPr>
          <w:sz w:val="20"/>
          <w:szCs w:val="20"/>
          <w:color w:val="auto"/>
        </w:rPr>
      </w:pPr>
    </w:p>
    <w:p>
      <w:pPr>
        <w:ind w:left="32"/>
        <w:spacing w:after="0"/>
        <w:tabs>
          <w:tab w:leader="none" w:pos="79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 1934.</w:t>
      </w:r>
    </w:p>
    <w:p>
      <w:pPr>
        <w:spacing w:after="0" w:line="117" w:lineRule="exact"/>
        <w:rPr>
          <w:sz w:val="20"/>
          <w:szCs w:val="20"/>
          <w:color w:val="auto"/>
        </w:rPr>
      </w:pPr>
    </w:p>
    <w:p>
      <w:pPr>
        <w:ind w:left="812" w:right="540" w:hanging="771"/>
        <w:spacing w:after="0" w:line="268" w:lineRule="auto"/>
        <w:tabs>
          <w:tab w:leader="none" w:pos="79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78" w:lineRule="exact"/>
        <w:rPr>
          <w:sz w:val="20"/>
          <w:szCs w:val="20"/>
          <w:color w:val="auto"/>
        </w:rPr>
      </w:pPr>
    </w:p>
    <w:p>
      <w:pPr>
        <w:ind w:left="32"/>
        <w:spacing w:after="0"/>
        <w:tabs>
          <w:tab w:leader="none" w:pos="79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Statement of Jeffrey A. Joerres, Chairman and Chief Executive Officer, pursuant to 18 U.S.C. ss. 1350.</w:t>
      </w:r>
    </w:p>
    <w:p>
      <w:pPr>
        <w:spacing w:after="0" w:line="117" w:lineRule="exact"/>
        <w:rPr>
          <w:sz w:val="20"/>
          <w:szCs w:val="20"/>
          <w:color w:val="auto"/>
        </w:rPr>
      </w:pPr>
    </w:p>
    <w:p>
      <w:pPr>
        <w:ind w:left="32"/>
        <w:spacing w:after="0"/>
        <w:tabs>
          <w:tab w:leader="none" w:pos="79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Statement of Michael J. Van Handel, Executive Vice President and Chief Financial Officer, pursuant to 18 U.S.C. ss. 1350.</w:t>
      </w:r>
    </w:p>
    <w:p>
      <w:pPr>
        <w:spacing w:after="0" w:line="77"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52"/>
          </w:cols>
          <w:pgMar w:left="248" w:top="388" w:right="39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826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10795</wp:posOffset>
            </wp:positionV>
            <wp:extent cx="26498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4"/>
          <w:szCs w:val="14"/>
          <w:b w:val="1"/>
          <w:bCs w:val="1"/>
          <w:color w:val="auto"/>
        </w:rPr>
        <w:t>Jeffrey A. Joerres</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Chairman, President and Chief Executive Officer</w:t>
      </w:r>
    </w:p>
    <w:p>
      <w:pPr>
        <w:spacing w:after="0" w:line="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February 22, 2005</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ind w:left="2240"/>
        <w:spacing w:after="0"/>
        <w:tabs>
          <w:tab w:leader="none" w:pos="7000" w:val="left"/>
          <w:tab w:leader="none" w:pos="103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68580</wp:posOffset>
            </wp:positionV>
            <wp:extent cx="274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68580</wp:posOffset>
            </wp:positionV>
            <wp:extent cx="240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68580</wp:posOffset>
            </wp:positionV>
            <wp:extent cx="2146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jc w:val="center"/>
              <w:ind w:right="202"/>
              <w:spacing w:after="0"/>
              <w:rPr>
                <w:sz w:val="20"/>
                <w:szCs w:val="20"/>
                <w:color w:val="auto"/>
              </w:rPr>
            </w:pPr>
            <w:r>
              <w:rPr>
                <w:rFonts w:ascii="Arial" w:cs="Arial" w:eastAsia="Arial" w:hAnsi="Arial"/>
                <w:sz w:val="18"/>
                <w:szCs w:val="18"/>
                <w:color w:val="auto"/>
                <w:w w:val="97"/>
              </w:rPr>
              <w:t>/s/  J</w:t>
            </w:r>
            <w:r>
              <w:rPr>
                <w:rFonts w:ascii="Arial" w:cs="Arial" w:eastAsia="Arial" w:hAnsi="Arial"/>
                <w:sz w:val="14"/>
                <w:szCs w:val="14"/>
                <w:color w:val="auto"/>
                <w:w w:val="97"/>
              </w:rPr>
              <w:t>EFFREY</w:t>
            </w:r>
            <w:r>
              <w:rPr>
                <w:rFonts w:ascii="Arial" w:cs="Arial" w:eastAsia="Arial" w:hAnsi="Arial"/>
                <w:sz w:val="18"/>
                <w:szCs w:val="18"/>
                <w:color w:val="auto"/>
                <w:w w:val="97"/>
              </w:rPr>
              <w:t xml:space="preserve"> A. J</w:t>
            </w:r>
            <w:r>
              <w:rPr>
                <w:rFonts w:ascii="Arial" w:cs="Arial" w:eastAsia="Arial" w:hAnsi="Arial"/>
                <w:sz w:val="14"/>
                <w:szCs w:val="14"/>
                <w:color w:val="auto"/>
                <w:w w:val="97"/>
              </w:rPr>
              <w:t>OERRES</w:t>
            </w:r>
          </w:p>
        </w:tc>
        <w:tc>
          <w:tcPr>
            <w:tcW w:w="4540" w:type="dxa"/>
            <w:vAlign w:val="bottom"/>
          </w:tcPr>
          <w:p>
            <w:pPr>
              <w:ind w:left="240"/>
              <w:spacing w:after="0"/>
              <w:rPr>
                <w:sz w:val="20"/>
                <w:szCs w:val="20"/>
                <w:color w:val="auto"/>
              </w:rPr>
            </w:pPr>
            <w:r>
              <w:rPr>
                <w:rFonts w:ascii="Arial" w:cs="Arial" w:eastAsia="Arial" w:hAnsi="Arial"/>
                <w:sz w:val="18"/>
                <w:szCs w:val="18"/>
                <w:color w:val="auto"/>
              </w:rPr>
              <w:t>Chairman, President, Chief Executive Officer and a</w:t>
            </w:r>
          </w:p>
        </w:tc>
        <w:tc>
          <w:tcPr>
            <w:tcW w:w="1760" w:type="dxa"/>
            <w:vAlign w:val="bottom"/>
          </w:tcPr>
          <w:p>
            <w:pPr>
              <w:ind w:left="460"/>
              <w:spacing w:after="0"/>
              <w:rPr>
                <w:sz w:val="20"/>
                <w:szCs w:val="20"/>
                <w:color w:val="auto"/>
              </w:rPr>
            </w:pPr>
            <w:r>
              <w:rPr>
                <w:rFonts w:ascii="Arial" w:cs="Arial" w:eastAsia="Arial" w:hAnsi="Arial"/>
                <w:sz w:val="18"/>
                <w:szCs w:val="18"/>
                <w:color w:val="auto"/>
                <w:w w:val="86"/>
              </w:rPr>
              <w:t>February 22, 2005</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540" w:type="dxa"/>
            <w:vAlign w:val="bottom"/>
            <w:vMerge w:val="restart"/>
          </w:tcPr>
          <w:p>
            <w:pPr>
              <w:ind w:left="440"/>
              <w:spacing w:after="0"/>
              <w:rPr>
                <w:sz w:val="20"/>
                <w:szCs w:val="20"/>
                <w:color w:val="auto"/>
              </w:rPr>
            </w:pPr>
            <w:r>
              <w:rPr>
                <w:rFonts w:ascii="Arial" w:cs="Arial" w:eastAsia="Arial" w:hAnsi="Arial"/>
                <w:sz w:val="18"/>
                <w:szCs w:val="18"/>
                <w:color w:val="auto"/>
              </w:rPr>
              <w:t>Director (Principal Executive Officer)</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Jeffrey A. Joerres</w:t>
            </w:r>
          </w:p>
        </w:tc>
        <w:tc>
          <w:tcPr>
            <w:tcW w:w="454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4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800" w:type="dxa"/>
            <w:vAlign w:val="bottom"/>
          </w:tcPr>
          <w:p>
            <w:pPr>
              <w:jc w:val="center"/>
              <w:ind w:right="202"/>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tc>
        <w:tc>
          <w:tcPr>
            <w:tcW w:w="4540" w:type="dxa"/>
            <w:vAlign w:val="bottom"/>
          </w:tcPr>
          <w:p>
            <w:pPr>
              <w:ind w:left="240"/>
              <w:spacing w:after="0"/>
              <w:rPr>
                <w:sz w:val="20"/>
                <w:szCs w:val="20"/>
                <w:color w:val="auto"/>
              </w:rPr>
            </w:pPr>
            <w:r>
              <w:rPr>
                <w:rFonts w:ascii="Arial" w:cs="Arial" w:eastAsia="Arial" w:hAnsi="Arial"/>
                <w:sz w:val="18"/>
                <w:szCs w:val="18"/>
                <w:color w:val="auto"/>
              </w:rPr>
              <w:t>Executive Vice President, Chief Financial Officer, and</w:t>
            </w:r>
          </w:p>
        </w:tc>
        <w:tc>
          <w:tcPr>
            <w:tcW w:w="1760" w:type="dxa"/>
            <w:vAlign w:val="bottom"/>
          </w:tcPr>
          <w:p>
            <w:pPr>
              <w:ind w:left="460"/>
              <w:spacing w:after="0"/>
              <w:rPr>
                <w:sz w:val="20"/>
                <w:szCs w:val="20"/>
                <w:color w:val="auto"/>
              </w:rPr>
            </w:pPr>
            <w:r>
              <w:rPr>
                <w:rFonts w:ascii="Arial" w:cs="Arial" w:eastAsia="Arial" w:hAnsi="Arial"/>
                <w:sz w:val="18"/>
                <w:szCs w:val="18"/>
                <w:color w:val="auto"/>
                <w:w w:val="86"/>
              </w:rPr>
              <w:t>February 22, 2005</w:t>
            </w:r>
          </w:p>
        </w:tc>
        <w:tc>
          <w:tcPr>
            <w:tcW w:w="0" w:type="dxa"/>
            <w:vAlign w:val="bottom"/>
          </w:tcPr>
          <w:p>
            <w:pPr>
              <w:spacing w:after="0"/>
              <w:rPr>
                <w:sz w:val="1"/>
                <w:szCs w:val="1"/>
                <w:color w:val="auto"/>
              </w:rPr>
            </w:pPr>
          </w:p>
        </w:tc>
      </w:tr>
      <w:tr>
        <w:trPr>
          <w:trHeight w:val="116"/>
        </w:trPr>
        <w:tc>
          <w:tcPr>
            <w:tcW w:w="4800" w:type="dxa"/>
            <w:vAlign w:val="bottom"/>
            <w:tcBorders>
              <w:bottom w:val="single" w:sz="8" w:color="auto"/>
            </w:tcBorders>
          </w:tcPr>
          <w:p>
            <w:pPr>
              <w:spacing w:after="0"/>
              <w:rPr>
                <w:sz w:val="10"/>
                <w:szCs w:val="10"/>
                <w:color w:val="auto"/>
              </w:rPr>
            </w:pPr>
          </w:p>
        </w:tc>
        <w:tc>
          <w:tcPr>
            <w:tcW w:w="4540" w:type="dxa"/>
            <w:vAlign w:val="bottom"/>
            <w:vMerge w:val="restart"/>
          </w:tcPr>
          <w:p>
            <w:pPr>
              <w:ind w:left="440"/>
              <w:spacing w:after="0"/>
              <w:rPr>
                <w:sz w:val="20"/>
                <w:szCs w:val="20"/>
                <w:color w:val="auto"/>
              </w:rPr>
            </w:pPr>
            <w:r>
              <w:rPr>
                <w:rFonts w:ascii="Arial" w:cs="Arial" w:eastAsia="Arial" w:hAnsi="Arial"/>
                <w:sz w:val="18"/>
                <w:szCs w:val="18"/>
                <w:color w:val="auto"/>
              </w:rPr>
              <w:t>Secretary (Principal Financial Officer and Principal</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45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Michael J. Van Handel</w:t>
            </w:r>
          </w:p>
        </w:tc>
        <w:tc>
          <w:tcPr>
            <w:tcW w:w="4540" w:type="dxa"/>
            <w:vAlign w:val="bottom"/>
          </w:tcPr>
          <w:p>
            <w:pPr>
              <w:ind w:left="440"/>
              <w:spacing w:after="0"/>
              <w:rPr>
                <w:sz w:val="20"/>
                <w:szCs w:val="20"/>
                <w:color w:val="auto"/>
              </w:rPr>
            </w:pPr>
            <w:r>
              <w:rPr>
                <w:rFonts w:ascii="Arial" w:cs="Arial" w:eastAsia="Arial" w:hAnsi="Arial"/>
                <w:sz w:val="18"/>
                <w:szCs w:val="18"/>
                <w:color w:val="auto"/>
              </w:rPr>
              <w:t>Accounting Officer)</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Directors: J. Thomas Bouchard, Marc J. Bolland, Stephanie A. Burns, Willie D. Davis, Jack M. Greenberg, Terry A. Hueneke, Rozanne L. Ridgway, Dennis Stevenson, John R. Walter and Edward J. Zore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51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tc>
        <w:tc>
          <w:tcPr>
            <w:tcW w:w="4140" w:type="dxa"/>
            <w:vAlign w:val="bottom"/>
          </w:tcPr>
          <w:p>
            <w:pPr>
              <w:ind w:left="2840"/>
              <w:spacing w:after="0"/>
              <w:rPr>
                <w:sz w:val="20"/>
                <w:szCs w:val="20"/>
                <w:color w:val="auto"/>
              </w:rPr>
            </w:pPr>
            <w:r>
              <w:rPr>
                <w:rFonts w:ascii="Arial" w:cs="Arial" w:eastAsia="Arial" w:hAnsi="Arial"/>
                <w:sz w:val="18"/>
                <w:szCs w:val="18"/>
                <w:color w:val="auto"/>
                <w:w w:val="86"/>
              </w:rPr>
              <w:t>February 22, 2005</w:t>
            </w:r>
          </w:p>
        </w:tc>
      </w:tr>
      <w:tr>
        <w:trPr>
          <w:trHeight w:val="129"/>
        </w:trPr>
        <w:tc>
          <w:tcPr>
            <w:tcW w:w="280" w:type="dxa"/>
            <w:vAlign w:val="bottom"/>
          </w:tcPr>
          <w:p>
            <w:pPr>
              <w:spacing w:after="0"/>
              <w:rPr>
                <w:sz w:val="11"/>
                <w:szCs w:val="11"/>
                <w:color w:val="auto"/>
              </w:rPr>
            </w:pPr>
          </w:p>
        </w:tc>
        <w:tc>
          <w:tcPr>
            <w:tcW w:w="5140" w:type="dxa"/>
            <w:vAlign w:val="bottom"/>
          </w:tcPr>
          <w:p>
            <w:pPr>
              <w:jc w:val="center"/>
              <w:ind w:left="46"/>
              <w:spacing w:after="0" w:line="129" w:lineRule="exact"/>
              <w:rPr>
                <w:sz w:val="20"/>
                <w:szCs w:val="20"/>
                <w:color w:val="auto"/>
              </w:rPr>
            </w:pPr>
            <w:r>
              <w:rPr>
                <w:rFonts w:ascii="Arial" w:cs="Arial" w:eastAsia="Arial" w:hAnsi="Arial"/>
                <w:sz w:val="14"/>
                <w:szCs w:val="14"/>
                <w:b w:val="1"/>
                <w:bCs w:val="1"/>
                <w:color w:val="auto"/>
                <w:w w:val="88"/>
              </w:rPr>
              <w:t>Michael J. Van Handel</w:t>
            </w:r>
          </w:p>
        </w:tc>
        <w:tc>
          <w:tcPr>
            <w:tcW w:w="4140" w:type="dxa"/>
            <w:vAlign w:val="bottom"/>
          </w:tcPr>
          <w:p>
            <w:pPr>
              <w:spacing w:after="0"/>
              <w:rPr>
                <w:sz w:val="11"/>
                <w:szCs w:val="11"/>
                <w:color w:val="auto"/>
              </w:rPr>
            </w:pPr>
          </w:p>
        </w:tc>
      </w:tr>
      <w:tr>
        <w:trPr>
          <w:trHeight w:val="174"/>
        </w:trPr>
        <w:tc>
          <w:tcPr>
            <w:tcW w:w="280" w:type="dxa"/>
            <w:vAlign w:val="bottom"/>
          </w:tcPr>
          <w:p>
            <w:pPr>
              <w:spacing w:after="0"/>
              <w:rPr>
                <w:sz w:val="15"/>
                <w:szCs w:val="15"/>
                <w:color w:val="auto"/>
              </w:rPr>
            </w:pPr>
          </w:p>
        </w:tc>
        <w:tc>
          <w:tcPr>
            <w:tcW w:w="5140" w:type="dxa"/>
            <w:vAlign w:val="bottom"/>
          </w:tcPr>
          <w:p>
            <w:pPr>
              <w:jc w:val="center"/>
              <w:ind w:left="46"/>
              <w:spacing w:after="0"/>
              <w:rPr>
                <w:sz w:val="20"/>
                <w:szCs w:val="20"/>
                <w:color w:val="auto"/>
              </w:rPr>
            </w:pPr>
            <w:r>
              <w:rPr>
                <w:rFonts w:ascii="Arial" w:cs="Arial" w:eastAsia="Arial" w:hAnsi="Arial"/>
                <w:sz w:val="14"/>
                <w:szCs w:val="14"/>
                <w:b w:val="1"/>
                <w:bCs w:val="1"/>
                <w:color w:val="auto"/>
                <w:w w:val="93"/>
              </w:rPr>
              <w:t>Attorney-In-Fact*</w:t>
            </w:r>
          </w:p>
        </w:tc>
        <w:tc>
          <w:tcPr>
            <w:tcW w:w="4140" w:type="dxa"/>
            <w:vAlign w:val="bottom"/>
          </w:tcPr>
          <w:p>
            <w:pPr>
              <w:spacing w:after="0"/>
              <w:rPr>
                <w:sz w:val="15"/>
                <w:szCs w:val="15"/>
                <w:color w:val="auto"/>
              </w:rPr>
            </w:pPr>
          </w:p>
        </w:tc>
      </w:tr>
    </w:tbl>
    <w:p>
      <w:pPr>
        <w:spacing w:after="0" w:line="127" w:lineRule="exact"/>
        <w:rPr>
          <w:sz w:val="20"/>
          <w:szCs w:val="20"/>
          <w:color w:val="auto"/>
        </w:rPr>
      </w:pPr>
    </w:p>
    <w:p>
      <w:pPr>
        <w:ind w:left="5620" w:right="5000" w:hanging="5612"/>
        <w:spacing w:after="0" w:line="525" w:lineRule="auto"/>
        <w:tabs>
          <w:tab w:leader="none" w:pos="218"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Pursuant to authority granted by powers of attorney, copies of which are filed herewith. 45</w:t>
      </w:r>
    </w:p>
    <w:p>
      <w:pPr>
        <w:sectPr>
          <w:pgSz w:w="11900" w:h="16838" w:orient="portrait"/>
          <w:cols w:equalWidth="0" w:num="1">
            <w:col w:w="11360"/>
          </w:cols>
          <w:pgMar w:left="240" w:top="422" w:right="299" w:bottom="1440" w:gutter="0" w:footer="0" w:header="0"/>
        </w:sectPr>
      </w:pPr>
    </w:p>
    <w:bookmarkStart w:id="45" w:name="page46"/>
    <w:bookmarkEnd w:id="45"/>
    <w:p>
      <w:pPr>
        <w:ind w:right="920" w:firstLine="962"/>
        <w:spacing w:after="0" w:line="42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ON FINANCIAL STATEMENT SCHEDULE </w:t>
      </w:r>
      <w:r>
        <w:rPr>
          <w:rFonts w:ascii="Arial" w:cs="Arial" w:eastAsia="Arial" w:hAnsi="Arial"/>
          <w:sz w:val="18"/>
          <w:szCs w:val="18"/>
          <w:color w:val="auto"/>
        </w:rPr>
        <w:t>To the Board of Directors and Shareholders of Manpower Inc.:</w:t>
      </w:r>
    </w:p>
    <w:p>
      <w:pPr>
        <w:ind w:right="80" w:firstLine="456"/>
        <w:spacing w:after="0" w:line="298" w:lineRule="auto"/>
        <w:rPr>
          <w:sz w:val="20"/>
          <w:szCs w:val="20"/>
          <w:color w:val="auto"/>
        </w:rPr>
      </w:pPr>
      <w:r>
        <w:rPr>
          <w:rFonts w:ascii="Arial" w:cs="Arial" w:eastAsia="Arial" w:hAnsi="Arial"/>
          <w:sz w:val="16"/>
          <w:szCs w:val="16"/>
          <w:color w:val="auto"/>
        </w:rPr>
        <w:t>Our audits of the consolidated financial statements referred to in our report dated February 16, 2005 appearing in the 2004 Annual Report to Shareholders of Manpower Inc. (which report and consolidated financial statements are incorporated by reference in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 on Form S-8 (Nos. 33-40441, 33-55264, 33-84736, 333-1040, 333-31021, 333-82459, 333-66656, 333-105205 and 333-112164), Form S-3 (Nos. 33-89660, 333-6545, 333-71040) and Form S-4 (File Nos. 333-650, 33-95896 and 333-87554) of Manpower Inc. of our report dated February 16, 2005 relating to the financial statements, management’s assessment of the effectiveness of internal control over financial reporting and the effectiveness of internal control over financial reporting, which appears in the Annual Report to Shareholders, which is incorporated in this Annual Report on Form 10-K. We also consent to the incorporation by reference of our report dated February 16, 2005 relating to the financial statement schedule, which appears in this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2005</w:t>
      </w:r>
    </w:p>
    <w:p>
      <w:pPr>
        <w:sectPr>
          <w:pgSz w:w="11900" w:h="16838" w:orient="portrait"/>
          <w:cols w:equalWidth="0" w:num="1">
            <w:col w:w="11380"/>
          </w:cols>
          <w:pgMar w:left="240" w:top="422" w:right="279" w:bottom="1440" w:gutter="0" w:footer="0" w:header="0"/>
        </w:sectPr>
      </w:pPr>
    </w:p>
    <w:bookmarkStart w:id="46" w:name="page47"/>
    <w:bookmarkEnd w:id="46"/>
    <w:p>
      <w:pPr>
        <w:ind w:left="460" w:right="3220" w:firstLine="2770"/>
        <w:spacing w:after="0" w:line="42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SCHEDULE II - VALUATION AND QUALIFYING ACCOUNTS </w:t>
      </w:r>
      <w:r>
        <w:rPr>
          <w:rFonts w:ascii="Arial" w:cs="Arial" w:eastAsia="Arial" w:hAnsi="Arial"/>
          <w:sz w:val="18"/>
          <w:szCs w:val="18"/>
          <w:color w:val="auto"/>
        </w:rPr>
        <w:t>For the years ended December 31, 2004, 2003 and 2002, in millions:</w:t>
      </w:r>
    </w:p>
    <w:p>
      <w:pPr>
        <w:spacing w:after="0"/>
        <w:rPr>
          <w:sz w:val="20"/>
          <w:szCs w:val="20"/>
          <w:color w:val="auto"/>
        </w:rPr>
      </w:pPr>
      <w:r>
        <w:rPr>
          <w:rFonts w:ascii="Arial" w:cs="Arial" w:eastAsia="Arial" w:hAnsi="Arial"/>
          <w:sz w:val="18"/>
          <w:szCs w:val="18"/>
          <w:color w:val="auto"/>
        </w:rPr>
        <w:t>Allowance for Doubtful Accounts: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Provisions</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3"/>
              </w:rPr>
              <w:t>Charged to</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Write-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Translation</w:t>
            </w:r>
          </w:p>
        </w:tc>
        <w:tc>
          <w:tcPr>
            <w:tcW w:w="40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0"/>
              </w:rPr>
              <w:t>Reclassifications</w:t>
            </w:r>
          </w:p>
        </w:tc>
        <w:tc>
          <w:tcPr>
            <w:tcW w:w="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of Year</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Earnings</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Offs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400" w:type="dxa"/>
            <w:vAlign w:val="bottom"/>
          </w:tcPr>
          <w:p>
            <w:pPr>
              <w:spacing w:after="0"/>
              <w:rPr>
                <w:sz w:val="15"/>
                <w:szCs w:val="15"/>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and Other</w:t>
            </w: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jc w:val="right"/>
              <w:ind w:right="5132"/>
              <w:spacing w:after="0"/>
              <w:rPr>
                <w:sz w:val="20"/>
                <w:szCs w:val="20"/>
                <w:color w:val="auto"/>
              </w:rPr>
            </w:pPr>
            <w:r>
              <w:rPr>
                <w:rFonts w:ascii="Arial" w:cs="Arial" w:eastAsia="Arial" w:hAnsi="Arial"/>
                <w:sz w:val="18"/>
                <w:szCs w:val="18"/>
                <w:color w:val="auto"/>
                <w:w w:val="79"/>
              </w:rPr>
              <w:t>2004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$ 91.4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jc w:val="right"/>
              <w:ind w:right="5132"/>
              <w:spacing w:after="0"/>
              <w:rPr>
                <w:sz w:val="20"/>
                <w:szCs w:val="20"/>
                <w:color w:val="auto"/>
              </w:rPr>
            </w:pPr>
            <w:r>
              <w:rPr>
                <w:rFonts w:ascii="Arial" w:cs="Arial" w:eastAsia="Arial" w:hAnsi="Arial"/>
                <w:sz w:val="18"/>
                <w:szCs w:val="18"/>
                <w:color w:val="auto"/>
                <w:w w:val="79"/>
              </w:rPr>
              <w:t>2003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70.3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16.7</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(19.5)</w:t>
            </w: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174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$ 79.1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jc w:val="right"/>
              <w:ind w:right="5132"/>
              <w:spacing w:after="0"/>
              <w:rPr>
                <w:sz w:val="20"/>
                <w:szCs w:val="20"/>
                <w:color w:val="auto"/>
              </w:rPr>
            </w:pPr>
            <w:r>
              <w:rPr>
                <w:rFonts w:ascii="Arial" w:cs="Arial" w:eastAsia="Arial" w:hAnsi="Arial"/>
                <w:sz w:val="18"/>
                <w:szCs w:val="18"/>
                <w:color w:val="auto"/>
                <w:w w:val="79"/>
              </w:rPr>
              <w:t>2002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10.15(b)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20,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Yoav Michaley:</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4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generally made available to executives of the Corporation from time to time.</w:t>
      </w:r>
    </w:p>
    <w:p>
      <w:pPr>
        <w:spacing w:after="0" w:line="99" w:lineRule="exact"/>
        <w:rPr>
          <w:rFonts w:ascii="Arial" w:cs="Arial" w:eastAsia="Arial" w:hAnsi="Arial"/>
          <w:sz w:val="16"/>
          <w:szCs w:val="16"/>
          <w:color w:val="auto"/>
        </w:rPr>
      </w:pPr>
    </w:p>
    <w:p>
      <w:pPr>
        <w:ind w:left="900" w:right="300" w:hanging="446"/>
        <w:spacing w:after="0" w:line="253"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insubordination, (iii) your commission of any material act of dishonesty or disloyalty involving the Manpower Group, (iv) your chronic absence from work other than by reason of a serious health condition, (v) your commission of a crime which substantially relates to the circumstances of your position with the Manpower Group or which has material adverse effect on the Manpower Group, or (vi)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76"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w:t>
      </w:r>
    </w:p>
    <w:p>
      <w:pPr>
        <w:sectPr>
          <w:pgSz w:w="11900" w:h="16838" w:orient="portrait"/>
          <w:cols w:equalWidth="0" w:num="1">
            <w:col w:w="11420"/>
          </w:cols>
          <w:pgMar w:left="240" w:top="280" w:right="239" w:bottom="1440" w:gutter="0" w:footer="0" w:header="0"/>
        </w:sectPr>
      </w:pPr>
    </w:p>
    <w:bookmarkStart w:id="48" w:name="page49"/>
    <w:bookmarkEnd w:id="48"/>
    <w:p>
      <w:pPr>
        <w:ind w:left="567"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42" w:lineRule="exact"/>
        <w:rPr>
          <w:sz w:val="20"/>
          <w:szCs w:val="20"/>
          <w:color w:val="auto"/>
        </w:rPr>
      </w:pPr>
    </w:p>
    <w:p>
      <w:pPr>
        <w:jc w:val="both"/>
        <w:ind w:left="567" w:right="80" w:hanging="567"/>
        <w:spacing w:after="0" w:line="291" w:lineRule="auto"/>
        <w:tabs>
          <w:tab w:leader="none" w:pos="5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5" w:lineRule="exact"/>
        <w:rPr>
          <w:rFonts w:ascii="Arial" w:cs="Arial" w:eastAsia="Arial" w:hAnsi="Arial"/>
          <w:sz w:val="16"/>
          <w:szCs w:val="16"/>
          <w:color w:val="auto"/>
        </w:rPr>
      </w:pPr>
    </w:p>
    <w:p>
      <w:pPr>
        <w:ind w:left="567" w:right="120" w:hanging="567"/>
        <w:spacing w:after="0" w:line="268" w:lineRule="auto"/>
        <w:tabs>
          <w:tab w:leader="none" w:pos="5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37" w:lineRule="exact"/>
        <w:rPr>
          <w:rFonts w:ascii="Arial" w:cs="Arial" w:eastAsia="Arial" w:hAnsi="Arial"/>
          <w:sz w:val="18"/>
          <w:szCs w:val="18"/>
          <w:color w:val="auto"/>
        </w:rPr>
      </w:pPr>
    </w:p>
    <w:p>
      <w:pPr>
        <w:ind w:left="567" w:hanging="567"/>
        <w:spacing w:after="0" w:line="294" w:lineRule="auto"/>
        <w:tabs>
          <w:tab w:leader="none" w:pos="5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w:t>
      </w:r>
    </w:p>
    <w:p>
      <w:pPr>
        <w:spacing w:after="0" w:line="102"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7"/>
          </w:cols>
          <w:pgMar w:left="1153" w:top="280" w:right="239" w:bottom="1440" w:gutter="0" w:footer="0" w:header="0"/>
        </w:sectPr>
      </w:pPr>
    </w:p>
    <w:bookmarkStart w:id="49" w:name="page50"/>
    <w:bookmarkEnd w:id="49"/>
    <w:p>
      <w:pPr>
        <w:ind w:left="1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whose initial assumption of office occurs as a result of an actual or threatened election contest which was (or, if threatened, would have been) subject to Exchange Act Rule 14a-11; or</w:t>
      </w:r>
    </w:p>
    <w:p>
      <w:pPr>
        <w:spacing w:after="0" w:line="37" w:lineRule="exact"/>
        <w:rPr>
          <w:sz w:val="20"/>
          <w:szCs w:val="20"/>
          <w:color w:val="auto"/>
        </w:rPr>
      </w:pPr>
    </w:p>
    <w:p>
      <w:pPr>
        <w:jc w:val="both"/>
        <w:ind w:left="1480" w:right="360" w:hanging="567"/>
        <w:spacing w:after="0" w:line="335" w:lineRule="auto"/>
        <w:tabs>
          <w:tab w:leader="none" w:pos="14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7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“Good Reason” will mean, without your consent, the occurrence of any one or more of the following during the Term:</w:t>
      </w:r>
    </w:p>
    <w:p>
      <w:pPr>
        <w:spacing w:after="0" w:line="76" w:lineRule="exact"/>
        <w:rPr>
          <w:rFonts w:ascii="Arial" w:cs="Arial" w:eastAsia="Arial" w:hAnsi="Arial"/>
          <w:sz w:val="18"/>
          <w:szCs w:val="18"/>
          <w:color w:val="auto"/>
        </w:rPr>
      </w:pPr>
    </w:p>
    <w:p>
      <w:pPr>
        <w:ind w:left="1480" w:right="40" w:hanging="567"/>
        <w:spacing w:after="0" w:line="306"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2" w:lineRule="exact"/>
        <w:rPr>
          <w:rFonts w:ascii="Arial" w:cs="Arial" w:eastAsia="Arial" w:hAnsi="Arial"/>
          <w:sz w:val="16"/>
          <w:szCs w:val="16"/>
          <w:color w:val="auto"/>
        </w:rPr>
      </w:pPr>
    </w:p>
    <w:p>
      <w:pPr>
        <w:ind w:left="1480" w:right="12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material breach of this agreement by the Corporation or of any material obligation of any member of the Manpower Group for the payment or provision of compensation or other benefits to you which remains uncured ten business days after you give written notice to the Corporation which specifies the breach;</w:t>
      </w:r>
    </w:p>
    <w:p>
      <w:pPr>
        <w:spacing w:after="0" w:line="45" w:lineRule="exact"/>
        <w:rPr>
          <w:rFonts w:ascii="Arial" w:cs="Arial" w:eastAsia="Arial" w:hAnsi="Arial"/>
          <w:sz w:val="18"/>
          <w:szCs w:val="18"/>
          <w:color w:val="auto"/>
        </w:rPr>
      </w:pPr>
    </w:p>
    <w:p>
      <w:pPr>
        <w:ind w:left="1480" w:right="240" w:hanging="567"/>
        <w:spacing w:after="0" w:line="325"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reduction in your base salary as in effect from time to time or a failure by the Manpower Group to provide an arrangement for you for any fiscal year of the Manpower Group giving you the opportunity to earn an incentive bonus for such year; or</w:t>
      </w:r>
    </w:p>
    <w:p>
      <w:pPr>
        <w:spacing w:after="0" w:line="1" w:lineRule="exact"/>
        <w:rPr>
          <w:rFonts w:ascii="Arial" w:cs="Arial" w:eastAsia="Arial" w:hAnsi="Arial"/>
          <w:sz w:val="16"/>
          <w:szCs w:val="16"/>
          <w:color w:val="auto"/>
        </w:rPr>
      </w:pPr>
    </w:p>
    <w:p>
      <w:pPr>
        <w:ind w:left="1480" w:right="160" w:hanging="567"/>
        <w:spacing w:after="0" w:line="298"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0" w:name="page51"/>
    <w:bookmarkEnd w:id="50"/>
    <w:p>
      <w:pPr>
        <w:ind w:left="466"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continued employment or failure to give Notice of Termination will not constitute consent to, or a waiver of rights with respect to, any circumstance constituting Good Reason hereunder except as otherwise provided.</w:t>
      </w:r>
    </w:p>
    <w:p>
      <w:pPr>
        <w:spacing w:after="0" w:line="37" w:lineRule="exact"/>
        <w:rPr>
          <w:sz w:val="20"/>
          <w:szCs w:val="20"/>
          <w:color w:val="auto"/>
        </w:rPr>
      </w:pPr>
    </w:p>
    <w:p>
      <w:pPr>
        <w:ind w:left="446" w:hanging="446"/>
        <w:spacing w:after="0" w:line="255"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48" w:lineRule="exact"/>
        <w:rPr>
          <w:rFonts w:ascii="Arial" w:cs="Arial" w:eastAsia="Arial" w:hAnsi="Arial"/>
          <w:sz w:val="18"/>
          <w:szCs w:val="18"/>
          <w:color w:val="auto"/>
        </w:rPr>
      </w:pPr>
    </w:p>
    <w:p>
      <w:pPr>
        <w:ind w:left="446" w:hanging="446"/>
        <w:spacing w:after="0" w:line="325"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76" w:lineRule="exact"/>
        <w:rPr>
          <w:rFonts w:ascii="Arial" w:cs="Arial" w:eastAsia="Arial" w:hAnsi="Arial"/>
          <w:sz w:val="18"/>
          <w:szCs w:val="18"/>
          <w:color w:val="auto"/>
        </w:rPr>
      </w:pPr>
    </w:p>
    <w:p>
      <w:pPr>
        <w:ind w:left="1026" w:right="140" w:hanging="567"/>
        <w:spacing w:after="0" w:line="331" w:lineRule="auto"/>
        <w:tabs>
          <w:tab w:leader="none" w:pos="1026" w:val="left"/>
        </w:tabs>
        <w:numPr>
          <w:ilvl w:val="1"/>
          <w:numId w:val="30"/>
        </w:numPr>
        <w:rPr>
          <w:rFonts w:ascii="Arial" w:cs="Arial" w:eastAsia="Arial" w:hAnsi="Arial"/>
          <w:sz w:val="15"/>
          <w:szCs w:val="15"/>
          <w:color w:val="auto"/>
        </w:rPr>
      </w:pPr>
      <w:r>
        <w:rPr>
          <w:rFonts w:ascii="Arial" w:cs="Arial" w:eastAsia="Arial" w:hAnsi="Arial"/>
          <w:sz w:val="15"/>
          <w:szCs w:val="15"/>
          <w:color w:val="auto"/>
        </w:rPr>
        <w:t>if a Change in Control is triggered by an acquisition of shares of common stock of the Corporation pursuant to a tender offer, the Protected Period shall commence on the date of the initial tender offer and shall continue through and including the date of the Change in Control, provided that in no case will the Protected Period commence earlier than the date that is six months prior to the Change in Control;</w:t>
      </w:r>
    </w:p>
    <w:p>
      <w:pPr>
        <w:spacing w:after="0" w:line="2" w:lineRule="exact"/>
        <w:rPr>
          <w:rFonts w:ascii="Arial" w:cs="Arial" w:eastAsia="Arial" w:hAnsi="Arial"/>
          <w:sz w:val="15"/>
          <w:szCs w:val="15"/>
          <w:color w:val="auto"/>
        </w:rPr>
      </w:pPr>
    </w:p>
    <w:p>
      <w:pPr>
        <w:ind w:left="1026" w:right="160" w:hanging="567"/>
        <w:spacing w:after="0" w:line="256" w:lineRule="auto"/>
        <w:tabs>
          <w:tab w:leader="none" w:pos="10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a Change in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in Control, provided that in no case will the Protected Period commence earlier than the date that is six months prior to the Change in Control; and</w:t>
      </w:r>
    </w:p>
    <w:p>
      <w:pPr>
        <w:spacing w:after="0" w:line="48" w:lineRule="exact"/>
        <w:rPr>
          <w:rFonts w:ascii="Arial" w:cs="Arial" w:eastAsia="Arial" w:hAnsi="Arial"/>
          <w:sz w:val="18"/>
          <w:szCs w:val="18"/>
          <w:color w:val="auto"/>
        </w:rPr>
      </w:pPr>
    </w:p>
    <w:p>
      <w:pPr>
        <w:ind w:left="1026" w:right="320" w:hanging="567"/>
        <w:spacing w:after="0" w:line="325" w:lineRule="auto"/>
        <w:tabs>
          <w:tab w:leader="none" w:pos="1026"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 (ii) above, the Protected Period shall commence on the date that is six months prior to the Change in Control and shall continue through and including the date of the Change in Control.</w:t>
      </w:r>
    </w:p>
    <w:p>
      <w:pPr>
        <w:spacing w:after="0" w:line="1" w:lineRule="exact"/>
        <w:rPr>
          <w:rFonts w:ascii="Arial" w:cs="Arial" w:eastAsia="Arial" w:hAnsi="Arial"/>
          <w:sz w:val="16"/>
          <w:szCs w:val="16"/>
          <w:color w:val="auto"/>
        </w:rPr>
      </w:pPr>
    </w:p>
    <w:p>
      <w:pPr>
        <w:ind w:left="446" w:right="80" w:hanging="446"/>
        <w:spacing w:after="0" w:line="256"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indicated above and ending on the first to occur of the following: (a) the date which is the two-year anniversary of the occurrence of a Change of Control; (b) the date which is the three-year anniversary of the date of this letter indicated above if no Change of Control occurs between the date of this letter indicated above and such three-year anniversary; and (c) the Date of Termination.</w:t>
      </w:r>
    </w:p>
    <w:p>
      <w:pPr>
        <w:spacing w:after="0" w:line="130"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6"/>
          </w:cols>
          <w:pgMar w:left="694" w:top="280" w:right="299" w:bottom="1440" w:gutter="0" w:footer="0" w:header="0"/>
        </w:sectPr>
      </w:pPr>
    </w:p>
    <w:bookmarkStart w:id="51" w:name="page52"/>
    <w:bookmarkEnd w:id="51"/>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and Benefits on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100" w:hanging="446"/>
        <w:spacing w:after="0" w:line="254" w:lineRule="auto"/>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by the Manpower Group for Cause or by You Other Than for Good Reason</w:t>
      </w:r>
      <w:r>
        <w:rPr>
          <w:rFonts w:ascii="Arial" w:cs="Arial" w:eastAsia="Arial" w:hAnsi="Arial"/>
          <w:sz w:val="18"/>
          <w:szCs w:val="18"/>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49" w:lineRule="exact"/>
        <w:rPr>
          <w:rFonts w:ascii="Arial" w:cs="Arial" w:eastAsia="Arial" w:hAnsi="Arial"/>
          <w:sz w:val="18"/>
          <w:szCs w:val="18"/>
          <w:color w:val="auto"/>
        </w:rPr>
      </w:pPr>
    </w:p>
    <w:p>
      <w:pPr>
        <w:ind w:left="892" w:hanging="446"/>
        <w:spacing w:after="0" w:line="287" w:lineRule="auto"/>
        <w:tabs>
          <w:tab w:leader="none" w:pos="892"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Termination of Reason of Disability or Death</w:t>
      </w:r>
      <w:r>
        <w:rPr>
          <w:rFonts w:ascii="Arial" w:cs="Arial" w:eastAsia="Arial" w:hAnsi="Arial"/>
          <w:sz w:val="16"/>
          <w:szCs w:val="16"/>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in amount to the bonus you would have received for the full fiscal year had your employment not terminated, determined under the criteria applicable to you for receipt of a bonus for such year (with any discretionary component to be based on your progress towards attainment of relevant performance goals for such component during the portion of the year you are employed), but prorated for the actual number of days you were employed during such fiscal year, payable within forty-five days after the close of such fiscal year, and (iv) all benefits to which you are entitled under any Benefit Plans in accordance with the terms of such plans. The Manpower Group shall be entitled to terminate your employment by reason of your disability if you become disabled and entitled to benefits under the terms of the long-term disability plan of the Manpower Group applicable to you. The Manpower Group will have no further obligations to you.</w:t>
      </w:r>
    </w:p>
    <w:p>
      <w:pPr>
        <w:spacing w:after="0" w:line="28" w:lineRule="exact"/>
        <w:rPr>
          <w:rFonts w:ascii="Arial" w:cs="Arial" w:eastAsia="Arial" w:hAnsi="Arial"/>
          <w:sz w:val="16"/>
          <w:szCs w:val="16"/>
          <w:color w:val="auto"/>
        </w:rPr>
      </w:pPr>
    </w:p>
    <w:p>
      <w:pPr>
        <w:ind w:left="892" w:hanging="446"/>
        <w:spacing w:after="0"/>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72" w:right="120" w:hanging="567"/>
        <w:spacing w:after="0" w:line="325" w:lineRule="auto"/>
        <w:tabs>
          <w:tab w:leader="none" w:pos="1472" w:val="left"/>
        </w:tabs>
        <w:numPr>
          <w:ilvl w:val="2"/>
          <w:numId w:val="31"/>
        </w:numPr>
        <w:rPr>
          <w:rFonts w:ascii="Arial" w:cs="Arial" w:eastAsia="Arial" w:hAnsi="Arial"/>
          <w:sz w:val="16"/>
          <w:szCs w:val="16"/>
          <w:color w:val="auto"/>
        </w:rPr>
      </w:pPr>
      <w:r>
        <w:rPr>
          <w:rFonts w:ascii="Arial" w:cs="Arial" w:eastAsia="Arial" w:hAnsi="Arial"/>
          <w:sz w:val="16"/>
          <w:szCs w:val="16"/>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 w:lineRule="exact"/>
        <w:rPr>
          <w:rFonts w:ascii="Arial" w:cs="Arial" w:eastAsia="Arial" w:hAnsi="Arial"/>
          <w:sz w:val="16"/>
          <w:szCs w:val="16"/>
          <w:color w:val="auto"/>
        </w:rPr>
      </w:pPr>
    </w:p>
    <w:p>
      <w:pPr>
        <w:ind w:left="1912" w:right="800" w:hanging="440"/>
        <w:spacing w:after="0" w:line="268" w:lineRule="auto"/>
        <w:tabs>
          <w:tab w:leader="none" w:pos="1912" w:val="left"/>
        </w:tabs>
        <w:numPr>
          <w:ilvl w:val="3"/>
          <w:numId w:val="31"/>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80" w:right="239" w:bottom="1440" w:gutter="0" w:footer="0" w:header="0"/>
        </w:sectPr>
      </w:pPr>
    </w:p>
    <w:bookmarkStart w:id="52" w:name="page53"/>
    <w:bookmarkEnd w:id="52"/>
    <w:p>
      <w:pPr>
        <w:ind w:left="1007" w:hanging="440"/>
        <w:spacing w:after="0" w:line="268" w:lineRule="auto"/>
        <w:tabs>
          <w:tab w:leader="none" w:pos="1007"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007" w:right="60" w:hanging="440"/>
        <w:spacing w:after="0" w:line="259" w:lineRule="auto"/>
        <w:tabs>
          <w:tab w:leader="none" w:pos="10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Corporation will pay you, a bonus for the fiscal year during which the Date of Termination occurs equal in amount to your largest annual bonus for the three fiscal years of the Manpower Group immediately preceding the Date of Termination but prorated for the actual number of days you were employed during such fiscal year;</w:t>
      </w:r>
    </w:p>
    <w:p>
      <w:pPr>
        <w:spacing w:after="0" w:line="45" w:lineRule="exact"/>
        <w:rPr>
          <w:rFonts w:ascii="Arial" w:cs="Arial" w:eastAsia="Arial" w:hAnsi="Arial"/>
          <w:sz w:val="18"/>
          <w:szCs w:val="18"/>
          <w:color w:val="auto"/>
        </w:rPr>
      </w:pPr>
    </w:p>
    <w:p>
      <w:pPr>
        <w:jc w:val="both"/>
        <w:ind w:left="1007" w:right="20" w:hanging="440"/>
        <w:spacing w:after="0" w:line="259" w:lineRule="auto"/>
        <w:tabs>
          <w:tab w:leader="none" w:pos="10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the amount of your largest annual bonus for the three fiscal years of the Manpower Group immediately preceding the Date of Termination; and</w:t>
      </w:r>
    </w:p>
    <w:p>
      <w:pPr>
        <w:spacing w:after="0" w:line="45" w:lineRule="exact"/>
        <w:rPr>
          <w:rFonts w:ascii="Arial" w:cs="Arial" w:eastAsia="Arial" w:hAnsi="Arial"/>
          <w:sz w:val="18"/>
          <w:szCs w:val="18"/>
          <w:color w:val="auto"/>
        </w:rPr>
      </w:pPr>
    </w:p>
    <w:p>
      <w:pPr>
        <w:ind w:left="1007" w:right="40" w:hanging="440"/>
        <w:spacing w:after="0" w:line="289" w:lineRule="auto"/>
        <w:tabs>
          <w:tab w:leader="none" w:pos="1007"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 a twelve-month period after the Date of Termination, the Corporation will arrange to provide you and your eligible dependents, at the Manpower Group’s expense, with coverage under the medical, dental, life, and disability plans of the Corporation, or other substantially similar coverage, in which you were participating at any time during the ninety-day period immediately prior to the time Notice of Termination is given;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(“COBRA”) or similar foreign or state laws will commence on the Date of Termination.</w:t>
      </w:r>
    </w:p>
    <w:p>
      <w:pPr>
        <w:spacing w:after="0" w:line="23" w:lineRule="exact"/>
        <w:rPr>
          <w:rFonts w:ascii="Arial" w:cs="Arial" w:eastAsia="Arial" w:hAnsi="Arial"/>
          <w:sz w:val="16"/>
          <w:szCs w:val="16"/>
          <w:color w:val="auto"/>
        </w:rPr>
      </w:pPr>
    </w:p>
    <w:p>
      <w:pPr>
        <w:ind w:left="567" w:right="140" w:hanging="567"/>
        <w:spacing w:after="0" w:line="268" w:lineRule="auto"/>
        <w:tabs>
          <w:tab w:leader="none" w:pos="5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37" w:lineRule="exact"/>
        <w:rPr>
          <w:rFonts w:ascii="Arial" w:cs="Arial" w:eastAsia="Arial" w:hAnsi="Arial"/>
          <w:sz w:val="18"/>
          <w:szCs w:val="18"/>
          <w:color w:val="auto"/>
        </w:rPr>
      </w:pPr>
    </w:p>
    <w:p>
      <w:pPr>
        <w:ind w:left="1007" w:right="780" w:hanging="440"/>
        <w:spacing w:after="0" w:line="268" w:lineRule="auto"/>
        <w:tabs>
          <w:tab w:leader="none" w:pos="100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18"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47"/>
          </w:cols>
          <w:pgMar w:left="1153" w:top="280" w:right="299" w:bottom="1440" w:gutter="0" w:footer="0" w:header="0"/>
        </w:sectPr>
      </w:pPr>
    </w:p>
    <w:bookmarkStart w:id="53" w:name="page54"/>
    <w:bookmarkEnd w:id="53"/>
    <w:p>
      <w:pPr>
        <w:ind w:left="1460" w:right="100" w:hanging="440"/>
        <w:spacing w:after="0" w:line="268"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460" w:right="20" w:hanging="440"/>
        <w:spacing w:after="0" w:line="294"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under the criteria applicable to you for receipt of a bonus for such year (with any discretionary component to be based on your progress towards attainment of the relevant performance goals for such component during the portion of the year you were employed), but prorated for the actual number of days you were employed during such fiscal year, payable within forty-five days after the close of such fiscal year;</w:t>
      </w:r>
    </w:p>
    <w:p>
      <w:pPr>
        <w:spacing w:after="0" w:line="21" w:lineRule="exact"/>
        <w:rPr>
          <w:rFonts w:ascii="Arial" w:cs="Arial" w:eastAsia="Arial" w:hAnsi="Arial"/>
          <w:sz w:val="16"/>
          <w:szCs w:val="16"/>
          <w:color w:val="auto"/>
        </w:rPr>
      </w:pPr>
    </w:p>
    <w:p>
      <w:pPr>
        <w:jc w:val="both"/>
        <w:ind w:left="1460" w:right="160" w:hanging="440"/>
        <w:spacing w:after="0" w:line="259"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Corporation will pay a severance benefit to you equal to the amount of your annual base salary at the highest rate in effect during the Term plus an amount equal to your largest annual bonus for the three fiscal years of the Manpower Group immediately preceding the Date of Termination; and</w:t>
      </w:r>
    </w:p>
    <w:p>
      <w:pPr>
        <w:spacing w:after="0" w:line="45" w:lineRule="exact"/>
        <w:rPr>
          <w:rFonts w:ascii="Arial" w:cs="Arial" w:eastAsia="Arial" w:hAnsi="Arial"/>
          <w:sz w:val="18"/>
          <w:szCs w:val="18"/>
          <w:color w:val="auto"/>
        </w:rPr>
      </w:pPr>
    </w:p>
    <w:p>
      <w:pPr>
        <w:ind w:left="1460" w:right="20" w:hanging="440"/>
        <w:spacing w:after="0" w:line="290"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the twelve-month period after the Date of Termination, the Corporation will arrange to provide you and your eligible dependents with coverage under the medical and dental plans of the Corporation in which you were participating as of the Date of Termination, or other substantially similar coverage, at a cost to you equal to the cost of such coverage to executives of the Corporation;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federal or state laws will commence on the Date of Termination.</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in Control or the termination of your employment, will be subject to the excise tax imposed by section 4999 of the United States Internal Revenue Code (or any similar tax that hereafter may be imposed), the amounts</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54" w:name="page55"/>
    <w:bookmarkEnd w:id="54"/>
    <w:p>
      <w:pPr>
        <w:ind w:left="6"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to be paid to you pursuant to Subsection 2(c)(i)(D) or 2(c)(ii)(D) will be reduced to the maximum amount that will result in no portion of the amounts to be paid to you pursuant to Subsection 2(c)(i)(D) or 2(c)(ii)(D) being subject to such excise tax.</w:t>
      </w:r>
    </w:p>
    <w:p>
      <w:pPr>
        <w:spacing w:after="0" w:line="37" w:lineRule="exact"/>
        <w:rPr>
          <w:sz w:val="20"/>
          <w:szCs w:val="20"/>
          <w:color w:val="auto"/>
        </w:rPr>
      </w:pPr>
    </w:p>
    <w:p>
      <w:pPr>
        <w:ind w:left="446" w:right="40" w:hanging="446"/>
        <w:spacing w:after="0" w:line="288" w:lineRule="auto"/>
        <w:tabs>
          <w:tab w:leader="none" w:pos="44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payments provided for in Subsections 2(c)(i)(A) through (D) or 2(c)(ii)(A) and (B), above, will be made not later than the fifteenth business day following the Date of Termination. The bonus payment provided for in Subsection 2(c)(ii)(C) will be paid within forty-five days after the close of the fiscal year as provided in that subsection. The severance benefit provided for in Subsection 2(c)(ii)(D) will be paid in two equal installments, the first payable on the date that is six months after the Date of Termination and second on the first anniversary of the Date of Termination. If any of such payments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Midwest edition (or, if not so reported, as reported in such other similar source(s) as the Corporation shall select).</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will have no right to receive any payment or benefit described in Subsections 2(c)(i)(D) or</w:t>
      </w:r>
    </w:p>
    <w:p>
      <w:pPr>
        <w:spacing w:after="0" w:line="38" w:lineRule="exact"/>
        <w:rPr>
          <w:rFonts w:ascii="Arial" w:cs="Arial" w:eastAsia="Arial" w:hAnsi="Arial"/>
          <w:sz w:val="16"/>
          <w:szCs w:val="16"/>
          <w:color w:val="auto"/>
        </w:rPr>
      </w:pPr>
    </w:p>
    <w:p>
      <w:pPr>
        <w:ind w:left="446"/>
        <w:spacing w:after="0" w:line="288" w:lineRule="auto"/>
        <w:rPr>
          <w:rFonts w:ascii="Arial" w:cs="Arial" w:eastAsia="Arial" w:hAnsi="Arial"/>
          <w:sz w:val="16"/>
          <w:szCs w:val="16"/>
          <w:color w:val="auto"/>
        </w:rPr>
      </w:pPr>
      <w:r>
        <w:rPr>
          <w:rFonts w:ascii="Arial" w:cs="Arial" w:eastAsia="Arial" w:hAnsi="Arial"/>
          <w:sz w:val="16"/>
          <w:szCs w:val="16"/>
          <w:color w:val="auto"/>
        </w:rPr>
        <w:t>(E) or 2(c)(ii)(D) or (E),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the Civil Rights Act of 1991, but excluding any claims covered under any applicable workers’ compensation act.</w:t>
      </w:r>
    </w:p>
    <w:p>
      <w:pPr>
        <w:spacing w:after="0" w:line="28" w:lineRule="exact"/>
        <w:rPr>
          <w:rFonts w:ascii="Arial" w:cs="Arial" w:eastAsia="Arial" w:hAnsi="Arial"/>
          <w:sz w:val="16"/>
          <w:szCs w:val="16"/>
          <w:color w:val="auto"/>
        </w:rPr>
      </w:pPr>
    </w:p>
    <w:p>
      <w:pPr>
        <w:ind w:left="446" w:right="40" w:hanging="446"/>
        <w:spacing w:after="0" w:line="256"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 3, below, and upon your breach of any such obligations, you will immediately return to the Corporation the amount of such payments and benefits and you will no longer have any right to receive any such payments or benefits.</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280" w:right="239" w:bottom="1440" w:gutter="0" w:footer="0" w:header="0"/>
        </w:sectPr>
      </w:pPr>
    </w:p>
    <w:bookmarkStart w:id="55" w:name="page56"/>
    <w:bookmarkEnd w:id="55"/>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Nonsolicitation and Noncompetition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72" w:hanging="567"/>
        <w:spacing w:after="0" w:line="286" w:lineRule="auto"/>
        <w:tabs>
          <w:tab w:leader="none" w:pos="1472" w:val="left"/>
        </w:tabs>
        <w:numPr>
          <w:ilvl w:val="2"/>
          <w:numId w:val="36"/>
        </w:numPr>
        <w:rPr>
          <w:rFonts w:ascii="Arial" w:cs="Arial" w:eastAsia="Arial" w:hAnsi="Arial"/>
          <w:sz w:val="16"/>
          <w:szCs w:val="16"/>
          <w:color w:val="auto"/>
        </w:rPr>
      </w:pPr>
      <w:r>
        <w:rPr>
          <w:rFonts w:ascii="Arial" w:cs="Arial" w:eastAsia="Arial" w:hAnsi="Arial"/>
          <w:sz w:val="16"/>
          <w:szCs w:val="16"/>
          <w:color w:val="auto"/>
        </w:rPr>
        <w:t>You will not, directly or indirectly, at any time during the term of your employment with the Manpower Group, or during the two-year period following your termination of employment with the Manpower Group, use for yourself or others or disclose to others except in the good faith performance of your duties for the Manpower Group any Confidential Information (as defined below), whether or not conceived, developed, or perfected by you and no matter how it became known to you, unless (a) you first secure written consent of the Corporation to such disclosure or use, (b) the same shall have lawfully become a matter of public knowledge other than by your act or omission, or (c)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even after such two-year period.</w:t>
      </w:r>
    </w:p>
    <w:p>
      <w:pPr>
        <w:spacing w:after="0" w:line="26" w:lineRule="exact"/>
        <w:rPr>
          <w:rFonts w:ascii="Arial" w:cs="Arial" w:eastAsia="Arial" w:hAnsi="Arial"/>
          <w:sz w:val="16"/>
          <w:szCs w:val="16"/>
          <w:color w:val="auto"/>
        </w:rPr>
      </w:pPr>
    </w:p>
    <w:p>
      <w:pPr>
        <w:ind w:left="1472" w:right="60" w:hanging="567"/>
        <w:spacing w:after="0" w:line="256" w:lineRule="auto"/>
        <w:tabs>
          <w:tab w:leader="none" w:pos="1472" w:val="left"/>
        </w:tabs>
        <w:numPr>
          <w:ilvl w:val="2"/>
          <w:numId w:val="36"/>
        </w:numPr>
        <w:rPr>
          <w:rFonts w:ascii="Arial" w:cs="Arial" w:eastAsia="Arial" w:hAnsi="Arial"/>
          <w:sz w:val="18"/>
          <w:szCs w:val="18"/>
          <w:color w:val="auto"/>
        </w:rPr>
      </w:pPr>
      <w:r>
        <w:rPr>
          <w:rFonts w:ascii="Arial" w:cs="Arial" w:eastAsia="Arial" w:hAnsi="Arial"/>
          <w:sz w:val="18"/>
          <w:szCs w:val="18"/>
          <w:color w:val="auto"/>
        </w:rPr>
        <w:t>Upon your termination of employment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80" w:right="239" w:bottom="1440" w:gutter="0" w:footer="0" w:header="0"/>
        </w:sectPr>
      </w:pPr>
    </w:p>
    <w:bookmarkStart w:id="56" w:name="page57"/>
    <w:bookmarkEnd w:id="56"/>
    <w:p>
      <w:pPr>
        <w:ind w:left="446" w:right="100" w:hanging="446"/>
        <w:spacing w:after="0" w:line="291" w:lineRule="auto"/>
        <w:tabs>
          <w:tab w:leader="none" w:pos="44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term of your employment with the Manpower Group, you will not assist any competitor of any company in the Manpower Group in any capacity.</w:t>
      </w:r>
    </w:p>
    <w:p>
      <w:pPr>
        <w:spacing w:after="0" w:line="37" w:lineRule="exact"/>
        <w:rPr>
          <w:rFonts w:ascii="Arial" w:cs="Arial" w:eastAsia="Arial" w:hAnsi="Arial"/>
          <w:sz w:val="18"/>
          <w:szCs w:val="18"/>
          <w:color w:val="auto"/>
        </w:rPr>
      </w:pPr>
    </w:p>
    <w:p>
      <w:pPr>
        <w:ind w:left="1026" w:hanging="567"/>
        <w:spacing w:after="0" w:line="294" w:lineRule="auto"/>
        <w:tabs>
          <w:tab w:leader="none" w:pos="102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During the one-year period which immediately follows the termination of your employment with the Manpower Group, you will not, directly or indirectly, contact any customer of the Manpower Group with whom you have had contact on behalf of the Manpower Group during the two-year period preceding the Date of Termination or about whom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21" w:lineRule="exact"/>
        <w:rPr>
          <w:rFonts w:ascii="Arial" w:cs="Arial" w:eastAsia="Arial" w:hAnsi="Arial"/>
          <w:sz w:val="16"/>
          <w:szCs w:val="16"/>
          <w:color w:val="auto"/>
        </w:rPr>
      </w:pPr>
    </w:p>
    <w:p>
      <w:pPr>
        <w:ind w:left="1026" w:right="20" w:hanging="567"/>
        <w:spacing w:after="0" w:line="289" w:lineRule="auto"/>
        <w:tabs>
          <w:tab w:leader="none" w:pos="102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During the six month period which immediately follows the termination of your employment with the Manpower Group, 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23" w:lineRule="exact"/>
        <w:rPr>
          <w:rFonts w:ascii="Arial" w:cs="Arial" w:eastAsia="Arial" w:hAnsi="Arial"/>
          <w:sz w:val="16"/>
          <w:szCs w:val="16"/>
          <w:color w:val="auto"/>
        </w:rPr>
      </w:pPr>
    </w:p>
    <w:p>
      <w:pPr>
        <w:ind w:left="446" w:right="60" w:hanging="446"/>
        <w:spacing w:after="0" w:line="268" w:lineRule="auto"/>
        <w:tabs>
          <w:tab w:leader="none" w:pos="4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Injunction</w:t>
      </w:r>
      <w:r>
        <w:rPr>
          <w:rFonts w:ascii="Arial" w:cs="Arial" w:eastAsia="Arial" w:hAnsi="Arial"/>
          <w:sz w:val="18"/>
          <w:szCs w:val="18"/>
          <w:color w:val="auto"/>
        </w:rPr>
        <w:t>. You recognize that irreparable and incalculable injury will result to the Manpower Group and its businesses and properties in the event of your breach</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6"/>
          </w:cols>
          <w:pgMar w:left="694" w:top="280" w:right="239" w:bottom="1440" w:gutter="0" w:footer="0" w:header="0"/>
        </w:sectPr>
      </w:pPr>
    </w:p>
    <w:bookmarkStart w:id="57" w:name="page58"/>
    <w:bookmarkEnd w:id="57"/>
    <w:p>
      <w:pPr>
        <w:ind w:left="91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of the restrictions imposed by this Section 3. You therefore agree that, in the event of any such actual, impending or threatened breach, the Corporation will be entitled, in addition to the remedies set forth in Subsection 2(f), above, (which the parties agree, above, would not be an adequate remedy),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48" w:lineRule="exact"/>
        <w:rPr>
          <w:sz w:val="20"/>
          <w:szCs w:val="20"/>
          <w:color w:val="auto"/>
        </w:rPr>
      </w:pPr>
    </w:p>
    <w:p>
      <w:pPr>
        <w:ind w:left="892" w:hanging="446"/>
        <w:spacing w:after="0"/>
        <w:tabs>
          <w:tab w:leader="none" w:pos="89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Equitable Extension</w:t>
      </w:r>
      <w:r>
        <w:rPr>
          <w:rFonts w:ascii="Arial" w:cs="Arial" w:eastAsia="Arial" w:hAnsi="Arial"/>
          <w:sz w:val="16"/>
          <w:szCs w:val="16"/>
          <w:color w:val="auto"/>
        </w:rPr>
        <w:t>. The duration of any restriction in this Section 3 will be extended by any period during which such restriction is violated by you.</w:t>
      </w:r>
    </w:p>
    <w:p>
      <w:pPr>
        <w:spacing w:after="0" w:line="99" w:lineRule="exact"/>
        <w:rPr>
          <w:rFonts w:ascii="Arial" w:cs="Arial" w:eastAsia="Arial" w:hAnsi="Arial"/>
          <w:sz w:val="16"/>
          <w:szCs w:val="16"/>
          <w:color w:val="auto"/>
        </w:rPr>
      </w:pPr>
    </w:p>
    <w:p>
      <w:pPr>
        <w:ind w:left="892" w:right="240" w:hanging="446"/>
        <w:spacing w:after="0" w:line="259" w:lineRule="auto"/>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Subsection 3(c) above, regarding noncompetition, will not apply if your employment with the Manpower Group is terminated by you for Good Reason or by the Corporation without Cause either during a Protected Period or within two years after the occurrence of a Change of Control.</w:t>
      </w:r>
    </w:p>
    <w:p>
      <w:pPr>
        <w:spacing w:after="0" w:line="45" w:lineRule="exact"/>
        <w:rPr>
          <w:rFonts w:ascii="Arial" w:cs="Arial" w:eastAsia="Arial" w:hAnsi="Arial"/>
          <w:sz w:val="18"/>
          <w:szCs w:val="18"/>
          <w:color w:val="auto"/>
        </w:rPr>
      </w:pPr>
    </w:p>
    <w:p>
      <w:pPr>
        <w:ind w:left="452" w:right="780" w:hanging="452"/>
        <w:spacing w:after="0" w:line="268"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Any unvested options you hold at the time of a Change of Control to purchase stock of the Corporation will vest and become immediately exercisable at such time.</w:t>
      </w:r>
    </w:p>
    <w:p>
      <w:pPr>
        <w:spacing w:after="0" w:line="37" w:lineRule="exact"/>
        <w:rPr>
          <w:rFonts w:ascii="Arial" w:cs="Arial" w:eastAsia="Arial" w:hAnsi="Arial"/>
          <w:sz w:val="18"/>
          <w:szCs w:val="18"/>
          <w:color w:val="auto"/>
        </w:rPr>
      </w:pPr>
    </w:p>
    <w:p>
      <w:pPr>
        <w:ind w:left="452" w:right="60" w:hanging="452"/>
        <w:spacing w:after="0" w:line="256"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48" w:lineRule="exact"/>
        <w:rPr>
          <w:rFonts w:ascii="Arial" w:cs="Arial" w:eastAsia="Arial" w:hAnsi="Arial"/>
          <w:sz w:val="18"/>
          <w:szCs w:val="18"/>
          <w:color w:val="auto"/>
        </w:rPr>
      </w:pPr>
    </w:p>
    <w:p>
      <w:pPr>
        <w:ind w:left="452" w:right="120" w:hanging="452"/>
        <w:spacing w:after="0" w:line="253"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Upon your termination of employment with the Manpower Group for any reason, the Corporation agrees on behalf of the Manpower Group to refrain from making any statements that disparage or otherwise impair your reputation or commercial interests. Upon your termination of employment with the Manpower Group for any reason,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agreement.</w:t>
      </w:r>
    </w:p>
    <w:p>
      <w:pPr>
        <w:spacing w:after="0" w:line="50" w:lineRule="exact"/>
        <w:rPr>
          <w:rFonts w:ascii="Arial" w:cs="Arial" w:eastAsia="Arial" w:hAnsi="Arial"/>
          <w:sz w:val="18"/>
          <w:szCs w:val="18"/>
          <w:color w:val="auto"/>
        </w:rPr>
      </w:pPr>
    </w:p>
    <w:p>
      <w:pPr>
        <w:ind w:left="452" w:right="680" w:hanging="452"/>
        <w:spacing w:after="0" w:line="268"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80" w:right="239" w:bottom="1440" w:gutter="0" w:footer="0" w:header="0"/>
        </w:sectPr>
      </w:pPr>
    </w:p>
    <w:bookmarkStart w:id="58" w:name="page59"/>
    <w:bookmarkEnd w:id="58"/>
    <w:p>
      <w:pPr>
        <w:ind w:left="452" w:right="200" w:hanging="452"/>
        <w:spacing w:after="0" w:line="259"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45" w:lineRule="exact"/>
        <w:rPr>
          <w:rFonts w:ascii="Arial" w:cs="Arial" w:eastAsia="Arial" w:hAnsi="Arial"/>
          <w:sz w:val="18"/>
          <w:szCs w:val="18"/>
          <w:color w:val="auto"/>
        </w:rPr>
      </w:pPr>
    </w:p>
    <w:p>
      <w:pPr>
        <w:jc w:val="both"/>
        <w:ind w:left="452" w:hanging="452"/>
        <w:spacing w:after="0" w:line="306"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2" w:lineRule="exact"/>
        <w:rPr>
          <w:rFonts w:ascii="Arial" w:cs="Arial" w:eastAsia="Arial" w:hAnsi="Arial"/>
          <w:sz w:val="16"/>
          <w:szCs w:val="16"/>
          <w:color w:val="auto"/>
        </w:rPr>
      </w:pPr>
    </w:p>
    <w:p>
      <w:pPr>
        <w:ind w:left="452" w:right="220" w:hanging="452"/>
        <w:spacing w:after="0" w:line="268"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37"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37" w:lineRule="exact"/>
        <w:rPr>
          <w:rFonts w:ascii="Arial" w:cs="Arial" w:eastAsia="Arial" w:hAnsi="Arial"/>
          <w:sz w:val="18"/>
          <w:szCs w:val="18"/>
          <w:color w:val="auto"/>
        </w:rPr>
      </w:pPr>
    </w:p>
    <w:p>
      <w:pPr>
        <w:ind w:left="452" w:right="360" w:hanging="452"/>
        <w:spacing w:after="0" w:line="268"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 the State of Wisconsin, United State of America, without regard to its conflict of law provisions.</w:t>
      </w:r>
    </w:p>
    <w:p>
      <w:pPr>
        <w:spacing w:after="0" w:line="37" w:lineRule="exact"/>
        <w:rPr>
          <w:rFonts w:ascii="Arial" w:cs="Arial" w:eastAsia="Arial" w:hAnsi="Arial"/>
          <w:sz w:val="18"/>
          <w:szCs w:val="18"/>
          <w:color w:val="auto"/>
        </w:rPr>
      </w:pPr>
    </w:p>
    <w:p>
      <w:pPr>
        <w:ind w:left="452" w:hanging="452"/>
        <w:spacing w:after="0" w:line="306"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Previous Agreement</w:t>
      </w:r>
      <w:r>
        <w:rPr>
          <w:rFonts w:ascii="Arial" w:cs="Arial" w:eastAsia="Arial" w:hAnsi="Arial"/>
          <w:sz w:val="16"/>
          <w:szCs w:val="16"/>
          <w:color w:val="auto"/>
        </w:rPr>
        <w:t>. This letter, upon acceptance by you, expressly supersedes any and all previous agreements or understandings relating to your employment by the Corporation or the Manpower Group, except for the employment letter from the Corporation to you dated the same date hereof and any such agreements or understandings shall, as of the date of your acceptance, have no further force or effect.</w:t>
      </w:r>
    </w:p>
    <w:p>
      <w:pPr>
        <w:spacing w:after="0" w:line="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52"/>
          </w:cols>
          <w:pgMar w:left="248" w:top="280" w:right="299" w:bottom="1440" w:gutter="0" w:footer="0" w:header="0"/>
        </w:sectPr>
      </w:pPr>
    </w:p>
    <w:bookmarkStart w:id="59" w:name="page60"/>
    <w:bookmarkEnd w:id="5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824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Jeffrey A. Joerres, President and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Executive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20th day of July, 2004.</w:t>
      </w:r>
    </w:p>
    <w:p>
      <w:pPr>
        <w:spacing w:after="0" w:line="225" w:lineRule="exact"/>
        <w:rPr>
          <w:sz w:val="20"/>
          <w:szCs w:val="20"/>
          <w:color w:val="auto"/>
        </w:rPr>
      </w:pPr>
    </w:p>
    <w:p>
      <w:pPr>
        <w:ind w:left="1360"/>
        <w:spacing w:after="0"/>
        <w:tabs>
          <w:tab w:leader="none" w:pos="1660" w:val="left"/>
        </w:tabs>
        <w:rPr>
          <w:sz w:val="20"/>
          <w:szCs w:val="20"/>
          <w:color w:val="auto"/>
        </w:rPr>
      </w:pPr>
      <w:r>
        <w:rPr>
          <w:rFonts w:ascii="Arial" w:cs="Arial" w:eastAsia="Arial" w:hAnsi="Arial"/>
          <w:sz w:val="18"/>
          <w:szCs w:val="18"/>
          <w:color w:val="auto"/>
        </w:rPr>
        <w:t>/s/</w:t>
        <w:tab/>
        <w:t>Y</w:t>
      </w:r>
      <w:r>
        <w:rPr>
          <w:rFonts w:ascii="Arial" w:cs="Arial" w:eastAsia="Arial" w:hAnsi="Arial"/>
          <w:sz w:val="14"/>
          <w:szCs w:val="14"/>
          <w:color w:val="auto"/>
        </w:rPr>
        <w:t>OAV</w:t>
      </w:r>
      <w:r>
        <w:rPr>
          <w:rFonts w:ascii="Arial" w:cs="Arial" w:eastAsia="Arial" w:hAnsi="Arial"/>
          <w:sz w:val="18"/>
          <w:szCs w:val="18"/>
          <w:color w:val="auto"/>
        </w:rPr>
        <w:t xml:space="preserve"> M</w:t>
      </w:r>
      <w:r>
        <w:rPr>
          <w:rFonts w:ascii="Arial" w:cs="Arial" w:eastAsia="Arial" w:hAnsi="Arial"/>
          <w:sz w:val="14"/>
          <w:szCs w:val="14"/>
          <w:color w:val="auto"/>
        </w:rPr>
        <w:t>ICHAELY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4"/>
          <w:szCs w:val="14"/>
          <w:b w:val="1"/>
          <w:bCs w:val="1"/>
          <w:color w:val="auto"/>
        </w:rPr>
        <w:t>Yoav Michaley</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240" w:top="280" w:right="579" w:bottom="1440" w:gutter="0" w:footer="0" w:header="0"/>
        </w:sectPr>
      </w:pPr>
    </w:p>
    <w:bookmarkStart w:id="60" w:name="page61"/>
    <w:bookmarkEnd w:id="60"/>
    <w:p>
      <w:pPr>
        <w:ind w:left="10220"/>
        <w:spacing w:after="0"/>
        <w:rPr>
          <w:sz w:val="20"/>
          <w:szCs w:val="20"/>
          <w:color w:val="auto"/>
        </w:rPr>
      </w:pPr>
      <w:r>
        <w:rPr>
          <w:rFonts w:ascii="Arial" w:cs="Arial" w:eastAsia="Arial" w:hAnsi="Arial"/>
          <w:sz w:val="16"/>
          <w:szCs w:val="16"/>
          <w:b w:val="1"/>
          <w:bCs w:val="1"/>
          <w:color w:val="auto"/>
        </w:rPr>
        <w:t>Exhibit 10.17(a)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EQUITY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15,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OF THE PLAN</w:t>
      </w:r>
    </w:p>
    <w:p>
      <w:pPr>
        <w:spacing w:after="0" w:line="16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Plan exclusive of Section A below applies to all Directors and Employees. Section A of the Plan applies to those Employees who are employed in the United Kingdom.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 the following terms shall have the meanings set forth below:</w:t>
      </w:r>
    </w:p>
    <w:p>
      <w:pPr>
        <w:spacing w:after="0" w:line="77" w:lineRule="exact"/>
        <w:rPr>
          <w:sz w:val="20"/>
          <w:szCs w:val="20"/>
          <w:color w:val="auto"/>
        </w:rPr>
      </w:pPr>
    </w:p>
    <w:p>
      <w:pPr>
        <w:ind w:firstLine="464"/>
        <w:spacing w:after="0" w:line="268"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“Administrator” shall mean the Committee or the Board of Directors with respect to grants to Employees under the Plan and the Board of Directors with respect to grants to Directors under the Plan.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“Award” shall mean an Option, Restricted Stock, an SAR or Deferred Stock granted under the Plan.</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“Board of Directors” shall mean the entire board of directors of the Company, consisting of both Employee and non-Employee members.</w:t>
      </w:r>
    </w:p>
    <w:p>
      <w:pPr>
        <w:spacing w:after="0" w:line="180" w:lineRule="exact"/>
        <w:rPr>
          <w:rFonts w:ascii="Arial" w:cs="Arial" w:eastAsia="Arial" w:hAnsi="Arial"/>
          <w:sz w:val="16"/>
          <w:szCs w:val="16"/>
          <w:color w:val="auto"/>
        </w:rPr>
      </w:pPr>
    </w:p>
    <w:p>
      <w:pPr>
        <w:ind w:right="180" w:firstLine="464"/>
        <w:spacing w:after="0" w:line="256"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termination of employment for “Cause” will mean termination upon (1) on Employee’s repeated failure to perform his or her duties in a competent, diligent and satisfactory manner as determined by the Company’s Chief Executive Officer in his reasonable judgment, (2) insubordination, (3) an Employee’s commission of any material act of dishonesty or disloyalty involving the Company or a Subsidiary, (4) an Employee’s chronic absence from work other than by reason of a serious health condition, (5) an Employee’s commission of a crime</w:t>
      </w:r>
    </w:p>
    <w:p>
      <w:pPr>
        <w:sectPr>
          <w:pgSz w:w="11900" w:h="16838" w:orient="portrait"/>
          <w:cols w:equalWidth="0" w:num="1">
            <w:col w:w="11420"/>
          </w:cols>
          <w:pgMar w:left="240" w:top="125" w:right="239" w:bottom="1440" w:gutter="0" w:footer="0" w:header="0"/>
        </w:sectPr>
      </w:pPr>
    </w:p>
    <w:bookmarkStart w:id="61" w:name="page62"/>
    <w:bookmarkEnd w:id="61"/>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substantially relates to the circumstances of his or her position with the Company or a Subsidiary or which has material adverse effect on the Company or a Subsidiary, or (6) the willful engaging by an Employee in conduct which is demonstrably and materially injurious to the Company or a Subsidiary.</w:t>
      </w:r>
    </w:p>
    <w:p>
      <w:pPr>
        <w:spacing w:after="0" w:line="72" w:lineRule="exact"/>
        <w:rPr>
          <w:sz w:val="20"/>
          <w:szCs w:val="20"/>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“Committee” shall mean the committee of the Board of Directors constituted as provided in Paragraph 5 of the Plan.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“Company” shall mean Manpower Inc., a Wisconsin corporation.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“Deferred Stock” shall mean a right to receive one or more Shares from the Company in accordance with, and subject to, Paragraph 10 of the Plan.</w:t>
      </w:r>
    </w:p>
    <w:p>
      <w:pPr>
        <w:spacing w:after="0" w:line="180" w:lineRule="exact"/>
        <w:rPr>
          <w:rFonts w:ascii="Arial" w:cs="Arial" w:eastAsia="Arial" w:hAnsi="Arial"/>
          <w:sz w:val="16"/>
          <w:szCs w:val="16"/>
          <w:color w:val="auto"/>
        </w:rPr>
      </w:pPr>
    </w:p>
    <w:p>
      <w:pPr>
        <w:ind w:left="680" w:hanging="216"/>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“Deferred Stock Agreement” shall mean the agreement between the Company and a Participant whereby Deferred Stock is granted to such Participant.</w:t>
      </w:r>
    </w:p>
    <w:p>
      <w:pPr>
        <w:spacing w:after="0" w:line="180" w:lineRule="exact"/>
        <w:rPr>
          <w:rFonts w:ascii="Arial" w:cs="Arial" w:eastAsia="Arial" w:hAnsi="Arial"/>
          <w:sz w:val="16"/>
          <w:szCs w:val="16"/>
          <w:color w:val="auto"/>
        </w:rPr>
      </w:pPr>
    </w:p>
    <w:p>
      <w:pPr>
        <w:ind w:left="680" w:hanging="216"/>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“Director” shall mean an individual who is a non-Employee member of the Board of Directors of the Company.</w:t>
      </w:r>
    </w:p>
    <w:p>
      <w:pPr>
        <w:spacing w:after="0" w:line="157" w:lineRule="exact"/>
        <w:rPr>
          <w:rFonts w:ascii="Arial" w:cs="Arial" w:eastAsia="Arial" w:hAnsi="Arial"/>
          <w:sz w:val="18"/>
          <w:szCs w:val="18"/>
          <w:color w:val="auto"/>
        </w:rPr>
      </w:pPr>
    </w:p>
    <w:p>
      <w:pPr>
        <w:ind w:firstLine="464"/>
        <w:spacing w:after="0" w:line="259"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 shall mean an individual who is an employee of the Company or a Subsidiary.</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“Grant Value” of an SAR means the dollar value assigned to the SAR by the Administrator on the date the SAR is granted under the Plan.</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“Incentive Stock Option” shall mean an option to purchase Shares which complies with the provisions of Section 422 of the Code.</w:t>
      </w:r>
    </w:p>
    <w:p>
      <w:pPr>
        <w:spacing w:after="0" w:line="157" w:lineRule="exact"/>
        <w:rPr>
          <w:rFonts w:ascii="Arial" w:cs="Arial" w:eastAsia="Arial" w:hAnsi="Arial"/>
          <w:sz w:val="18"/>
          <w:szCs w:val="18"/>
          <w:color w:val="auto"/>
        </w:rPr>
      </w:pPr>
    </w:p>
    <w:p>
      <w:pPr>
        <w:jc w:val="both"/>
        <w:ind w:right="480" w:firstLine="464"/>
        <w:spacing w:after="0" w:line="259"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“Market Price” shall mean the closing sale price of a Share on the New York Stock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 Share is not susceptible of valuation by the above method, the term “Market Price” shall mean the fair market value of a Share as the Administrator may determine in conformity with pertinent law and regulations of the Treasury Department.</w:t>
      </w:r>
    </w:p>
    <w:p>
      <w:pPr>
        <w:spacing w:after="0" w:line="126"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“Nonstatutory Stock Option” shall mean an option to purchase Shares which does not comply with the provisions of Section 422 of the Code or which is designated as such pursuant to Paragraph 7 of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2" w:name="page63"/>
    <w:bookmarkEnd w:id="62"/>
    <w:p>
      <w:pPr>
        <w:ind w:right="400" w:firstLine="464"/>
        <w:spacing w:after="0" w:line="268" w:lineRule="auto"/>
        <w:tabs>
          <w:tab w:leader="none" w:pos="676"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shall mean (1) with respect to an Employee, an Incentive Stock Option or Nonstatutory Stock Option granted under the Plan and (2) with respect to a Director, a Non-Statutory Stock Option granted under the Plan.</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“Option Agreement” shall mean the agreement between the Company and a Participant whereby an Option is granted to such Participant.</w:t>
      </w:r>
    </w:p>
    <w:p>
      <w:pPr>
        <w:spacing w:after="0" w:line="180" w:lineRule="exact"/>
        <w:rPr>
          <w:rFonts w:ascii="Arial" w:cs="Arial" w:eastAsia="Arial" w:hAnsi="Arial"/>
          <w:sz w:val="16"/>
          <w:szCs w:val="16"/>
          <w:color w:val="auto"/>
        </w:rPr>
      </w:pPr>
    </w:p>
    <w:p>
      <w:pPr>
        <w:ind w:left="680" w:hanging="216"/>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“Participant” shall mean an Employee or Director to whom an Award has been granted under the Plan.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“Plan” shall mean the 2003 Equity Incentive Plan of the Company.</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“Protected Period” shall be a period of time determined in accordance with the following:</w:t>
      </w:r>
    </w:p>
    <w:p>
      <w:pPr>
        <w:spacing w:after="0" w:line="76" w:lineRule="exact"/>
        <w:rPr>
          <w:rFonts w:ascii="Arial" w:cs="Arial" w:eastAsia="Arial" w:hAnsi="Arial"/>
          <w:sz w:val="18"/>
          <w:szCs w:val="18"/>
          <w:color w:val="auto"/>
        </w:rPr>
      </w:pPr>
    </w:p>
    <w:p>
      <w:pPr>
        <w:jc w:val="both"/>
        <w:ind w:left="460" w:right="260" w:firstLine="443"/>
        <w:spacing w:after="0" w:line="306" w:lineRule="auto"/>
        <w:tabs>
          <w:tab w:leader="none" w:pos="1147"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spacing w:after="0" w:line="12" w:lineRule="exact"/>
        <w:rPr>
          <w:rFonts w:ascii="Arial" w:cs="Arial" w:eastAsia="Arial" w:hAnsi="Arial"/>
          <w:sz w:val="16"/>
          <w:szCs w:val="16"/>
          <w:color w:val="auto"/>
        </w:rPr>
      </w:pPr>
    </w:p>
    <w:p>
      <w:pPr>
        <w:ind w:left="460" w:firstLine="443"/>
        <w:spacing w:after="0" w:line="331" w:lineRule="auto"/>
        <w:tabs>
          <w:tab w:leader="none" w:pos="1147" w:val="left"/>
        </w:tabs>
        <w:numPr>
          <w:ilvl w:val="1"/>
          <w:numId w:val="43"/>
        </w:numPr>
        <w:rPr>
          <w:rFonts w:ascii="Arial" w:cs="Arial" w:eastAsia="Arial" w:hAnsi="Arial"/>
          <w:sz w:val="15"/>
          <w:szCs w:val="15"/>
          <w:color w:val="auto"/>
        </w:rPr>
      </w:pPr>
      <w:r>
        <w:rPr>
          <w:rFonts w:ascii="Arial" w:cs="Arial" w:eastAsia="Arial" w:hAnsi="Arial"/>
          <w:sz w:val="15"/>
          <w:szCs w:val="15"/>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spacing w:after="0" w:line="2" w:lineRule="exact"/>
        <w:rPr>
          <w:rFonts w:ascii="Arial" w:cs="Arial" w:eastAsia="Arial" w:hAnsi="Arial"/>
          <w:sz w:val="15"/>
          <w:szCs w:val="15"/>
          <w:color w:val="auto"/>
        </w:rPr>
      </w:pPr>
    </w:p>
    <w:p>
      <w:pPr>
        <w:ind w:left="460" w:right="200" w:firstLine="443"/>
        <w:spacing w:after="0" w:line="268" w:lineRule="auto"/>
        <w:tabs>
          <w:tab w:leader="none" w:pos="11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118" w:lineRule="exact"/>
        <w:rPr>
          <w:rFonts w:ascii="Arial" w:cs="Arial" w:eastAsia="Arial" w:hAnsi="Arial"/>
          <w:sz w:val="18"/>
          <w:szCs w:val="18"/>
          <w:color w:val="auto"/>
        </w:rPr>
      </w:pPr>
    </w:p>
    <w:p>
      <w:pPr>
        <w:ind w:left="760" w:hanging="296"/>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“Restricted Stock” shall mean Shares granted to a Participant by the Administrator which are subject to restrictions imposed under Paragraph 8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51" w:lineRule="exact"/>
        <w:rPr>
          <w:rFonts w:ascii="Arial" w:cs="Arial" w:eastAsia="Arial" w:hAnsi="Arial"/>
          <w:sz w:val="16"/>
          <w:szCs w:val="16"/>
          <w:color w:val="auto"/>
        </w:rPr>
      </w:pPr>
    </w:p>
    <w:p>
      <w:pPr>
        <w:ind w:right="76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Stock Agreement” shall mean the agreement between the Company and a Participant whereby Restricted Stock is granted to such Participant.</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“SAR” shall mean a stock appreciation right with respect to one Share granted under the Plan.</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“SAR Agreement” shall mean the agreement between the Company and a Participant whereby an SAR is granted to such Participant.</w:t>
      </w:r>
    </w:p>
    <w:p>
      <w:pPr>
        <w:spacing w:after="0" w:line="158" w:lineRule="exact"/>
        <w:rPr>
          <w:sz w:val="20"/>
          <w:szCs w:val="20"/>
          <w:color w:val="auto"/>
        </w:rPr>
      </w:pPr>
    </w:p>
    <w:p>
      <w:pPr>
        <w:ind w:left="780" w:hanging="31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“Share” or “Shares” shall mean the $0.01 par value common stock of the Company.</w:t>
      </w:r>
    </w:p>
    <w:p>
      <w:pPr>
        <w:spacing w:after="0" w:line="180" w:lineRule="exact"/>
        <w:rPr>
          <w:rFonts w:ascii="Arial" w:cs="Arial" w:eastAsia="Arial" w:hAnsi="Arial"/>
          <w:sz w:val="16"/>
          <w:szCs w:val="16"/>
          <w:color w:val="auto"/>
        </w:rPr>
      </w:pPr>
    </w:p>
    <w:p>
      <w:pPr>
        <w:ind w:right="260" w:firstLine="464"/>
        <w:spacing w:after="0" w:line="268" w:lineRule="auto"/>
        <w:tabs>
          <w:tab w:leader="none" w:pos="7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“Subsidiary” shall mean any subsidiary entity of the Company, including without limitation, a subsidiary corporation of the Company as defined in Section 424(f) of the Code.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3" w:name="page64"/>
    <w:bookmarkEnd w:id="63"/>
    <w:p>
      <w:pPr>
        <w:ind w:left="320" w:hanging="316"/>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“Triggering Event” shall mean the first to occur of any of the following:</w:t>
      </w:r>
    </w:p>
    <w:p>
      <w:pPr>
        <w:spacing w:after="0" w:line="76" w:lineRule="exact"/>
        <w:rPr>
          <w:rFonts w:ascii="Arial" w:cs="Arial" w:eastAsia="Arial" w:hAnsi="Arial"/>
          <w:sz w:val="18"/>
          <w:szCs w:val="18"/>
          <w:color w:val="auto"/>
        </w:rPr>
      </w:pPr>
    </w:p>
    <w:p>
      <w:pPr>
        <w:ind w:firstLine="443"/>
        <w:spacing w:after="0" w:line="286" w:lineRule="auto"/>
        <w:tabs>
          <w:tab w:leader="none" w:pos="687"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32" w:lineRule="exact"/>
        <w:rPr>
          <w:rFonts w:ascii="Arial" w:cs="Arial" w:eastAsia="Arial" w:hAnsi="Arial"/>
          <w:sz w:val="16"/>
          <w:szCs w:val="16"/>
          <w:color w:val="auto"/>
        </w:rPr>
      </w:pPr>
    </w:p>
    <w:p>
      <w:pPr>
        <w:ind w:right="80" w:firstLine="443"/>
        <w:spacing w:after="0" w:line="254" w:lineRule="auto"/>
        <w:tabs>
          <w:tab w:leader="none" w:pos="68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49" w:lineRule="exact"/>
        <w:rPr>
          <w:rFonts w:ascii="Arial" w:cs="Arial" w:eastAsia="Arial" w:hAnsi="Arial"/>
          <w:sz w:val="18"/>
          <w:szCs w:val="18"/>
          <w:color w:val="auto"/>
        </w:rPr>
      </w:pPr>
    </w:p>
    <w:p>
      <w:pPr>
        <w:ind w:right="360" w:firstLine="443"/>
        <w:spacing w:after="0" w:line="268" w:lineRule="auto"/>
        <w:tabs>
          <w:tab w:leader="none" w:pos="68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Company or a sale or other disposition of all or substantially all of the assets of the Company; or</w:t>
      </w:r>
    </w:p>
    <w:p>
      <w:pPr>
        <w:spacing w:after="0" w:line="37" w:lineRule="exact"/>
        <w:rPr>
          <w:rFonts w:ascii="Arial" w:cs="Arial" w:eastAsia="Arial" w:hAnsi="Arial"/>
          <w:sz w:val="18"/>
          <w:szCs w:val="18"/>
          <w:color w:val="auto"/>
        </w:rPr>
      </w:pPr>
    </w:p>
    <w:p>
      <w:pPr>
        <w:ind w:right="60" w:firstLine="443"/>
        <w:spacing w:after="0" w:line="253" w:lineRule="auto"/>
        <w:tabs>
          <w:tab w:leader="none" w:pos="687"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individuals who, as of the date this Plan is adopted by the Board of Directors of the Company, constitute the Board of Directors of the Company (as of such date, the “Incumbent Board”) cease for any reason to constitute at least a majority of such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64" w:name="page65"/>
    <w:bookmarkEnd w:id="64"/>
    <w:p>
      <w:pPr>
        <w:ind w:left="460" w:right="100" w:firstLine="443"/>
        <w:spacing w:after="0" w:line="306" w:lineRule="auto"/>
        <w:tabs>
          <w:tab w:leader="none" w:pos="1147"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Words importing the singular shall include the plural and vice versa and words importing the masculine shall include the feminine.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AWARDS AVAILABLE UNDER THE PLAN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Administrator may grant Nonstatutory Stock Options, Incentive Stock Options, Restricted Stock, SARs and Deferred Stock under the Plan.</w:t>
      </w:r>
    </w:p>
    <w:p>
      <w:pPr>
        <w:spacing w:after="0" w:line="18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SHARES RESERVED UNDER PLAN</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aggregate number of Shares which may be issued under the Plan pursuant to the exercise or grant of Awards shall not exceed 4,500,000 Shares, which may be treasury Shares or authorized but unissued Shares, or a combination of the two, subject to adjustment as provided in Paragraph 12 hereof. In no event (a) shall the number of shares of Restricted Stock granted under the Plan plus the number of shares of Deferred Stock granted under the Plan exceed 200,000 Shares (subject to adjustment as provided in Paragraph 12 hereof), (b) shall the number of Shares delivered through the exercise of Incentive Stock Options exceed 1,000,000 Shares (subject to adjustment as provided in Paragraph 12 hereof), (c) shall any Employee be eligible to receive Options and SARs for more than an aggregate of 750,000 Shares during any three-year period (subject to adjustment as provided in Paragraph 12 hereof), or (d) shall any one Participant be eligible to receive an aggregate amount of Restricted Stock and Deferred Stock in an amount in excess of $4,000,000 (valuing the Shares at their Market Price on the business day immediately preceding the date of grant) during any three-year period. For purposes of determining the maximum number of Shares available for issuance under the Plan, (a) any Shares which are used in settlement of tax withholding obligations with respect to an Award shall be deemed not to have been issued, (b) if any Option is exercised by tendering Shares, either actually or by attestation, to the Company as full or partial payment for such exercise under this Plan, only the number of Shares issued net of the Shares tendered shall be deemed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65" w:name="page66"/>
    <w:bookmarkEnd w:id="65"/>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issued, and (c) any Shares which have been issued as Restricted Stock which are forfeited to the Company shall be treated, following such forfeiture, as Shares which have not been issued.</w:t>
      </w:r>
    </w:p>
    <w:p>
      <w:pPr>
        <w:spacing w:after="0" w:line="112"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2" w:lineRule="exact"/>
        <w:rPr>
          <w:rFonts w:ascii="Arial" w:cs="Arial" w:eastAsia="Arial" w:hAnsi="Arial"/>
          <w:sz w:val="18"/>
          <w:szCs w:val="18"/>
          <w:b w:val="1"/>
          <w:bCs w:val="1"/>
          <w:color w:val="auto"/>
        </w:rPr>
      </w:pPr>
    </w:p>
    <w:p>
      <w:pPr>
        <w:ind w:left="700" w:hanging="236"/>
        <w:spacing w:after="0"/>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Plan shall be administered by the Board of Directors with respect to grants to Directors under the Plan.</w:t>
      </w:r>
    </w:p>
    <w:p>
      <w:pPr>
        <w:spacing w:after="0" w:line="157" w:lineRule="exact"/>
        <w:rPr>
          <w:rFonts w:ascii="Arial" w:cs="Arial" w:eastAsia="Arial" w:hAnsi="Arial"/>
          <w:sz w:val="18"/>
          <w:szCs w:val="18"/>
          <w:color w:val="auto"/>
        </w:rPr>
      </w:pPr>
    </w:p>
    <w:p>
      <w:pPr>
        <w:ind w:right="20" w:firstLine="464"/>
        <w:spacing w:after="0" w:line="305" w:lineRule="auto"/>
        <w:tabs>
          <w:tab w:leader="none" w:pos="705"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w:t>
      </w:r>
    </w:p>
    <w:p>
      <w:pPr>
        <w:ind w:right="140"/>
        <w:spacing w:after="0" w:line="300" w:lineRule="auto"/>
        <w:rPr>
          <w:rFonts w:ascii="Arial" w:cs="Arial" w:eastAsia="Arial" w:hAnsi="Arial"/>
          <w:sz w:val="15"/>
          <w:szCs w:val="15"/>
          <w:color w:val="auto"/>
        </w:rPr>
      </w:pPr>
      <w:r>
        <w:rPr>
          <w:rFonts w:ascii="Arial" w:cs="Arial" w:eastAsia="Arial" w:hAnsi="Arial"/>
          <w:sz w:val="15"/>
          <w:szCs w:val="15"/>
          <w:color w:val="auto"/>
        </w:rPr>
        <w:t>Rule 16b-3 thereunder, as such rule is currently in effect or as hereafter modified or amended (“Rule 16b-3”), and to permit the Plan to comply with Section 162(m) of the Code and any regulations promulgated thereunder, or any other statutory rule or regulatory requirements. The members of the Committee shall be</w:t>
      </w:r>
    </w:p>
    <w:p>
      <w:pPr>
        <w:spacing w:after="0"/>
        <w:rPr>
          <w:rFonts w:ascii="Arial" w:cs="Arial" w:eastAsia="Arial" w:hAnsi="Arial"/>
          <w:sz w:val="15"/>
          <w:szCs w:val="15"/>
          <w:color w:val="auto"/>
        </w:rPr>
      </w:pPr>
      <w:r>
        <w:rPr>
          <w:rFonts w:ascii="Arial" w:cs="Arial" w:eastAsia="Arial" w:hAnsi="Arial"/>
          <w:sz w:val="18"/>
          <w:szCs w:val="18"/>
          <w:color w:val="auto"/>
        </w:rPr>
        <w:t>appointed from time to time by the Board of Directors.</w:t>
      </w:r>
    </w:p>
    <w:p>
      <w:pPr>
        <w:spacing w:after="0" w:line="145" w:lineRule="exact"/>
        <w:rPr>
          <w:rFonts w:ascii="Arial" w:cs="Arial" w:eastAsia="Arial" w:hAnsi="Arial"/>
          <w:sz w:val="15"/>
          <w:szCs w:val="15"/>
          <w:color w:val="auto"/>
        </w:rPr>
      </w:pPr>
    </w:p>
    <w:p>
      <w:pPr>
        <w:ind w:left="180" w:hanging="172"/>
        <w:spacing w:after="0"/>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82" w:lineRule="exact"/>
        <w:rPr>
          <w:rFonts w:ascii="Arial" w:cs="Arial" w:eastAsia="Arial" w:hAnsi="Arial"/>
          <w:sz w:val="18"/>
          <w:szCs w:val="18"/>
          <w:b w:val="1"/>
          <w:bCs w:val="1"/>
          <w:color w:val="auto"/>
        </w:rPr>
      </w:pPr>
    </w:p>
    <w:p>
      <w:pPr>
        <w:ind w:left="700" w:hanging="236"/>
        <w:spacing w:after="0"/>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Directors shall be eligible to receive Nonstatutory Stock Options, Restricted Stock, SARs and Deferred Stock under the Plan.</w:t>
      </w:r>
    </w:p>
    <w:p>
      <w:pPr>
        <w:spacing w:after="0" w:line="157" w:lineRule="exact"/>
        <w:rPr>
          <w:rFonts w:ascii="Arial" w:cs="Arial" w:eastAsia="Arial" w:hAnsi="Arial"/>
          <w:sz w:val="18"/>
          <w:szCs w:val="18"/>
          <w:color w:val="auto"/>
        </w:rPr>
      </w:pPr>
    </w:p>
    <w:p>
      <w:pPr>
        <w:ind w:right="220" w:firstLine="464"/>
        <w:spacing w:after="0" w:line="305" w:lineRule="auto"/>
        <w:tabs>
          <w:tab w:leader="none" w:pos="705" w:val="left"/>
        </w:tabs>
        <w:numPr>
          <w:ilvl w:val="1"/>
          <w:numId w:val="47"/>
        </w:numPr>
        <w:rPr>
          <w:rFonts w:ascii="Arial" w:cs="Arial" w:eastAsia="Arial" w:hAnsi="Arial"/>
          <w:sz w:val="15"/>
          <w:szCs w:val="15"/>
          <w:color w:val="auto"/>
        </w:rPr>
      </w:pPr>
      <w:r>
        <w:rPr>
          <w:rFonts w:ascii="Arial" w:cs="Arial" w:eastAsia="Arial" w:hAnsi="Arial"/>
          <w:sz w:val="15"/>
          <w:szCs w:val="15"/>
          <w:color w:val="auto"/>
        </w:rPr>
        <w:t>Employees shall be eligible to receive Nonstatutory Stock Options, Incentive Stock Options, Restricted Stock, SARs and Deferred Stock under the Plan. In determining the Employees to whom Awards shall be granted and the number of Shares to be covered by each Award, the Administrator may take into</w:t>
      </w:r>
    </w:p>
    <w:p>
      <w:pPr>
        <w:ind w:right="160"/>
        <w:spacing w:after="0" w:line="261" w:lineRule="auto"/>
        <w:rPr>
          <w:rFonts w:ascii="Arial" w:cs="Arial" w:eastAsia="Arial" w:hAnsi="Arial"/>
          <w:sz w:val="15"/>
          <w:szCs w:val="15"/>
          <w:color w:val="auto"/>
        </w:rPr>
      </w:pPr>
      <w:r>
        <w:rPr>
          <w:rFonts w:ascii="Arial" w:cs="Arial" w:eastAsia="Arial" w:hAnsi="Arial"/>
          <w:sz w:val="18"/>
          <w:szCs w:val="18"/>
          <w:color w:val="auto"/>
        </w:rPr>
        <w:t>account the nature of the services rendered by the respective Employees, their present and potential contributions to the success of the Company, and other such factors as the Administrator in its discretion shall deem relevant.</w:t>
      </w:r>
    </w:p>
    <w:p>
      <w:pPr>
        <w:spacing w:after="0" w:line="124" w:lineRule="exact"/>
        <w:rPr>
          <w:rFonts w:ascii="Arial" w:cs="Arial" w:eastAsia="Arial" w:hAnsi="Arial"/>
          <w:sz w:val="15"/>
          <w:szCs w:val="15"/>
          <w:color w:val="auto"/>
        </w:rPr>
      </w:pPr>
    </w:p>
    <w:p>
      <w:pPr>
        <w:ind w:left="700" w:hanging="236"/>
        <w:spacing w:after="0"/>
        <w:tabs>
          <w:tab w:leader="none" w:pos="7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Participant may be granted additional Awards under the Plan if the Administrator shall so determine subject to the limitations contained in Paragraph</w:t>
      </w:r>
    </w:p>
    <w:p>
      <w:pPr>
        <w:spacing w:after="0" w:line="38" w:lineRule="exact"/>
        <w:rPr>
          <w:rFonts w:ascii="Arial" w:cs="Arial" w:eastAsia="Arial" w:hAnsi="Arial"/>
          <w:sz w:val="16"/>
          <w:szCs w:val="16"/>
          <w:color w:val="auto"/>
        </w:rPr>
      </w:pPr>
    </w:p>
    <w:p>
      <w:pPr>
        <w:spacing w:after="0"/>
        <w:tabs>
          <w:tab w:leader="none" w:pos="0" w:val="left"/>
        </w:tabs>
        <w:numPr>
          <w:ilvl w:val="0"/>
          <w:numId w:val="48"/>
        </w:numPr>
        <w:rPr>
          <w:rFonts w:ascii="Arial" w:cs="Arial" w:eastAsia="Arial" w:hAnsi="Arial"/>
          <w:sz w:val="18"/>
          <w:szCs w:val="18"/>
          <w:color w:val="auto"/>
        </w:rPr>
      </w:pPr>
    </w:p>
    <w:p>
      <w:pPr>
        <w:spacing w:after="0" w:line="145" w:lineRule="exact"/>
        <w:rPr>
          <w:rFonts w:ascii="Arial" w:cs="Arial" w:eastAsia="Arial" w:hAnsi="Arial"/>
          <w:sz w:val="18"/>
          <w:szCs w:val="18"/>
          <w:color w:val="auto"/>
        </w:rPr>
      </w:pPr>
    </w:p>
    <w:p>
      <w:pPr>
        <w:ind w:left="180" w:hanging="172"/>
        <w:spacing w:after="0"/>
        <w:tabs>
          <w:tab w:leader="none" w:pos="1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OPTIONS: GENERAL PROVISIONS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Options granted under this Plan shall be subject to such terms and conditions not inconsistent with the Plan as the Administrator shall determine, including the following:</w:t>
      </w:r>
    </w:p>
    <w:p>
      <w:pPr>
        <w:spacing w:after="0" w:line="37" w:lineRule="exact"/>
        <w:rPr>
          <w:sz w:val="20"/>
          <w:szCs w:val="20"/>
          <w:color w:val="auto"/>
        </w:rPr>
      </w:pPr>
    </w:p>
    <w:p>
      <w:pPr>
        <w:ind w:firstLine="464"/>
        <w:spacing w:after="0" w:line="335" w:lineRule="auto"/>
        <w:tabs>
          <w:tab w:leader="none" w:pos="695"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Types of Options</w:t>
      </w:r>
      <w:r>
        <w:rPr>
          <w:rFonts w:ascii="Arial" w:cs="Arial" w:eastAsia="Arial" w:hAnsi="Arial"/>
          <w:sz w:val="15"/>
          <w:szCs w:val="15"/>
          <w:color w:val="auto"/>
        </w:rPr>
        <w:t>. An Option to purchase Shares granted pursuant to this Plan shall be specified to be either an Incentive Stock Option or a Nonstatutory Stock Option. Any grant of an Option shall be confirmed by the execution of an Option Agreement. An Option Agreement may include both an Incentive Stock Option and a Nonstatutory Stock Option, provided each Option is clearly identified as either an Incentive Stock Option or a Nonstatutory Stock Option.</w:t>
      </w:r>
    </w:p>
    <w:p>
      <w:pPr>
        <w:spacing w:after="0" w:line="74" w:lineRule="exact"/>
        <w:rPr>
          <w:rFonts w:ascii="Arial" w:cs="Arial" w:eastAsia="Arial" w:hAnsi="Arial"/>
          <w:sz w:val="15"/>
          <w:szCs w:val="15"/>
          <w:color w:val="auto"/>
        </w:rPr>
      </w:pPr>
    </w:p>
    <w:p>
      <w:pPr>
        <w:ind w:right="80" w:firstLine="464"/>
        <w:spacing w:after="0" w:line="259"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Maximum Annual Grant of Incentive Stock Options to Any Employee</w:t>
      </w:r>
      <w:r>
        <w:rPr>
          <w:rFonts w:ascii="Arial" w:cs="Arial" w:eastAsia="Arial" w:hAnsi="Arial"/>
          <w:sz w:val="18"/>
          <w:szCs w:val="18"/>
          <w:color w:val="auto"/>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Subsidiary) shall not exceed $100,000, and/or any other limit as may be prescribed by the Code from time to time.</w:t>
      </w:r>
    </w:p>
    <w:p>
      <w:pPr>
        <w:spacing w:after="0" w:line="158" w:lineRule="exact"/>
        <w:rPr>
          <w:sz w:val="20"/>
          <w:szCs w:val="20"/>
          <w:color w:val="auto"/>
        </w:rPr>
      </w:pPr>
    </w:p>
    <w:p>
      <w:pPr>
        <w:ind w:left="700" w:hanging="236"/>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Option Exercise Price</w:t>
      </w:r>
      <w:r>
        <w:rPr>
          <w:rFonts w:ascii="Arial" w:cs="Arial" w:eastAsia="Arial" w:hAnsi="Arial"/>
          <w:sz w:val="16"/>
          <w:szCs w:val="16"/>
          <w:color w:val="auto"/>
        </w:rPr>
        <w:t>. The per share purchase price of the Shares under each Option granted pursuant to this Plan shall be determined by the</w:t>
      </w:r>
    </w:p>
    <w:p>
      <w:pPr>
        <w:spacing w:after="0" w:line="38" w:lineRule="exact"/>
        <w:rPr>
          <w:rFonts w:ascii="Arial" w:cs="Arial" w:eastAsia="Arial" w:hAnsi="Arial"/>
          <w:sz w:val="16"/>
          <w:szCs w:val="16"/>
          <w:color w:val="auto"/>
        </w:rPr>
      </w:pPr>
    </w:p>
    <w:p>
      <w:pPr>
        <w:ind w:right="100"/>
        <w:spacing w:after="0" w:line="323" w:lineRule="auto"/>
        <w:rPr>
          <w:rFonts w:ascii="Arial" w:cs="Arial" w:eastAsia="Arial" w:hAnsi="Arial"/>
          <w:sz w:val="16"/>
          <w:szCs w:val="16"/>
          <w:color w:val="auto"/>
        </w:rPr>
      </w:pPr>
      <w:r>
        <w:rPr>
          <w:rFonts w:ascii="Arial" w:cs="Arial" w:eastAsia="Arial" w:hAnsi="Arial"/>
          <w:sz w:val="16"/>
          <w:szCs w:val="16"/>
          <w:color w:val="auto"/>
        </w:rPr>
        <w:t>Administrator but shall not be less than one hundred percent (100%) of the fair market value per Share on the date of grant of such Option. The fair market value per Share on the date of grant shall be the Market Price for the business day immediately preceding the date of grant of such Option.</w:t>
      </w:r>
    </w:p>
    <w:p>
      <w:pPr>
        <w:spacing w:after="0" w:line="79" w:lineRule="exact"/>
        <w:rPr>
          <w:rFonts w:ascii="Arial" w:cs="Arial" w:eastAsia="Arial" w:hAnsi="Arial"/>
          <w:sz w:val="16"/>
          <w:szCs w:val="16"/>
          <w:color w:val="auto"/>
        </w:rPr>
      </w:pPr>
    </w:p>
    <w:p>
      <w:pPr>
        <w:ind w:firstLine="464"/>
        <w:spacing w:after="0" w:line="255"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An Option Agreement may provide for exercise of an Option in such amounts and at such times as shall be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except as provided in Paragraph 7(g), below, or as otherwise determined by the Administrator, no Option granted to an Employee may be exercised unless that person is then in the employ of the Company or a Subsidiary and shall have been continuously so employed since its date of grant. Except as otherwise permitted by the Administrator, an Option shall be exercisable by a Participant’s giving written notice of exercise to the Secretary of the Company accompanied by payment of the required exercise price.</w:t>
      </w:r>
    </w:p>
    <w:p>
      <w:pPr>
        <w:spacing w:after="0" w:line="129" w:lineRule="exact"/>
        <w:rPr>
          <w:rFonts w:ascii="Arial" w:cs="Arial" w:eastAsia="Arial" w:hAnsi="Arial"/>
          <w:sz w:val="18"/>
          <w:szCs w:val="18"/>
          <w:color w:val="auto"/>
        </w:rPr>
      </w:pPr>
    </w:p>
    <w:p>
      <w:pPr>
        <w:ind w:right="60" w:firstLine="464"/>
        <w:spacing w:after="0" w:line="290"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General Exercise Period</w:t>
      </w:r>
      <w:r>
        <w:rPr>
          <w:rFonts w:ascii="Arial" w:cs="Arial" w:eastAsia="Arial" w:hAnsi="Arial"/>
          <w:sz w:val="16"/>
          <w:szCs w:val="16"/>
          <w:color w:val="auto"/>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upon the occurrence of a Triggering Event, all outstanding Options shall become immediately exercisable, and if a person ceases to be an Employee during a Protected Period because of a termination of that person’s employment by the Company other than for Cause, all Options held by such person shall become immediately exercisable. Notwithstanding the foregoing, no Option shall be exercisable after the expiration of ten years from its date of grant. Every Option which has not been exercised within ten years of its date of grant shall lapse upon the expiration of said ten-year period unless it shall have lapsed at an earlier date.</w:t>
      </w:r>
    </w:p>
    <w:p>
      <w:pPr>
        <w:spacing w:after="0" w:line="104" w:lineRule="exact"/>
        <w:rPr>
          <w:rFonts w:ascii="Arial" w:cs="Arial" w:eastAsia="Arial" w:hAnsi="Arial"/>
          <w:sz w:val="16"/>
          <w:szCs w:val="16"/>
          <w:color w:val="auto"/>
        </w:rPr>
      </w:pPr>
    </w:p>
    <w:p>
      <w:pPr>
        <w:ind w:firstLine="464"/>
        <w:spacing w:after="0" w:line="291" w:lineRule="auto"/>
        <w:tabs>
          <w:tab w:leader="none" w:pos="67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exercise price shall be payable in whole or in part in cash, Shares held by the Participant for more than six months,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for more than six months, either directly or by attestation, which are equal in value to the purchase or exercise price. All Shares so delivered shall be valued at their Market Price on the business day immediately preceding the day on which such Shares are delivered.</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70" w:lineRule="exact"/>
        <w:rPr>
          <w:rFonts w:ascii="Arial" w:cs="Arial" w:eastAsia="Arial" w:hAnsi="Arial"/>
          <w:sz w:val="16"/>
          <w:szCs w:val="16"/>
          <w:color w:val="auto"/>
        </w:rPr>
      </w:pPr>
    </w:p>
    <w:p>
      <w:pPr>
        <w:ind w:left="460" w:right="180" w:firstLine="443"/>
        <w:spacing w:after="0" w:line="305" w:lineRule="auto"/>
        <w:tabs>
          <w:tab w:leader="none" w:pos="1147"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Participant who ceases to be an Employee due to retirement on or after such person’s normal retirement date (as defined in the Manpower Inc. Retirement Plan or any successor plan providing retirement benefits) or due to early retirement with the consent of the Administrator shall have three</w:t>
      </w:r>
    </w:p>
    <w:p>
      <w:pPr>
        <w:ind w:left="460"/>
        <w:spacing w:after="0"/>
        <w:rPr>
          <w:rFonts w:ascii="Arial" w:cs="Arial" w:eastAsia="Arial" w:hAnsi="Arial"/>
          <w:sz w:val="15"/>
          <w:szCs w:val="15"/>
          <w:color w:val="auto"/>
        </w:rPr>
      </w:pPr>
      <w:r>
        <w:rPr>
          <w:rFonts w:ascii="Arial" w:cs="Arial" w:eastAsia="Arial" w:hAnsi="Arial"/>
          <w:sz w:val="18"/>
          <w:szCs w:val="18"/>
          <w:color w:val="auto"/>
        </w:rPr>
        <w:t>(3) years from the date of such cessation 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7" w:name="page68"/>
    <w:bookmarkEnd w:id="67"/>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exercise any Option granted hereunder as to all or part of the Shares subject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 and provided further that on the date the Participant ceases to be an Employee, he or she then has a present right to exercise such Option.</w:t>
      </w:r>
    </w:p>
    <w:p>
      <w:pPr>
        <w:spacing w:after="0" w:line="46" w:lineRule="exact"/>
        <w:rPr>
          <w:sz w:val="20"/>
          <w:szCs w:val="20"/>
          <w:color w:val="auto"/>
        </w:rPr>
      </w:pPr>
    </w:p>
    <w:p>
      <w:pPr>
        <w:jc w:val="both"/>
        <w:ind w:right="60" w:firstLine="443"/>
        <w:spacing w:after="0" w:line="298"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Any Participant who ceases to be an Employee due to Disability shall have three (3) years from the date of such cessation to exercise any Option granted hereunder as to all or part of the Shares subject to such Option to the extent that such Participant then has a present right to exercise such Option or would have become entitled to exercise such Option had that Participant remained an Employee during such three-year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Option shall be exercisable subsequent to ten (10) years after its date of grant.</w:t>
      </w:r>
    </w:p>
    <w:p>
      <w:pPr>
        <w:spacing w:after="0" w:line="18" w:lineRule="exact"/>
        <w:rPr>
          <w:rFonts w:ascii="Arial" w:cs="Arial" w:eastAsia="Arial" w:hAnsi="Arial"/>
          <w:sz w:val="16"/>
          <w:szCs w:val="16"/>
          <w:color w:val="auto"/>
        </w:rPr>
      </w:pPr>
    </w:p>
    <w:p>
      <w:pPr>
        <w:ind w:right="320" w:firstLine="443"/>
        <w:spacing w:after="0" w:line="268" w:lineRule="auto"/>
        <w:tabs>
          <w:tab w:leader="none" w:pos="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of the death of an Employee while an Employee, any Option, as to all or any part of the Shares subject to such Option, granted to such Employee shall be exercisable:</w:t>
      </w:r>
    </w:p>
    <w:p>
      <w:pPr>
        <w:spacing w:after="0" w:line="37" w:lineRule="exact"/>
        <w:rPr>
          <w:rFonts w:ascii="Arial" w:cs="Arial" w:eastAsia="Arial" w:hAnsi="Arial"/>
          <w:sz w:val="18"/>
          <w:szCs w:val="18"/>
          <w:color w:val="auto"/>
        </w:rPr>
      </w:pPr>
    </w:p>
    <w:p>
      <w:pPr>
        <w:ind w:left="1160" w:hanging="279"/>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three (3) years after the Employee’s death, but in no event later than ten (10) years from its date of grant;</w:t>
      </w:r>
    </w:p>
    <w:p>
      <w:pPr>
        <w:spacing w:after="0" w:line="76" w:lineRule="exact"/>
        <w:rPr>
          <w:rFonts w:ascii="Arial" w:cs="Arial" w:eastAsia="Arial" w:hAnsi="Arial"/>
          <w:sz w:val="18"/>
          <w:szCs w:val="18"/>
          <w:color w:val="auto"/>
        </w:rPr>
      </w:pPr>
    </w:p>
    <w:p>
      <w:pPr>
        <w:ind w:left="460" w:firstLine="421"/>
        <w:spacing w:after="0" w:line="298" w:lineRule="auto"/>
        <w:tabs>
          <w:tab w:leader="none" w:pos="1158" w:val="left"/>
        </w:tabs>
        <w:numPr>
          <w:ilvl w:val="1"/>
          <w:numId w:val="52"/>
        </w:numPr>
        <w:rPr>
          <w:rFonts w:ascii="Arial" w:cs="Arial" w:eastAsia="Arial" w:hAnsi="Arial"/>
          <w:sz w:val="16"/>
          <w:szCs w:val="16"/>
          <w:color w:val="auto"/>
        </w:rPr>
      </w:pPr>
      <w:r>
        <w:rPr>
          <w:rFonts w:ascii="Arial" w:cs="Arial" w:eastAsia="Arial" w:hAnsi="Arial"/>
          <w:sz w:val="16"/>
          <w:szCs w:val="16"/>
          <w:color w:val="auto"/>
        </w:rPr>
        <w:t>only (1) by the deceased Employee’s designated beneficiary (such designation to be made in writing at such time and in such manner as the Administrator shall approve or prescribe), or, if the deceased Employee dies without a surviving designated beneficiary, (2) by the personal representative, administrator, or other representative of the estate of the deceased Employee, or by the person or persons to whom the deceased Employee’s rights under the Option shall pass by will or the laws of descent and distribution; and</w:t>
      </w:r>
    </w:p>
    <w:p>
      <w:pPr>
        <w:spacing w:after="0" w:line="18" w:lineRule="exact"/>
        <w:rPr>
          <w:rFonts w:ascii="Arial" w:cs="Arial" w:eastAsia="Arial" w:hAnsi="Arial"/>
          <w:sz w:val="16"/>
          <w:szCs w:val="16"/>
          <w:color w:val="auto"/>
        </w:rPr>
      </w:pPr>
    </w:p>
    <w:p>
      <w:pPr>
        <w:ind w:left="460" w:right="320" w:firstLine="421"/>
        <w:spacing w:after="0" w:line="325" w:lineRule="auto"/>
        <w:tabs>
          <w:tab w:leader="none" w:pos="1158" w:val="left"/>
        </w:tabs>
        <w:numPr>
          <w:ilvl w:val="1"/>
          <w:numId w:val="52"/>
        </w:numPr>
        <w:rPr>
          <w:rFonts w:ascii="Arial" w:cs="Arial" w:eastAsia="Arial" w:hAnsi="Arial"/>
          <w:sz w:val="16"/>
          <w:szCs w:val="16"/>
          <w:color w:val="auto"/>
        </w:rPr>
      </w:pPr>
      <w:r>
        <w:rPr>
          <w:rFonts w:ascii="Arial" w:cs="Arial" w:eastAsia="Arial" w:hAnsi="Arial"/>
          <w:sz w:val="16"/>
          <w:szCs w:val="16"/>
          <w:color w:val="auto"/>
        </w:rPr>
        <w:t>only to the extent that the deceased Employee would have been entitled to exercise such Option on the date of the Employee’s death or would have become entitled to exercise such Option had the deceased Employee remained employed during such three-year period.</w:t>
      </w:r>
    </w:p>
    <w:p>
      <w:pPr>
        <w:spacing w:after="0" w:line="1" w:lineRule="exact"/>
        <w:rPr>
          <w:rFonts w:ascii="Arial" w:cs="Arial" w:eastAsia="Arial" w:hAnsi="Arial"/>
          <w:sz w:val="16"/>
          <w:szCs w:val="16"/>
          <w:color w:val="auto"/>
        </w:rPr>
      </w:pPr>
    </w:p>
    <w:p>
      <w:pPr>
        <w:ind w:right="200" w:firstLine="443"/>
        <w:spacing w:after="0" w:line="259" w:lineRule="auto"/>
        <w:tabs>
          <w:tab w:leader="none" w:pos="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Employee or former Employee who holds an Option who has designated a beneficiary for purposes of Subparagraph 7(g)(3)(B)(1), above, may change such designation at any time, by giving written notice to the Administrator, subject to such conditions and requirements as the Administrator may prescribe in accordance with applicable law.</w:t>
      </w:r>
    </w:p>
    <w:p>
      <w:pPr>
        <w:spacing w:after="0" w:line="45" w:lineRule="exact"/>
        <w:rPr>
          <w:rFonts w:ascii="Arial" w:cs="Arial" w:eastAsia="Arial" w:hAnsi="Arial"/>
          <w:sz w:val="18"/>
          <w:szCs w:val="18"/>
          <w:color w:val="auto"/>
        </w:rPr>
      </w:pPr>
    </w:p>
    <w:p>
      <w:pPr>
        <w:ind w:right="20" w:firstLine="443"/>
        <w:spacing w:after="0" w:line="294"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a Participant ceases to be an Employee for a reason other than those specified above, that Participant shall have eighteen (18) months from the date of such cessation to exercise any Option granted hereunder as to all or part of the Shares subject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Option shall be exercisable subsequent to ten (10) years after its date of grant,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68" w:name="page69"/>
    <w:bookmarkEnd w:id="68"/>
    <w:p>
      <w:pPr>
        <w:jc w:val="both"/>
        <w:ind w:right="120" w:firstLine="464"/>
        <w:spacing w:after="0" w:line="259"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Extension of Periods</w:t>
      </w:r>
      <w:r>
        <w:rPr>
          <w:rFonts w:ascii="Arial" w:cs="Arial" w:eastAsia="Arial" w:hAnsi="Arial"/>
          <w:sz w:val="18"/>
          <w:szCs w:val="18"/>
          <w:color w:val="auto"/>
        </w:rPr>
        <w:t xml:space="preserve">. The Administrator may in its sole discretion increase the periods permitted for exercise of an Option if a Participant ceases to be an Employee as provided in Subparagraphs 7(g)(1), (2), (3) and (5),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Option be exercisable subsequent to ten (10) years after its date of grant.</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160" w:firstLine="443"/>
        <w:spacing w:after="0" w:line="290" w:lineRule="auto"/>
        <w:tabs>
          <w:tab w:leader="none" w:pos="1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spacing w:after="0" w:line="23" w:lineRule="exact"/>
        <w:rPr>
          <w:rFonts w:ascii="Arial" w:cs="Arial" w:eastAsia="Arial" w:hAnsi="Arial"/>
          <w:sz w:val="16"/>
          <w:szCs w:val="16"/>
          <w:color w:val="auto"/>
        </w:rPr>
      </w:pPr>
    </w:p>
    <w:p>
      <w:pPr>
        <w:ind w:left="460" w:right="180" w:firstLine="443"/>
        <w:spacing w:after="0" w:line="291" w:lineRule="auto"/>
        <w:tabs>
          <w:tab w:leader="none" w:pos="1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RESTRICTED STOCK</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Restricted Stock granted under this Plan shall be subject to such terms and conditions not inconsistent with the Plan as the Administrator shall determine, including the following:</w:t>
      </w:r>
    </w:p>
    <w:p>
      <w:pPr>
        <w:spacing w:after="0" w:line="37" w:lineRule="exact"/>
        <w:rPr>
          <w:sz w:val="20"/>
          <w:szCs w:val="20"/>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Restricted Stock shall be confirmed by the execution of a Restricted Stock Agreement.</w:t>
      </w:r>
    </w:p>
    <w:p>
      <w:pPr>
        <w:spacing w:after="0" w:line="157" w:lineRule="exact"/>
        <w:rPr>
          <w:rFonts w:ascii="Arial" w:cs="Arial" w:eastAsia="Arial" w:hAnsi="Arial"/>
          <w:sz w:val="18"/>
          <w:szCs w:val="18"/>
          <w:color w:val="auto"/>
        </w:rPr>
      </w:pPr>
    </w:p>
    <w:p>
      <w:pPr>
        <w:ind w:firstLine="464"/>
        <w:spacing w:after="0" w:line="256"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69" w:name="page70"/>
    <w:bookmarkEnd w:id="69"/>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restrain or set aside such transfer), upon written notice to the transferee thereof at any time within ninety (90) days after its discovery of such transaction, be forfeited to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70" w:lineRule="exact"/>
        <w:rPr>
          <w:sz w:val="20"/>
          <w:szCs w:val="20"/>
          <w:color w:val="auto"/>
        </w:rPr>
      </w:pPr>
    </w:p>
    <w:p>
      <w:pPr>
        <w:ind w:left="460" w:firstLine="443"/>
        <w:spacing w:after="0" w:line="268" w:lineRule="auto"/>
        <w:tabs>
          <w:tab w:leader="none" w:pos="1147" w:val="left"/>
        </w:tabs>
        <w:numPr>
          <w:ilvl w:val="2"/>
          <w:numId w:val="55"/>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(c)(2) and (d), below, all Restricted Stock held by such Participant shall be forfeited to the Company.</w:t>
      </w:r>
    </w:p>
    <w:p>
      <w:pPr>
        <w:spacing w:after="0" w:line="37" w:lineRule="exact"/>
        <w:rPr>
          <w:rFonts w:ascii="Arial" w:cs="Arial" w:eastAsia="Arial" w:hAnsi="Arial"/>
          <w:sz w:val="18"/>
          <w:szCs w:val="18"/>
          <w:color w:val="auto"/>
        </w:rPr>
      </w:pPr>
    </w:p>
    <w:p>
      <w:pPr>
        <w:jc w:val="both"/>
        <w:ind w:left="460" w:right="60" w:firstLine="443"/>
        <w:spacing w:after="0" w:line="306" w:lineRule="auto"/>
        <w:tabs>
          <w:tab w:leader="none" w:pos="1147" w:val="left"/>
        </w:tabs>
        <w:numPr>
          <w:ilvl w:val="2"/>
          <w:numId w:val="55"/>
        </w:numPr>
        <w:rPr>
          <w:rFonts w:ascii="Arial" w:cs="Arial" w:eastAsia="Arial" w:hAnsi="Arial"/>
          <w:sz w:val="16"/>
          <w:szCs w:val="16"/>
          <w:color w:val="auto"/>
        </w:rPr>
      </w:pPr>
      <w:r>
        <w:rPr>
          <w:rFonts w:ascii="Arial" w:cs="Arial" w:eastAsia="Arial" w:hAnsi="Arial"/>
          <w:sz w:val="16"/>
          <w:szCs w:val="16"/>
          <w:color w:val="auto"/>
        </w:rPr>
        <w:t>In the event a Participant ceases to be an Employee on or after such person’s normal retirement date (as defined in the Manpower Inc. Retirement Plan or any successor plan providing retirement benefits), or due to early retirement with the consent of the Administrator, or due to death or Disability, all restrictions applicable to any Restricted Stock then held by the Participant shall immediately lapse.</w:t>
      </w:r>
    </w:p>
    <w:p>
      <w:pPr>
        <w:spacing w:after="0" w:line="93" w:lineRule="exact"/>
        <w:rPr>
          <w:rFonts w:ascii="Arial" w:cs="Arial" w:eastAsia="Arial" w:hAnsi="Arial"/>
          <w:sz w:val="16"/>
          <w:szCs w:val="16"/>
          <w:color w:val="auto"/>
        </w:rPr>
      </w:pPr>
    </w:p>
    <w:p>
      <w:pPr>
        <w:ind w:right="40" w:firstLine="464"/>
        <w:spacing w:after="0" w:line="253" w:lineRule="auto"/>
        <w:tabs>
          <w:tab w:leader="none" w:pos="70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Vesting on Triggering Event</w:t>
      </w:r>
      <w:r>
        <w:rPr>
          <w:rFonts w:ascii="Arial" w:cs="Arial" w:eastAsia="Arial" w:hAnsi="Arial"/>
          <w:sz w:val="18"/>
          <w:szCs w:val="18"/>
          <w:color w:val="auto"/>
        </w:rPr>
        <w:t>. Except as determined otherwise by the Administrator at the time of grant, notwithstanding anything to the contrary herein contained, upon the occurrence of a Triggering Event, the restrictions applicable to any Restricted Stock then held by all Participants shall immediately lapse, and all such Restricted Stock shall be treated as Shares of the Company and the holders thereof shall be entitled to receive the same consideration thereupon, if any, payable to the holders of outstanding shares of the Company in connection with the Triggering Event. In addition, except as otherwise determined by the Administrator at the time of grant, in the case of any individual Employee, upon that person’s ceasing to be an Employee during a Protected Period because of a termination of such person’s employment by the Company other than for Cause, the restrictions applicable to any Restricted Stock then held by such Employee shall immediately lapse.</w:t>
      </w:r>
    </w:p>
    <w:p>
      <w:pPr>
        <w:spacing w:after="0" w:line="133" w:lineRule="exact"/>
        <w:rPr>
          <w:rFonts w:ascii="Arial" w:cs="Arial" w:eastAsia="Arial" w:hAnsi="Arial"/>
          <w:sz w:val="18"/>
          <w:szCs w:val="18"/>
          <w:color w:val="auto"/>
        </w:rPr>
      </w:pPr>
    </w:p>
    <w:p>
      <w:pPr>
        <w:ind w:right="20" w:firstLine="464"/>
        <w:spacing w:after="0" w:line="268" w:lineRule="auto"/>
        <w:tabs>
          <w:tab w:leader="none" w:pos="69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Retention of Certificates</w:t>
      </w:r>
      <w:r>
        <w:rPr>
          <w:rFonts w:ascii="Arial" w:cs="Arial" w:eastAsia="Arial" w:hAnsi="Arial"/>
          <w:sz w:val="18"/>
          <w:szCs w:val="18"/>
          <w:color w:val="auto"/>
        </w:rPr>
        <w:t>. The Company will retain custody of the stock certificates representing Restricted Stock during the Restricted Period as well as a stock power signed by the Participant to be used in the event the Restricted Stock is forfeited to the Company.</w:t>
      </w:r>
    </w:p>
    <w:p>
      <w:pPr>
        <w:spacing w:after="0" w:line="118" w:lineRule="exact"/>
        <w:rPr>
          <w:rFonts w:ascii="Arial" w:cs="Arial" w:eastAsia="Arial" w:hAnsi="Arial"/>
          <w:sz w:val="18"/>
          <w:szCs w:val="18"/>
          <w:color w:val="auto"/>
        </w:rPr>
      </w:pPr>
    </w:p>
    <w:p>
      <w:pPr>
        <w:ind w:right="180" w:firstLine="464"/>
        <w:spacing w:after="0" w:line="259" w:lineRule="auto"/>
        <w:tabs>
          <w:tab w:leader="none" w:pos="67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No Release of Restrictions by Administrator</w:t>
      </w:r>
      <w:r>
        <w:rPr>
          <w:rFonts w:ascii="Arial" w:cs="Arial" w:eastAsia="Arial" w:hAnsi="Arial"/>
          <w:sz w:val="18"/>
          <w:szCs w:val="18"/>
          <w:color w:val="auto"/>
        </w:rPr>
        <w:t>. The Administrator may not, through amendment of the Restricted Stock Agreement or otherwise, accelerate the lapse of any restrictions applicable to Restricted Stock which has been granted under the Plan. This limitation is not intended to apply to the lapse of restrictions pursuant to Subparagraph 8(c)(2) or Paragraph 8(d), above.</w:t>
      </w:r>
    </w:p>
    <w:p>
      <w:pPr>
        <w:spacing w:after="0" w:line="120" w:lineRule="exact"/>
        <w:rPr>
          <w:rFonts w:ascii="Arial" w:cs="Arial" w:eastAsia="Arial" w:hAnsi="Arial"/>
          <w:sz w:val="18"/>
          <w:szCs w:val="18"/>
          <w:color w:val="auto"/>
        </w:rPr>
      </w:pPr>
    </w:p>
    <w:p>
      <w:pPr>
        <w:ind w:left="180" w:hanging="172"/>
        <w:spacing w:after="0"/>
        <w:tabs>
          <w:tab w:leader="none" w:pos="1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SARs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Each SAR granted under this Plan shall be subject to such terms and conditions not inconsistent with the Plan as the Administrator shall determine, including the following:</w:t>
      </w:r>
    </w:p>
    <w:p>
      <w:pPr>
        <w:spacing w:after="0" w:line="37" w:lineRule="exact"/>
        <w:rPr>
          <w:sz w:val="20"/>
          <w:szCs w:val="20"/>
          <w:color w:val="auto"/>
        </w:rPr>
      </w:pPr>
    </w:p>
    <w:p>
      <w:pPr>
        <w:ind w:left="700" w:hanging="23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SARs shall be confirmed by the execution of an SAR Agreement.</w:t>
      </w:r>
    </w:p>
    <w:p>
      <w:pPr>
        <w:spacing w:after="0" w:line="157" w:lineRule="exact"/>
        <w:rPr>
          <w:rFonts w:ascii="Arial" w:cs="Arial" w:eastAsia="Arial" w:hAnsi="Arial"/>
          <w:sz w:val="18"/>
          <w:szCs w:val="18"/>
          <w:color w:val="auto"/>
        </w:rPr>
      </w:pPr>
    </w:p>
    <w:p>
      <w:pPr>
        <w:ind w:right="580" w:firstLine="464"/>
        <w:spacing w:after="0" w:line="332"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Grant Value</w:t>
      </w:r>
      <w:r>
        <w:rPr>
          <w:rFonts w:ascii="Arial" w:cs="Arial" w:eastAsia="Arial" w:hAnsi="Arial"/>
          <w:sz w:val="16"/>
          <w:szCs w:val="16"/>
          <w:color w:val="auto"/>
        </w:rPr>
        <w:t>. The Grant Value of each SAR granted pursuant to this Plan shall be determined by the Administrator, but shall not be less than one hundred percent (100%) of the fair market value per Share on the date of grant of such SAR. The fair market value per Share 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of grant shall be the Market Price for the business day immediately preceding the date of grant of such SAR.</w:t>
      </w:r>
    </w:p>
    <w:p>
      <w:pPr>
        <w:spacing w:after="0" w:line="158" w:lineRule="exact"/>
        <w:rPr>
          <w:sz w:val="20"/>
          <w:szCs w:val="20"/>
          <w:color w:val="auto"/>
        </w:rPr>
      </w:pPr>
    </w:p>
    <w:p>
      <w:pPr>
        <w:ind w:firstLine="464"/>
        <w:spacing w:after="0" w:line="255"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An SAR Agreement may provide for exercise of an SAR by a Participant in such amounts and at such times as shall be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129" w:lineRule="exact"/>
        <w:rPr>
          <w:rFonts w:ascii="Arial" w:cs="Arial" w:eastAsia="Arial" w:hAnsi="Arial"/>
          <w:sz w:val="18"/>
          <w:szCs w:val="18"/>
          <w:color w:val="auto"/>
        </w:rPr>
      </w:pPr>
    </w:p>
    <w:p>
      <w:pPr>
        <w:ind w:firstLine="464"/>
        <w:spacing w:after="0" w:line="253"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General Exercise Period</w:t>
      </w:r>
      <w:r>
        <w:rPr>
          <w:rFonts w:ascii="Arial" w:cs="Arial" w:eastAsia="Arial" w:hAnsi="Arial"/>
          <w:sz w:val="18"/>
          <w:szCs w:val="18"/>
          <w:color w:val="auto"/>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and if a person ceases to be an Employee during a Protected Period because of a termination of that person’s employment by the Company other than for Cause, all SARs held by such person shall become immediately exercisable.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133" w:lineRule="exact"/>
        <w:rPr>
          <w:rFonts w:ascii="Arial" w:cs="Arial" w:eastAsia="Arial" w:hAnsi="Arial"/>
          <w:sz w:val="18"/>
          <w:szCs w:val="18"/>
          <w:color w:val="auto"/>
        </w:rPr>
      </w:pPr>
    </w:p>
    <w:p>
      <w:pPr>
        <w:ind w:right="40" w:firstLine="464"/>
        <w:spacing w:after="0" w:line="290"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Rights on Exercise</w:t>
      </w:r>
      <w:r>
        <w:rPr>
          <w:rFonts w:ascii="Arial" w:cs="Arial" w:eastAsia="Arial" w:hAnsi="Arial"/>
          <w:sz w:val="16"/>
          <w:szCs w:val="16"/>
          <w:color w:val="auto"/>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 Value for such SAR as set forth in the applicable SAR Agreement, multiplied by the number of SARs exercised. However, the Company, as determined in the sole discretion of the Administrator, shall be entitled to elect to settle its obligation arising out of the exercise of an SAR by the payment of cash substantially equal to the aggregate Market Price on the Valuation Date of the Shares it would otherwise be obligated to deliver, or by the issuance of a combination of Shares and cash, in the proportions determined by the Administrator, substantially equal to the aggregate Market Price on the Valuation Date of the Shares the Company would otherwise be obligated to deliver.</w:t>
      </w:r>
    </w:p>
    <w:p>
      <w:pPr>
        <w:spacing w:after="0" w:line="104" w:lineRule="exact"/>
        <w:rPr>
          <w:rFonts w:ascii="Arial" w:cs="Arial" w:eastAsia="Arial" w:hAnsi="Arial"/>
          <w:sz w:val="16"/>
          <w:szCs w:val="16"/>
          <w:color w:val="auto"/>
        </w:rPr>
      </w:pPr>
    </w:p>
    <w:p>
      <w:pPr>
        <w:ind w:left="680" w:hanging="216"/>
        <w:spacing w:after="0"/>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70" w:lineRule="exact"/>
        <w:rPr>
          <w:rFonts w:ascii="Arial" w:cs="Arial" w:eastAsia="Arial" w:hAnsi="Arial"/>
          <w:sz w:val="16"/>
          <w:szCs w:val="16"/>
          <w:color w:val="auto"/>
        </w:rPr>
      </w:pPr>
    </w:p>
    <w:p>
      <w:pPr>
        <w:ind w:left="460" w:right="160" w:firstLine="443"/>
        <w:spacing w:after="0" w:line="305" w:lineRule="auto"/>
        <w:tabs>
          <w:tab w:leader="none" w:pos="1147" w:val="left"/>
        </w:tabs>
        <w:numPr>
          <w:ilvl w:val="1"/>
          <w:numId w:val="59"/>
        </w:numPr>
        <w:rPr>
          <w:rFonts w:ascii="Arial" w:cs="Arial" w:eastAsia="Arial" w:hAnsi="Arial"/>
          <w:sz w:val="15"/>
          <w:szCs w:val="15"/>
          <w:color w:val="auto"/>
        </w:rPr>
      </w:pPr>
      <w:r>
        <w:rPr>
          <w:rFonts w:ascii="Arial" w:cs="Arial" w:eastAsia="Arial" w:hAnsi="Arial"/>
          <w:sz w:val="15"/>
          <w:szCs w:val="15"/>
          <w:color w:val="auto"/>
        </w:rPr>
        <w:t>Any Participant who ceases to be an Employee due to retirement on or after such person’s normal retirement date (as defined in the Manpower Inc. Retirement Plan or any successor plan providing retirement benefits) or due to early retirement with the consent of the Administrator shall have three</w:t>
      </w:r>
    </w:p>
    <w:p>
      <w:pPr>
        <w:ind w:left="460" w:right="260"/>
        <w:spacing w:after="0" w:line="255" w:lineRule="auto"/>
        <w:rPr>
          <w:rFonts w:ascii="Arial" w:cs="Arial" w:eastAsia="Arial" w:hAnsi="Arial"/>
          <w:sz w:val="15"/>
          <w:szCs w:val="15"/>
          <w:color w:val="auto"/>
        </w:rPr>
      </w:pPr>
      <w:r>
        <w:rPr>
          <w:rFonts w:ascii="Arial" w:cs="Arial" w:eastAsia="Arial" w:hAnsi="Arial"/>
          <w:sz w:val="18"/>
          <w:szCs w:val="18"/>
          <w:color w:val="auto"/>
        </w:rPr>
        <w:t xml:space="preserve">(3) years from the date of such cessation to exercise any SAR granted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SAR shall be exercisable subsequent to ten (10) years after its date of grant, and provided further that on the date the Participant ceases to be an Employee, he or she then has a present right to exercise such SAR.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71" w:name="page72"/>
    <w:bookmarkEnd w:id="71"/>
    <w:p>
      <w:pPr>
        <w:ind w:left="460" w:firstLine="443"/>
        <w:spacing w:after="0" w:line="256" w:lineRule="auto"/>
        <w:tabs>
          <w:tab w:leader="none" w:pos="1147"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Participant who ceases to be an Employee due to Disability shall have three (3) years from the date of such cessation to exercise any SAR granted hereunder to the extent such Participant then has a present right to exercise such SAR or would have become entitled to exercise such SAR had that person remained an Employee during such three-year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SAR shall be exercisable subsequent to ten (10) years after its date of grant.</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of the death of an Employee while an Employee, any SAR granted to such Employee shall be exercisable: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for three (3) years after the Employee’s death, but in no event later than ten (10) years from its date of grant;</w:t>
      </w:r>
    </w:p>
    <w:p>
      <w:pPr>
        <w:spacing w:after="0" w:line="76" w:lineRule="exact"/>
        <w:rPr>
          <w:rFonts w:ascii="Arial" w:cs="Arial" w:eastAsia="Arial" w:hAnsi="Arial"/>
          <w:sz w:val="18"/>
          <w:szCs w:val="18"/>
          <w:color w:val="auto"/>
        </w:rPr>
      </w:pPr>
    </w:p>
    <w:p>
      <w:pPr>
        <w:ind w:left="920" w:firstLine="421"/>
        <w:spacing w:after="0" w:line="298" w:lineRule="auto"/>
        <w:tabs>
          <w:tab w:leader="none" w:pos="1618" w:val="left"/>
        </w:tabs>
        <w:numPr>
          <w:ilvl w:val="2"/>
          <w:numId w:val="60"/>
        </w:numPr>
        <w:rPr>
          <w:rFonts w:ascii="Arial" w:cs="Arial" w:eastAsia="Arial" w:hAnsi="Arial"/>
          <w:sz w:val="16"/>
          <w:szCs w:val="16"/>
          <w:color w:val="auto"/>
        </w:rPr>
      </w:pPr>
      <w:r>
        <w:rPr>
          <w:rFonts w:ascii="Arial" w:cs="Arial" w:eastAsia="Arial" w:hAnsi="Arial"/>
          <w:sz w:val="16"/>
          <w:szCs w:val="16"/>
          <w:color w:val="auto"/>
        </w:rPr>
        <w:t>only (1) by the deceased Employee’s designated beneficiary (such designation to be made in writing at such time and in such manner as the Administrator shall approve or prescribe), or, if the deceased Employee dies without a surviving designated beneficiary, (2) by the personal representative, administrator, or other representative of the estate of the deceased Employee, or by the person or persons to whom the deceased Employee’s rights under the SAR shall pass by will or the laws of descent and distribution; and</w:t>
      </w:r>
    </w:p>
    <w:p>
      <w:pPr>
        <w:spacing w:after="0" w:line="18" w:lineRule="exact"/>
        <w:rPr>
          <w:rFonts w:ascii="Arial" w:cs="Arial" w:eastAsia="Arial" w:hAnsi="Arial"/>
          <w:sz w:val="16"/>
          <w:szCs w:val="16"/>
          <w:color w:val="auto"/>
        </w:rPr>
      </w:pPr>
    </w:p>
    <w:p>
      <w:pPr>
        <w:ind w:left="920" w:right="480" w:firstLine="421"/>
        <w:spacing w:after="0" w:line="325" w:lineRule="auto"/>
        <w:tabs>
          <w:tab w:leader="none" w:pos="1618" w:val="left"/>
        </w:tabs>
        <w:numPr>
          <w:ilvl w:val="2"/>
          <w:numId w:val="60"/>
        </w:numPr>
        <w:rPr>
          <w:rFonts w:ascii="Arial" w:cs="Arial" w:eastAsia="Arial" w:hAnsi="Arial"/>
          <w:sz w:val="16"/>
          <w:szCs w:val="16"/>
          <w:color w:val="auto"/>
        </w:rPr>
      </w:pPr>
      <w:r>
        <w:rPr>
          <w:rFonts w:ascii="Arial" w:cs="Arial" w:eastAsia="Arial" w:hAnsi="Arial"/>
          <w:sz w:val="16"/>
          <w:szCs w:val="16"/>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1"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spacing w:after="0" w:line="45"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If a Participant ceases to be an Employee for a reason other than those specified above, that Participant shall have eighteen (18) months from the date of such cessation to exercise any SAR granted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SAR shall be exercisable subsequent to ten (10) years after its date of grant, and provided further that on the date the person ceases to be an Employee, he or she then has a present right to exercise such SAR. Notwithstanding the foregoing, if a person ceases to be an Employee because of a termination of employment for Cause, to the extent an SAR is not effectively exercised prior to such cessation, it shall lapse immediately upon such cessation.</w:t>
      </w:r>
    </w:p>
    <w:p>
      <w:pPr>
        <w:spacing w:after="0" w:line="102" w:lineRule="exact"/>
        <w:rPr>
          <w:rFonts w:ascii="Arial" w:cs="Arial" w:eastAsia="Arial" w:hAnsi="Arial"/>
          <w:sz w:val="16"/>
          <w:szCs w:val="16"/>
          <w:color w:val="auto"/>
        </w:rPr>
      </w:pPr>
    </w:p>
    <w:p>
      <w:pPr>
        <w:ind w:right="360" w:firstLine="464"/>
        <w:spacing w:after="0" w:line="259"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Extension of Periods</w:t>
      </w:r>
      <w:r>
        <w:rPr>
          <w:rFonts w:ascii="Arial" w:cs="Arial" w:eastAsia="Arial" w:hAnsi="Arial"/>
          <w:sz w:val="18"/>
          <w:szCs w:val="18"/>
          <w:color w:val="auto"/>
        </w:rPr>
        <w:t xml:space="preserve">. The Administrator may in its sole discretion increase the periods permitted for exercise of an SAR if a person ceases to be an Employee as provided in Subparagraphs 9(f)(1), (2), (3) and (5), above, if allowable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an SAR be exercisable subsequent to ten (10) years after its date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72" w:name="page73"/>
    <w:bookmarkEnd w:id="72"/>
    <w:p>
      <w:pPr>
        <w:ind w:right="80" w:firstLine="464"/>
        <w:spacing w:after="0" w:line="290" w:lineRule="auto"/>
        <w:tabs>
          <w:tab w:leader="none" w:pos="705"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Transferability</w:t>
      </w:r>
      <w:r>
        <w:rPr>
          <w:rFonts w:ascii="Arial" w:cs="Arial" w:eastAsia="Arial" w:hAnsi="Arial"/>
          <w:sz w:val="16"/>
          <w:szCs w:val="16"/>
          <w:color w:val="auto"/>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98" w:lineRule="exact"/>
        <w:rPr>
          <w:rFonts w:ascii="Arial" w:cs="Arial" w:eastAsia="Arial" w:hAnsi="Arial"/>
          <w:sz w:val="16"/>
          <w:szCs w:val="16"/>
          <w:color w:val="auto"/>
        </w:rPr>
      </w:pPr>
    </w:p>
    <w:p>
      <w:pPr>
        <w:ind w:left="280" w:hanging="272"/>
        <w:spacing w:after="0"/>
        <w:tabs>
          <w:tab w:leader="none" w:pos="2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STOCK</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Deferred Stock granted under this Plan shall be subject to such terms and conditions not inconsistent with the Plan as the Administrator shall determine, including the following:</w:t>
      </w:r>
    </w:p>
    <w:p>
      <w:pPr>
        <w:spacing w:after="0" w:line="37" w:lineRule="exact"/>
        <w:rPr>
          <w:sz w:val="20"/>
          <w:szCs w:val="20"/>
          <w:color w:val="auto"/>
        </w:rPr>
      </w:pPr>
    </w:p>
    <w:p>
      <w:pPr>
        <w:ind w:left="700" w:hanging="23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terms of any grant of Deferred Stock shall be confirmed by the execution of a Deferred Stock Agreement.</w:t>
      </w:r>
    </w:p>
    <w:p>
      <w:pPr>
        <w:spacing w:after="0" w:line="157" w:lineRule="exact"/>
        <w:rPr>
          <w:rFonts w:ascii="Arial" w:cs="Arial" w:eastAsia="Arial" w:hAnsi="Arial"/>
          <w:sz w:val="18"/>
          <w:szCs w:val="18"/>
          <w:color w:val="auto"/>
        </w:rPr>
      </w:pPr>
    </w:p>
    <w:p>
      <w:pPr>
        <w:ind w:firstLine="464"/>
        <w:spacing w:after="0" w:line="289"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Distributions of Shares</w:t>
      </w:r>
      <w:r>
        <w:rPr>
          <w:rFonts w:ascii="Arial" w:cs="Arial" w:eastAsia="Arial" w:hAnsi="Arial"/>
          <w:sz w:val="16"/>
          <w:szCs w:val="16"/>
          <w:color w:val="auto"/>
        </w:rPr>
        <w:t xml:space="preserve">. Each Participant who holds Deferred Stock shall be entitled to receive from the Company one Share for each share of Deferred Stock, as adjusted from time to time in the manner set forth in Paragraph 12, below. However, the Company, as determined in the sole discretion of the Administrator,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Shares shall be distributed in respect of Deferred Stock prior to the date on which such Deferred Stock vests.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[Effective for grants made on or after January 1, 2005, this subparagraph 10(b) will read as follows:</w:t>
      </w:r>
    </w:p>
    <w:p>
      <w:pPr>
        <w:spacing w:after="0" w:line="77" w:lineRule="exact"/>
        <w:rPr>
          <w:sz w:val="20"/>
          <w:szCs w:val="20"/>
          <w:color w:val="auto"/>
        </w:rPr>
      </w:pPr>
    </w:p>
    <w:p>
      <w:pPr>
        <w:ind w:firstLine="464"/>
        <w:spacing w:after="0" w:line="290" w:lineRule="auto"/>
        <w:tabs>
          <w:tab w:leader="none" w:pos="70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Distributions of Shares</w:t>
      </w:r>
      <w:r>
        <w:rPr>
          <w:rFonts w:ascii="Arial" w:cs="Arial" w:eastAsia="Arial" w:hAnsi="Arial"/>
          <w:sz w:val="16"/>
          <w:szCs w:val="16"/>
          <w:color w:val="auto"/>
        </w:rPr>
        <w:t>. Each Participant who holds Deferred Stock shall be entitled to receive from the Company one Share for each share of Deferred Stock, as adjusted from time to time in the manner set forth in Paragraph 12, below. However, the Company, as determined in the sole discretion of the Administrator,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73" w:name="page74"/>
    <w:bookmarkEnd w:id="7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Administrator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Deferred Stock shall only be distributed in accordance with the rules of Section 409A of the Code and any guidance issued thereunder;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Shares shall be distributed in respect of Deferred Stock prior to the date on which such Deferred Stock vests.]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Cessation of Employee Status</w:t>
      </w:r>
      <w:r>
        <w:rPr>
          <w:rFonts w:ascii="Arial" w:cs="Arial" w:eastAsia="Arial" w:hAnsi="Arial"/>
          <w:sz w:val="16"/>
          <w:szCs w:val="16"/>
          <w:color w:val="auto"/>
        </w:rPr>
        <w:t>. With respect to Participants who are Employees, except as determined otherwise by the Administrator at the time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70" w:lineRule="exact"/>
        <w:rPr>
          <w:sz w:val="20"/>
          <w:szCs w:val="20"/>
          <w:color w:val="auto"/>
        </w:rPr>
      </w:pPr>
    </w:p>
    <w:p>
      <w:pPr>
        <w:ind w:left="460" w:right="80" w:firstLine="443"/>
        <w:spacing w:after="0" w:line="268"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a Participant ceases to be an Employee for any reason, then except as provided in Subparagraphs (c)(2) and (d), below, all Deferred Stock held by such Participant on the date of termination that has not vested shall be forfeited.</w:t>
      </w:r>
    </w:p>
    <w:p>
      <w:pPr>
        <w:spacing w:after="0" w:line="37" w:lineRule="exact"/>
        <w:rPr>
          <w:rFonts w:ascii="Arial" w:cs="Arial" w:eastAsia="Arial" w:hAnsi="Arial"/>
          <w:sz w:val="18"/>
          <w:szCs w:val="18"/>
          <w:color w:val="auto"/>
        </w:rPr>
      </w:pPr>
    </w:p>
    <w:p>
      <w:pPr>
        <w:ind w:left="460" w:right="40" w:firstLine="443"/>
        <w:spacing w:after="0" w:line="259"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a Participant ceases to be an Employee on or after such person’s normal retirement date (as defined in the Manpower Inc. Retirement Plan or any successor plan providing retirement benefits) or due to early retirement with the consent of the Administrator, or due to death or Disability, all Deferred Stock then held by such Participant shall immediately vest.</w:t>
      </w:r>
    </w:p>
    <w:p>
      <w:pPr>
        <w:spacing w:after="0" w:line="126"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Vesting on Triggering Event</w:t>
      </w:r>
      <w:r>
        <w:rPr>
          <w:rFonts w:ascii="Arial" w:cs="Arial" w:eastAsia="Arial" w:hAnsi="Arial"/>
          <w:sz w:val="16"/>
          <w:szCs w:val="16"/>
          <w:color w:val="auto"/>
        </w:rPr>
        <w:t>. Except as determined otherwise by the Administrator, notwithstanding anything to the contrary herein contained, upon the occurrence of a Triggering Event, all Deferred Stock then held by Participants shall immediately vest. In addition, except as otherwise determined by the Administrator at the time of grant, in the case of any individual Employee, upon that person’s ceasing to be an Employee during a Protected Period because of a termination of such person’s employment by the Company other than for Cause, all Deferred Stock then held by such Employee shall immediately vest.</w:t>
      </w:r>
    </w:p>
    <w:p>
      <w:pPr>
        <w:spacing w:after="0" w:line="99" w:lineRule="exact"/>
        <w:rPr>
          <w:rFonts w:ascii="Arial" w:cs="Arial" w:eastAsia="Arial" w:hAnsi="Arial"/>
          <w:sz w:val="16"/>
          <w:szCs w:val="16"/>
          <w:color w:val="auto"/>
        </w:rPr>
      </w:pPr>
    </w:p>
    <w:p>
      <w:pPr>
        <w:ind w:firstLine="464"/>
        <w:spacing w:after="0" w:line="290"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Deferred Stock may not be sold, assigned, conveyed, donated, pledged, transferred or otherwise disposed of or encumbered or subjected to execution, attachment, or similar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Shares distributed in respect of such Deferred Stock may be transferred in accordance with applicable securities laws.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04" w:lineRule="exact"/>
        <w:rPr>
          <w:rFonts w:ascii="Arial" w:cs="Arial" w:eastAsia="Arial" w:hAnsi="Arial"/>
          <w:sz w:val="16"/>
          <w:szCs w:val="16"/>
          <w:color w:val="auto"/>
        </w:rPr>
      </w:pPr>
    </w:p>
    <w:p>
      <w:pPr>
        <w:ind w:right="440" w:firstLine="464"/>
        <w:spacing w:after="0" w:line="259" w:lineRule="auto"/>
        <w:tabs>
          <w:tab w:leader="none" w:pos="67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Rights as Shareholders</w:t>
      </w:r>
      <w:r>
        <w:rPr>
          <w:rFonts w:ascii="Arial" w:cs="Arial" w:eastAsia="Arial" w:hAnsi="Arial"/>
          <w:sz w:val="18"/>
          <w:szCs w:val="18"/>
          <w:color w:val="auto"/>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 distributable with respect to any Deferred Stock until such Shares are so distributed.</w:t>
      </w:r>
    </w:p>
    <w:p>
      <w:pPr>
        <w:spacing w:after="0" w:line="126" w:lineRule="exact"/>
        <w:rPr>
          <w:rFonts w:ascii="Arial" w:cs="Arial" w:eastAsia="Arial" w:hAnsi="Arial"/>
          <w:sz w:val="18"/>
          <w:szCs w:val="18"/>
          <w:color w:val="auto"/>
        </w:rPr>
      </w:pPr>
    </w:p>
    <w:p>
      <w:pPr>
        <w:ind w:right="80" w:firstLine="464"/>
        <w:spacing w:after="0" w:line="306"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As of each record date for the payment of dividends on the Company’s common stock, each Participant shall be granted a number of additional shares of Deferred Stock equal to the quotient of the amount of dividends which would have been received by a shareholder of record of a number of Shares equal to the number of shares of Deferred Stock held by such Participant immediately before such dividend, divided by the Market Price 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74" w:name="page75"/>
    <w:bookmarkEnd w:id="74"/>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date. In the event of any distribution with respect to Shares other than a cash dividend, then each Participant shall be granted a number of additional shares of Deferred Stock which could have been purchased at the Market Price as of the date of such distribution with an amount equal to the Market Price of the consideration which would have been received on such date by a shareholder of record of a number of Shares equal to the number of shares of Deferred Stock then held by such Participant.</w:t>
      </w:r>
    </w:p>
    <w:p>
      <w:pPr>
        <w:spacing w:after="0" w:line="130" w:lineRule="exact"/>
        <w:rPr>
          <w:sz w:val="20"/>
          <w:szCs w:val="20"/>
          <w:color w:val="auto"/>
        </w:rPr>
      </w:pPr>
    </w:p>
    <w:p>
      <w:pPr>
        <w:ind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Accelerated Distribution</w:t>
      </w:r>
      <w:r>
        <w:rPr>
          <w:rFonts w:ascii="Arial" w:cs="Arial" w:eastAsia="Arial" w:hAnsi="Arial"/>
          <w:sz w:val="18"/>
          <w:szCs w:val="18"/>
          <w:color w:val="auto"/>
        </w:rPr>
        <w:t>. Notwithstanding any other provision of the Plan, the Administrator may, at any time after Deferred Stock held by a Participant has vested, accelerate the time that Shares are distributed with respect to such Deferred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[Effective for grants made on or after January 1, 2005, this subparagraph 10(h) will read as follows:</w:t>
      </w:r>
    </w:p>
    <w:p>
      <w:pPr>
        <w:spacing w:after="0" w:line="77" w:lineRule="exact"/>
        <w:rPr>
          <w:sz w:val="20"/>
          <w:szCs w:val="20"/>
          <w:color w:val="auto"/>
        </w:rPr>
      </w:pPr>
    </w:p>
    <w:p>
      <w:pPr>
        <w:ind w:right="140" w:firstLine="464"/>
        <w:spacing w:after="0" w:line="259"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Accelerated Distribution</w:t>
      </w:r>
      <w:r>
        <w:rPr>
          <w:rFonts w:ascii="Arial" w:cs="Arial" w:eastAsia="Arial" w:hAnsi="Arial"/>
          <w:sz w:val="18"/>
          <w:szCs w:val="18"/>
          <w:color w:val="auto"/>
        </w:rPr>
        <w:t>. The Administrator may not, at any time after Deferred Stock held by a Participant has vested, accelerate the time that Shares or cash are or is distributed with respect to such Deferred Stock, except as permitted in accordance with Code Section 409A or any guidance promulgated thereunder.]</w:t>
      </w:r>
    </w:p>
    <w:p>
      <w:pPr>
        <w:spacing w:after="0" w:line="126" w:lineRule="exact"/>
        <w:rPr>
          <w:rFonts w:ascii="Arial" w:cs="Arial" w:eastAsia="Arial" w:hAnsi="Arial"/>
          <w:sz w:val="18"/>
          <w:szCs w:val="18"/>
          <w:color w:val="auto"/>
        </w:rPr>
      </w:pPr>
    </w:p>
    <w:p>
      <w:pPr>
        <w:ind w:right="240" w:firstLine="464"/>
        <w:spacing w:after="0" w:line="259" w:lineRule="auto"/>
        <w:tabs>
          <w:tab w:leader="none" w:pos="66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Accelerated Vesting by Administrator</w:t>
      </w:r>
      <w:r>
        <w:rPr>
          <w:rFonts w:ascii="Arial" w:cs="Arial" w:eastAsia="Arial" w:hAnsi="Arial"/>
          <w:sz w:val="18"/>
          <w:szCs w:val="18"/>
          <w:color w:val="auto"/>
        </w:rPr>
        <w:t>. The Administrator may not, through amendment of the Deferred Stock Agreement or otherwise, accelerate the vesting of Deferred Stock which has been granted under the Plan subject to vesting limitations. This limitation is not intended to apply to the vesting of Deferred Stock pursuant to Subparagraph 10(c)(2) or Paragraph 10(d),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LAWS AND REGULATIONS</w:t>
      </w:r>
    </w:p>
    <w:p>
      <w:pPr>
        <w:spacing w:after="0" w:line="83"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Each Option Agreement, Restricted Stock Agreement, SAR Agreement or 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 Administrator may deem necessary or appropriate in connection with such registration or qualification.</w:t>
      </w:r>
    </w:p>
    <w:p>
      <w:pPr>
        <w:spacing w:after="0" w:line="96"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82" w:lineRule="exact"/>
        <w:rPr>
          <w:rFonts w:ascii="Arial" w:cs="Arial" w:eastAsia="Arial" w:hAnsi="Arial"/>
          <w:sz w:val="18"/>
          <w:szCs w:val="18"/>
          <w:b w:val="1"/>
          <w:bCs w:val="1"/>
          <w:color w:val="auto"/>
        </w:rPr>
      </w:pPr>
    </w:p>
    <w:p>
      <w:pPr>
        <w:ind w:right="40" w:firstLine="464"/>
        <w:spacing w:after="0" w:line="291" w:lineRule="auto"/>
        <w:tabs>
          <w:tab w:leader="none" w:pos="69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Share Adjustments</w:t>
      </w:r>
      <w:r>
        <w:rPr>
          <w:rFonts w:ascii="Arial" w:cs="Arial" w:eastAsia="Arial" w:hAnsi="Arial"/>
          <w:sz w:val="16"/>
          <w:szCs w:val="16"/>
          <w:color w:val="auto"/>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75" w:name="page76"/>
    <w:bookmarkEnd w:id="75"/>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Deferred Stock relates, the exercise price applicable to each outstanding Option and the Grant Value of each outstanding SAR shall be appropriately adjusted as determined by the Administrator.</w:t>
      </w:r>
    </w:p>
    <w:p>
      <w:pPr>
        <w:spacing w:after="0" w:line="118" w:lineRule="exact"/>
        <w:rPr>
          <w:sz w:val="20"/>
          <w:szCs w:val="20"/>
          <w:color w:val="auto"/>
        </w:rPr>
      </w:pPr>
    </w:p>
    <w:p>
      <w:pPr>
        <w:ind w:right="100" w:firstLine="464"/>
        <w:spacing w:after="0" w:line="294" w:lineRule="auto"/>
        <w:tabs>
          <w:tab w:leader="none" w:pos="705"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Acquisitions</w:t>
      </w:r>
      <w:r>
        <w:rPr>
          <w:rFonts w:ascii="Arial" w:cs="Arial" w:eastAsia="Arial" w:hAnsi="Arial"/>
          <w:sz w:val="16"/>
          <w:szCs w:val="16"/>
          <w:color w:val="auto"/>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SARs or Deferred Stock into cash and/or (3) the conversion of Awards into the right to receive securities of another person upon such terms and conditions as are determined by the Administrator in its discretion.</w:t>
      </w:r>
    </w:p>
    <w:p>
      <w:pPr>
        <w:spacing w:after="0" w:line="102" w:lineRule="exact"/>
        <w:rPr>
          <w:rFonts w:ascii="Arial" w:cs="Arial" w:eastAsia="Arial" w:hAnsi="Arial"/>
          <w:sz w:val="16"/>
          <w:szCs w:val="16"/>
          <w:color w:val="auto"/>
        </w:rPr>
      </w:pPr>
    </w:p>
    <w:p>
      <w:pPr>
        <w:ind w:right="80" w:firstLine="464"/>
        <w:spacing w:after="0" w:line="268" w:lineRule="auto"/>
        <w:tabs>
          <w:tab w:leader="none" w:pos="69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adjustment, waiver, conversion or other action taken by the Administrator under this Paragraph 12 shall be conclusive and binding on all Participants.</w:t>
      </w:r>
    </w:p>
    <w:p>
      <w:pPr>
        <w:spacing w:after="0" w:line="112" w:lineRule="exact"/>
        <w:rPr>
          <w:rFonts w:ascii="Arial" w:cs="Arial" w:eastAsia="Arial" w:hAnsi="Arial"/>
          <w:sz w:val="18"/>
          <w:szCs w:val="18"/>
          <w:color w:val="auto"/>
        </w:rPr>
      </w:pPr>
    </w:p>
    <w:p>
      <w:pPr>
        <w:ind w:left="280" w:hanging="272"/>
        <w:spacing w:after="0"/>
        <w:tabs>
          <w:tab w:leader="none" w:pos="2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82" w:lineRule="exact"/>
        <w:rPr>
          <w:rFonts w:ascii="Arial" w:cs="Arial" w:eastAsia="Arial" w:hAnsi="Arial"/>
          <w:sz w:val="18"/>
          <w:szCs w:val="18"/>
          <w:b w:val="1"/>
          <w:bCs w:val="1"/>
          <w:color w:val="auto"/>
        </w:rPr>
      </w:pPr>
    </w:p>
    <w:p>
      <w:pPr>
        <w:ind w:right="60" w:firstLine="464"/>
        <w:spacing w:after="0" w:line="254" w:lineRule="auto"/>
        <w:tabs>
          <w:tab w:leader="none" w:pos="69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Options and SARs</w:t>
      </w:r>
      <w:r>
        <w:rPr>
          <w:rFonts w:ascii="Arial" w:cs="Arial" w:eastAsia="Arial" w:hAnsi="Arial"/>
          <w:sz w:val="18"/>
          <w:szCs w:val="18"/>
          <w:color w:val="auto"/>
        </w:rPr>
        <w:t>. The Company shall be entitled to pay and withhold from any amounts payable by the Company to a Participant the amount of any tax which it believes is 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Market Price on the business day immediately preceding the date the Shares are withheld equal to the amount of the required withholding tax.</w:t>
      </w:r>
    </w:p>
    <w:p>
      <w:pPr>
        <w:spacing w:after="0" w:line="130" w:lineRule="exact"/>
        <w:rPr>
          <w:rFonts w:ascii="Arial" w:cs="Arial" w:eastAsia="Arial" w:hAnsi="Arial"/>
          <w:sz w:val="18"/>
          <w:szCs w:val="18"/>
          <w:color w:val="auto"/>
        </w:rPr>
      </w:pPr>
    </w:p>
    <w:p>
      <w:pPr>
        <w:ind w:right="60" w:firstLine="464"/>
        <w:spacing w:after="0" w:line="291" w:lineRule="auto"/>
        <w:tabs>
          <w:tab w:leader="none" w:pos="70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Market Price on the business day immediately preceding the day on which such Shares are withheld equal to the amount of the required withholding tax.</w:t>
      </w:r>
    </w:p>
    <w:p>
      <w:pPr>
        <w:spacing w:after="0" w:line="106" w:lineRule="exact"/>
        <w:rPr>
          <w:rFonts w:ascii="Arial" w:cs="Arial" w:eastAsia="Arial" w:hAnsi="Arial"/>
          <w:sz w:val="16"/>
          <w:szCs w:val="16"/>
          <w:color w:val="auto"/>
        </w:rPr>
      </w:pPr>
    </w:p>
    <w:p>
      <w:pPr>
        <w:ind w:firstLine="464"/>
        <w:spacing w:after="0" w:line="294" w:lineRule="auto"/>
        <w:tabs>
          <w:tab w:leader="none" w:pos="69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Deferred Stock</w:t>
      </w:r>
      <w:r>
        <w:rPr>
          <w:rFonts w:ascii="Arial" w:cs="Arial" w:eastAsia="Arial" w:hAnsi="Arial"/>
          <w:sz w:val="16"/>
          <w:szCs w:val="16"/>
          <w:color w:val="auto"/>
        </w:rPr>
        <w:t>. The Company shall be entitled to pay and withhold from any amounts payable by the Company to a Participant the amount of any tax which it believes is required as a result of the grant or vesting of any Deferred Stock or the distribution of any Shares or cash payments with respect to Deferred Stock, and the Company may defer making delivery of Shares with respect to Deferred Stock until arrangements satisfactory to the Administrator have been made with respect to any such withholding obligations. A Participant who holds Deferred Stock may, at his or her election, satisfy his or her obligation to pay the required withholding taxes by having the Company withhold from the number of Shares distributable, if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76" w:name="page77"/>
    <w:bookmarkEnd w:id="7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 number of Shares having an aggregate Market Price on the business day immediately preceding the date the Shares are withheld equal to the amount of the required withholding tax.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EFFECTIVENESS OF THE PLAN</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Plan, as approved by the Company’s Executive Compensation Committee and Board of Directors, shall become effective as of the date of such approval, subject to ratification of the Plan by the vote of the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TERMINATION AND AMENDMENT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Unless the Plan shall theretofore have been terminated as hereinafter provided, no Award shall be granted after February 18, 2013.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No termination, modification or amendment of the Plan may, without the consent of the Participant, adversely affect the rights of such Participant under an outstanding Award then held by the Participant.</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Except as otherwise provided in this Plan, the Administrator may amend an outstanding Award or any Stock Option Agreement, Restricted Stock Agreement, SAR Agreement, or Deferred Stock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Participant’s consent to such action shall be required unless the Administrator determines that the action, taking into account any related action, would not materially and adversely affect the Participant. The Administrator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Administrator may not adjust or amend the exercise price of any outstanding Option or SAR, whether through amendment, cancellation and replacement grants, or any other means, except in accordance with Paragraph 12 of the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BENEFIT AND COMPENSATION PROGRAMS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 NO RIGHT TO EMPLOYMENT.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274" w:right="479" w:bottom="1440" w:gutter="0" w:footer="0" w:header="0"/>
        </w:sectPr>
      </w:pPr>
    </w:p>
    <w:bookmarkStart w:id="78" w:name="page79"/>
    <w:bookmarkEnd w:id="78"/>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A</w:t>
      </w:r>
    </w:p>
    <w:p>
      <w:pPr>
        <w:spacing w:after="0" w:line="158" w:lineRule="exact"/>
        <w:rPr>
          <w:sz w:val="20"/>
          <w:szCs w:val="20"/>
          <w:color w:val="auto"/>
        </w:rPr>
      </w:pPr>
    </w:p>
    <w:p>
      <w:pPr>
        <w:ind w:left="172" w:hanging="172"/>
        <w:spacing w:after="0"/>
        <w:tabs>
          <w:tab w:leader="none" w:pos="17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82" w:lineRule="exact"/>
        <w:rPr>
          <w:rFonts w:ascii="Arial" w:cs="Arial" w:eastAsia="Arial" w:hAnsi="Arial"/>
          <w:sz w:val="18"/>
          <w:szCs w:val="18"/>
          <w:b w:val="1"/>
          <w:bCs w:val="1"/>
          <w:color w:val="auto"/>
        </w:rPr>
      </w:pPr>
    </w:p>
    <w:p>
      <w:pPr>
        <w:ind w:left="-8" w:right="220" w:firstLine="464"/>
        <w:spacing w:after="0" w:line="335" w:lineRule="auto"/>
        <w:tabs>
          <w:tab w:leader="none" w:pos="687" w:val="left"/>
        </w:tabs>
        <w:numPr>
          <w:ilvl w:val="1"/>
          <w:numId w:val="73"/>
        </w:numPr>
        <w:rPr>
          <w:rFonts w:ascii="Arial" w:cs="Arial" w:eastAsia="Arial" w:hAnsi="Arial"/>
          <w:sz w:val="15"/>
          <w:szCs w:val="15"/>
          <w:color w:val="auto"/>
        </w:rPr>
      </w:pPr>
      <w:r>
        <w:rPr>
          <w:rFonts w:ascii="Arial" w:cs="Arial" w:eastAsia="Arial" w:hAnsi="Arial"/>
          <w:sz w:val="15"/>
          <w:szCs w:val="15"/>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Board of Inland Revenue is received by the Company.</w:t>
      </w:r>
    </w:p>
    <w:p>
      <w:pPr>
        <w:spacing w:after="0" w:line="74" w:lineRule="exact"/>
        <w:rPr>
          <w:rFonts w:ascii="Arial" w:cs="Arial" w:eastAsia="Arial" w:hAnsi="Arial"/>
          <w:sz w:val="15"/>
          <w:szCs w:val="15"/>
          <w:color w:val="auto"/>
        </w:rPr>
      </w:pPr>
    </w:p>
    <w:p>
      <w:pPr>
        <w:ind w:left="712" w:hanging="256"/>
        <w:spacing w:after="0"/>
        <w:tabs>
          <w:tab w:leader="none" w:pos="712" w:val="left"/>
        </w:tabs>
        <w:numPr>
          <w:ilvl w:val="1"/>
          <w:numId w:val="73"/>
        </w:numPr>
        <w:rPr>
          <w:rFonts w:ascii="Arial" w:cs="Arial" w:eastAsia="Arial" w:hAnsi="Arial"/>
          <w:sz w:val="18"/>
          <w:szCs w:val="18"/>
          <w:color w:val="auto"/>
        </w:rPr>
      </w:pPr>
      <w:r>
        <w:rPr>
          <w:rFonts w:ascii="Arial" w:cs="Arial" w:eastAsia="Arial" w:hAnsi="Arial"/>
          <w:sz w:val="18"/>
          <w:szCs w:val="18"/>
          <w:color w:val="auto"/>
        </w:rPr>
        <w:t>SARs shall not be granted to Employees under the Scheme.</w:t>
      </w:r>
    </w:p>
    <w:p>
      <w:pPr>
        <w:spacing w:after="0" w:line="157" w:lineRule="exact"/>
        <w:rPr>
          <w:rFonts w:ascii="Arial" w:cs="Arial" w:eastAsia="Arial" w:hAnsi="Arial"/>
          <w:sz w:val="18"/>
          <w:szCs w:val="18"/>
          <w:color w:val="auto"/>
        </w:rPr>
      </w:pPr>
    </w:p>
    <w:p>
      <w:pPr>
        <w:ind w:left="692" w:hanging="236"/>
        <w:spacing w:after="0"/>
        <w:tabs>
          <w:tab w:leader="none" w:pos="6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Neither Restricted Stock nor Deferred Stock shall be granted to Employees under the Scheme.</w:t>
      </w:r>
    </w:p>
    <w:p>
      <w:pPr>
        <w:spacing w:after="0" w:line="151"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In this Scheme the following words and expressions have the following meanings except where the context otherwise requires:</w:t>
      </w:r>
    </w:p>
    <w:p>
      <w:pPr>
        <w:spacing w:after="0" w:line="77" w:lineRule="exact"/>
        <w:rPr>
          <w:sz w:val="20"/>
          <w:szCs w:val="20"/>
          <w:color w:val="auto"/>
        </w:rPr>
      </w:pPr>
    </w:p>
    <w:p>
      <w:pPr>
        <w:ind w:left="692" w:hanging="236"/>
        <w:spacing w:after="0"/>
        <w:tabs>
          <w:tab w:leader="none" w:pos="6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 shall mean the Income Tax (Earnings and Pensions) Act 2003.</w:t>
      </w:r>
    </w:p>
    <w:p>
      <w:pPr>
        <w:spacing w:after="0" w:line="157" w:lineRule="exact"/>
        <w:rPr>
          <w:rFonts w:ascii="Arial" w:cs="Arial" w:eastAsia="Arial" w:hAnsi="Arial"/>
          <w:sz w:val="18"/>
          <w:szCs w:val="18"/>
          <w:color w:val="auto"/>
        </w:rPr>
      </w:pPr>
    </w:p>
    <w:p>
      <w:pPr>
        <w:ind w:left="712" w:hanging="256"/>
        <w:spacing w:after="0"/>
        <w:tabs>
          <w:tab w:leader="none" w:pos="7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“Approval” shall mean approval under Schedule 4.</w:t>
      </w:r>
    </w:p>
    <w:p>
      <w:pPr>
        <w:spacing w:after="0" w:line="157" w:lineRule="exact"/>
        <w:rPr>
          <w:rFonts w:ascii="Arial" w:cs="Arial" w:eastAsia="Arial" w:hAnsi="Arial"/>
          <w:sz w:val="18"/>
          <w:szCs w:val="18"/>
          <w:color w:val="auto"/>
        </w:rPr>
      </w:pPr>
    </w:p>
    <w:p>
      <w:pPr>
        <w:ind w:left="692" w:hanging="236"/>
        <w:spacing w:after="0"/>
        <w:tabs>
          <w:tab w:leader="none" w:pos="6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“Approved Scheme” shall mean a share option scheme, other than a savings-related share option scheme, approved under Schedule 4.</w:t>
      </w:r>
    </w:p>
    <w:p>
      <w:pPr>
        <w:spacing w:after="0" w:line="180" w:lineRule="exact"/>
        <w:rPr>
          <w:rFonts w:ascii="Arial" w:cs="Arial" w:eastAsia="Arial" w:hAnsi="Arial"/>
          <w:sz w:val="16"/>
          <w:szCs w:val="16"/>
          <w:color w:val="auto"/>
        </w:rPr>
      </w:pPr>
    </w:p>
    <w:p>
      <w:pPr>
        <w:ind w:left="-8" w:right="180" w:firstLine="464"/>
        <w:spacing w:after="0" w:line="268" w:lineRule="auto"/>
        <w:tabs>
          <w:tab w:leader="none" w:pos="6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“Employee” shall mean any employee of the Company or its Subsidiaries, provided that no person who is precluded from participating in the Scheme by paragraph 9 of Schedule 4 shall be regarded as an Employee.</w:t>
      </w:r>
    </w:p>
    <w:p>
      <w:pPr>
        <w:spacing w:after="0" w:line="118" w:lineRule="exact"/>
        <w:rPr>
          <w:rFonts w:ascii="Arial" w:cs="Arial" w:eastAsia="Arial" w:hAnsi="Arial"/>
          <w:sz w:val="18"/>
          <w:szCs w:val="18"/>
          <w:color w:val="auto"/>
        </w:rPr>
      </w:pPr>
    </w:p>
    <w:p>
      <w:pPr>
        <w:ind w:left="-8" w:firstLine="464"/>
        <w:spacing w:after="0" w:line="255" w:lineRule="auto"/>
        <w:tabs>
          <w:tab w:leader="none" w:pos="6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“Exercise Price” shall mean the Market Price as defined in Paragraph 2(p) of the Main Plan (save that the proviso to that Paragraph 2(p) shall not apply) for the business day immediately preceding the date of grant of an Option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the Shares Valuation Division of the Board of Inland Revenue, provided that the Exercise Price shall not be less than the par value of a Share.</w:t>
      </w:r>
    </w:p>
    <w:p>
      <w:pPr>
        <w:spacing w:after="0" w:line="129" w:lineRule="exact"/>
        <w:rPr>
          <w:rFonts w:ascii="Arial" w:cs="Arial" w:eastAsia="Arial" w:hAnsi="Arial"/>
          <w:sz w:val="18"/>
          <w:szCs w:val="18"/>
          <w:color w:val="auto"/>
        </w:rPr>
      </w:pPr>
    </w:p>
    <w:p>
      <w:pPr>
        <w:ind w:left="-8" w:right="220" w:firstLine="464"/>
        <w:spacing w:after="0" w:line="259" w:lineRule="auto"/>
        <w:tabs>
          <w:tab w:leader="none" w:pos="6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“PAYE Liability” shall mean the amount of any taxes and/or primary class 1 national insurance contributions or other social security taxes which the Company or any of its Subsidiaries would be required to account for to the Inland Revenue or other taxation authority by reference to the exercise of an Option and, if so required by and agreed with the Company,</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4" w:right="239" w:bottom="1440" w:gutter="0" w:footer="0" w:header="0"/>
        </w:sectPr>
      </w:pPr>
    </w:p>
    <w:bookmarkStart w:id="79" w:name="page80"/>
    <w:bookmarkEnd w:id="79"/>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secondary class 1 national insurance contributions which the Company or any of its Subsidiaries would be required to account for to the Inland Revenue on exercise of an Option.</w:t>
      </w:r>
    </w:p>
    <w:p>
      <w:pPr>
        <w:spacing w:after="0" w:line="118" w:lineRule="exact"/>
        <w:rPr>
          <w:sz w:val="20"/>
          <w:szCs w:val="20"/>
          <w:color w:val="auto"/>
        </w:rPr>
      </w:pPr>
    </w:p>
    <w:p>
      <w:pPr>
        <w:ind w:left="720" w:hanging="256"/>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“Redundancy” shall mean dismissal by reason of redundancy within the meaning of the Employment Rights Act 1996.</w:t>
      </w:r>
    </w:p>
    <w:p>
      <w:pPr>
        <w:spacing w:after="0" w:line="157"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“Revenue Limit” shall mean £30,000 or such other amount as may from time to time be the appropriate limit for the purpose of paragraph 6(1) of Schedule 4.</w:t>
      </w:r>
    </w:p>
    <w:p>
      <w:pPr>
        <w:spacing w:after="0" w:line="118" w:lineRule="exact"/>
        <w:rPr>
          <w:rFonts w:ascii="Arial" w:cs="Arial" w:eastAsia="Arial" w:hAnsi="Arial"/>
          <w:sz w:val="18"/>
          <w:szCs w:val="18"/>
          <w:color w:val="auto"/>
        </w:rPr>
      </w:pPr>
    </w:p>
    <w:p>
      <w:pPr>
        <w:ind w:left="680" w:hanging="216"/>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“Schedule 4” shall mean Schedule 4 to the Act.</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 shall mean $0.01 par value common stock of the Company which satisfies the conditions of paragraphs 15 to 20 of Schedule 4.</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“Subsidiary” shall mean a company which is for the time being a subsidiary of the Company within the meaning of Section 736 of the Companies Act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1985.</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words or expressions, so far as not inconsistent with the context, have the same meanings as in Schedule 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reference to a statutory provision shall be deemed to include that provision as the same may from time to time hereafter be amended or re-enacted.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LIMITS</w:t>
      </w:r>
    </w:p>
    <w:p>
      <w:pPr>
        <w:spacing w:after="0" w:line="8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93"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TERMS OF OPTIONS</w:t>
      </w:r>
    </w:p>
    <w:p>
      <w:pPr>
        <w:spacing w:after="0" w:line="82" w:lineRule="exact"/>
        <w:rPr>
          <w:rFonts w:ascii="Arial" w:cs="Arial" w:eastAsia="Arial" w:hAnsi="Arial"/>
          <w:sz w:val="18"/>
          <w:szCs w:val="18"/>
          <w:b w:val="1"/>
          <w:bCs w:val="1"/>
          <w:color w:val="auto"/>
        </w:rPr>
      </w:pPr>
    </w:p>
    <w:p>
      <w:pPr>
        <w:ind w:firstLine="464"/>
        <w:spacing w:after="0" w:line="259" w:lineRule="auto"/>
        <w:tabs>
          <w:tab w:leader="none" w:pos="695"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pacing w:after="0" w:line="126" w:lineRule="exact"/>
        <w:rPr>
          <w:rFonts w:ascii="Arial" w:cs="Arial" w:eastAsia="Arial" w:hAnsi="Arial"/>
          <w:sz w:val="18"/>
          <w:szCs w:val="18"/>
          <w:color w:val="auto"/>
        </w:rPr>
      </w:pPr>
    </w:p>
    <w:p>
      <w:pPr>
        <w:ind w:right="420" w:firstLine="464"/>
        <w:spacing w:after="0" w:line="268" w:lineRule="auto"/>
        <w:tabs>
          <w:tab w:leader="none" w:pos="69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 Option granted under the Scheme shall not be exercised by a Holder at any time when he is ineligible to participate by virtue of paragraph 9 of Schedule 4.</w:t>
      </w:r>
    </w:p>
    <w:p>
      <w:pPr>
        <w:spacing w:after="0" w:line="118" w:lineRule="exact"/>
        <w:rPr>
          <w:rFonts w:ascii="Arial" w:cs="Arial" w:eastAsia="Arial" w:hAnsi="Arial"/>
          <w:sz w:val="18"/>
          <w:szCs w:val="18"/>
          <w:color w:val="auto"/>
        </w:rPr>
      </w:pPr>
    </w:p>
    <w:p>
      <w:pPr>
        <w:jc w:val="both"/>
        <w:ind w:right="40" w:firstLine="464"/>
        <w:spacing w:after="0" w:line="259" w:lineRule="auto"/>
        <w:tabs>
          <w:tab w:leader="none" w:pos="69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For purposes of this Scheme, Subparagraph 7(g)(1) of the Main Plan shall read:</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“Any person who ceases to be an Employee due to retirement on or after such person’s normal retirement date (as defined in the Manpower Inc. Retirement Plan or any successor plan providing retirement benefits) or due to early retirement with the consent of the Administrator shall have three (3) years from the date of such cessation to exercise any Option granted hereunder as to all or part of the Shares subject to 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Option shall be exercisable subsequent to ten (10) years after its date of grant or one (1) year after the date of the Participant’s death, and provided further that on the date the Participant ceases to be an Employee, he or she then has a present right to exercise such Option.”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For purposes of this Scheme, Subparagraph 7(g)(2) of the Main Plan shall read:</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“Any person who ceases to be an Employee due to Disability, injury, Redundancy, or his or her employer ceasing to be a Subsidiary or the operating division by which he or she is employed being disposed of by a Subsidiary or the Company shall have:</w:t>
      </w:r>
    </w:p>
    <w:p>
      <w:pPr>
        <w:spacing w:after="0" w:line="37" w:lineRule="exact"/>
        <w:rPr>
          <w:sz w:val="20"/>
          <w:szCs w:val="20"/>
          <w:color w:val="auto"/>
        </w:rPr>
      </w:pPr>
    </w:p>
    <w:p>
      <w:pPr>
        <w:jc w:val="both"/>
        <w:ind w:left="460" w:right="20" w:firstLine="443"/>
        <w:spacing w:after="0" w:line="298" w:lineRule="auto"/>
        <w:tabs>
          <w:tab w:leader="none" w:pos="1186"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Three (3) years from the date of such cessation due to Disability to exercise any Option granted hereunder as to all or part of the Shares subject to such Option, to the extent that such person then has a present right to exercise such Option or would have become entitled to exercise such Option had such person remained an Employee during such three-year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Option shall be exercisable subsequent to ten (10) years after its date of grant or one (1) year after the date of the Participant’s death; and</w:t>
      </w:r>
    </w:p>
    <w:p>
      <w:pPr>
        <w:spacing w:after="0" w:line="18" w:lineRule="exact"/>
        <w:rPr>
          <w:rFonts w:ascii="Arial" w:cs="Arial" w:eastAsia="Arial" w:hAnsi="Arial"/>
          <w:sz w:val="16"/>
          <w:szCs w:val="16"/>
          <w:color w:val="auto"/>
        </w:rPr>
      </w:pPr>
    </w:p>
    <w:p>
      <w:pPr>
        <w:ind w:left="460" w:right="80" w:firstLine="443"/>
        <w:spacing w:after="0" w:line="303" w:lineRule="auto"/>
        <w:tabs>
          <w:tab w:leader="none" w:pos="1176" w:val="left"/>
        </w:tabs>
        <w:numPr>
          <w:ilvl w:val="1"/>
          <w:numId w:val="77"/>
        </w:numPr>
        <w:rPr>
          <w:rFonts w:ascii="Arial" w:cs="Arial" w:eastAsia="Arial" w:hAnsi="Arial"/>
          <w:sz w:val="15"/>
          <w:szCs w:val="15"/>
          <w:color w:val="auto"/>
        </w:rPr>
      </w:pPr>
      <w:r>
        <w:rPr>
          <w:rFonts w:ascii="Arial" w:cs="Arial" w:eastAsia="Arial" w:hAnsi="Arial"/>
          <w:sz w:val="15"/>
          <w:szCs w:val="15"/>
          <w:color w:val="auto"/>
        </w:rPr>
        <w:t xml:space="preserve">Eighteen (18) months from the date of such cessation due to injury, Redundancy, or his or her employer ceasing to be a Subsidiary or the operating division by which he or she is employed being disposed of by a Subsidiary or the Company to exercise any Option granted hereunder as to all or part of the Shares subject to such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Option shall be exercisable subsequent to ten (10) years after its date of grant or one</w:t>
      </w:r>
    </w:p>
    <w:p>
      <w:pPr>
        <w:spacing w:after="0" w:line="1" w:lineRule="exact"/>
        <w:rPr>
          <w:rFonts w:ascii="Arial" w:cs="Arial" w:eastAsia="Arial" w:hAnsi="Arial"/>
          <w:sz w:val="15"/>
          <w:szCs w:val="15"/>
          <w:color w:val="auto"/>
        </w:rPr>
      </w:pPr>
    </w:p>
    <w:p>
      <w:pPr>
        <w:ind w:left="460" w:right="300" w:firstLine="4"/>
        <w:spacing w:after="0" w:line="261" w:lineRule="auto"/>
        <w:tabs>
          <w:tab w:leader="none" w:pos="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year after the date of the Participant’s death, and provided further that on the date that person ceases to be an Employee, he or she then has a present right to exercise such Option”.</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For purposes of this Scheme, Subparagraph 7(g)(3) shall read: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the event of the death of an Employee while an Employee, any Option, as to all or any part of the Shares subject to the Option, granted to such</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shall be exercisable:</w:t>
      </w:r>
    </w:p>
    <w:p>
      <w:pPr>
        <w:spacing w:after="0" w:line="70" w:lineRule="exact"/>
        <w:rPr>
          <w:sz w:val="20"/>
          <w:szCs w:val="20"/>
          <w:color w:val="auto"/>
        </w:rPr>
      </w:pPr>
    </w:p>
    <w:p>
      <w:pPr>
        <w:ind w:left="1200" w:hanging="297"/>
        <w:spacing w:after="0"/>
        <w:tabs>
          <w:tab w:leader="none" w:pos="1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one (1) year from the date of the Employee’s death, but in no event later than ten (10) years from its date of grant;</w:t>
      </w:r>
    </w:p>
    <w:p>
      <w:pPr>
        <w:spacing w:after="0" w:line="76" w:lineRule="exact"/>
        <w:rPr>
          <w:rFonts w:ascii="Arial" w:cs="Arial" w:eastAsia="Arial" w:hAnsi="Arial"/>
          <w:sz w:val="18"/>
          <w:szCs w:val="18"/>
          <w:color w:val="auto"/>
        </w:rPr>
      </w:pPr>
    </w:p>
    <w:p>
      <w:pPr>
        <w:ind w:left="1180" w:hanging="277"/>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Only by the personal representative, administrator or the representative of the estate of the deceased Employee; and</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176"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Only to the extent that the deceased Employee would have been entitled to exercise such Option on the date of the Employee’s death or would have become entitled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81" w:name="page82"/>
    <w:bookmarkEnd w:id="81"/>
    <w:p>
      <w:pPr>
        <w:ind w:left="460" w:right="66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exercise such Option had the deceased Employee remained employed during a period of three (3) years from the date of the Employee’s death.” (g) For purposes of this Scheme, Subparagraph 7(g)(5) of the Main Plan shall read:</w:t>
      </w:r>
    </w:p>
    <w:p>
      <w:pPr>
        <w:spacing w:after="0" w:line="1" w:lineRule="exact"/>
        <w:rPr>
          <w:sz w:val="20"/>
          <w:szCs w:val="20"/>
          <w:color w:val="auto"/>
        </w:rPr>
      </w:pPr>
    </w:p>
    <w:p>
      <w:pPr>
        <w:ind w:left="460" w:right="120" w:firstLine="438"/>
        <w:spacing w:after="0" w:line="254" w:lineRule="auto"/>
        <w:rPr>
          <w:sz w:val="20"/>
          <w:szCs w:val="20"/>
          <w:color w:val="auto"/>
        </w:rPr>
      </w:pPr>
      <w:r>
        <w:rPr>
          <w:rFonts w:ascii="Arial" w:cs="Arial" w:eastAsia="Arial" w:hAnsi="Arial"/>
          <w:sz w:val="18"/>
          <w:szCs w:val="18"/>
          <w:color w:val="auto"/>
        </w:rPr>
        <w:t xml:space="preserve">“If a person ceases to be an Employee for a reason other than those specified above, that person shall have eighteen (18) months from the date of such cessation to exercise any Option granted hereunder as to all or part of the Shares subject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For purposes of this Scheme, Subparagraph 7(h) of the Main Plan shall read:</w:t>
      </w:r>
    </w:p>
    <w:p>
      <w:pPr>
        <w:spacing w:after="0" w:line="77" w:lineRule="exact"/>
        <w:rPr>
          <w:sz w:val="20"/>
          <w:szCs w:val="20"/>
          <w:color w:val="auto"/>
        </w:rPr>
      </w:pPr>
    </w:p>
    <w:p>
      <w:pPr>
        <w:ind w:left="460" w:right="20" w:firstLine="438"/>
        <w:spacing w:after="0" w:line="306" w:lineRule="auto"/>
        <w:rPr>
          <w:sz w:val="20"/>
          <w:szCs w:val="20"/>
          <w:color w:val="auto"/>
        </w:rPr>
      </w:pPr>
      <w:r>
        <w:rPr>
          <w:rFonts w:ascii="Arial" w:cs="Arial" w:eastAsia="Arial" w:hAnsi="Arial"/>
          <w:sz w:val="16"/>
          <w:szCs w:val="16"/>
          <w:color w:val="auto"/>
        </w:rPr>
        <w:t xml:space="preserve">“The Administrator may in its sole discretion, acting fairly and reasonably, increase the periods permitted for exercise of an Option as provided in Subparagraphs 7(g)(1), (2), and (5)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 Option be exercisable subsequent to ten (10) years after its date of grant, and provided further that such Option is exercised within one (1) year after the date of the Participant’s death.”</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For purposes of this Scheme, Paragraph 13(a) of the Main Plan shall read:</w:t>
      </w:r>
    </w:p>
    <w:p>
      <w:pPr>
        <w:spacing w:after="0" w:line="77"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Board of Inland Revenue.”</w:t>
      </w:r>
    </w:p>
    <w:p>
      <w:pPr>
        <w:spacing w:after="0" w:line="131" w:lineRule="exact"/>
        <w:rPr>
          <w:sz w:val="20"/>
          <w:szCs w:val="20"/>
          <w:color w:val="auto"/>
        </w:rPr>
      </w:pPr>
    </w:p>
    <w:p>
      <w:pPr>
        <w:ind w:left="680" w:hanging="216"/>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second paragraph of Paragraph 15 of the Main Plan providing for the amendment of outstanding Options shall not apply for purposes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Scheme.</w:t>
      </w:r>
    </w:p>
    <w:p>
      <w:pPr>
        <w:spacing w:after="0" w:line="151" w:lineRule="exact"/>
        <w:rPr>
          <w:rFonts w:ascii="Arial" w:cs="Arial" w:eastAsia="Arial" w:hAnsi="Arial"/>
          <w:sz w:val="16"/>
          <w:szCs w:val="16"/>
          <w:color w:val="auto"/>
        </w:rPr>
      </w:pPr>
    </w:p>
    <w:p>
      <w:pPr>
        <w:ind w:right="180" w:firstLine="464"/>
        <w:spacing w:after="0" w:line="306" w:lineRule="auto"/>
        <w:tabs>
          <w:tab w:leader="none" w:pos="7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Shares are to be issued to the Participant following the exercise of an Option, such Shares shall be issued to the Participant within 30 days of the Option being exercised. If Shares are to be purchased on the open market for the Participant following a Participant’s exercise of an Option, such purchase must be made and the Shares must be transferred to the Participant within 30 days of the Option being exercised.</w:t>
      </w:r>
    </w:p>
    <w:p>
      <w:pPr>
        <w:spacing w:after="0" w:line="93" w:lineRule="exact"/>
        <w:rPr>
          <w:rFonts w:ascii="Arial" w:cs="Arial" w:eastAsia="Arial" w:hAnsi="Arial"/>
          <w:sz w:val="16"/>
          <w:szCs w:val="16"/>
          <w:color w:val="auto"/>
        </w:rPr>
      </w:pPr>
    </w:p>
    <w:p>
      <w:pPr>
        <w:ind w:left="680" w:hanging="216"/>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Shares issued on the exercise of an Option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Shares in issue on the date of allotment.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82" w:name="page83"/>
    <w:bookmarkEnd w:id="82"/>
    <w:p>
      <w:pPr>
        <w:ind w:left="180" w:hanging="172"/>
        <w:spacing w:after="0"/>
        <w:tabs>
          <w:tab w:leader="none" w:pos="1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ADJUSTMENTS</w:t>
      </w:r>
    </w:p>
    <w:p>
      <w:pPr>
        <w:spacing w:after="0" w:line="82"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The adjustment provisions relevant to Options in Paragraph 12(a) of the Main Plan shall apply for the purposes of this Scheme in so far as (i) Paragraph 12(a) of the Main Plan meets the provisions of Paragraph 22(3) of Schedule 4 and (ii)there is a variation of the share capital of the Company within the meaning of Paragraph 22(3) of Schedule 4,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adjustment to any Options granted under this Scheme shall be made without the prior approval of the Board of Inland Revenue.</w:t>
      </w:r>
    </w:p>
    <w:p>
      <w:pPr>
        <w:spacing w:after="0" w:line="129" w:lineRule="exact"/>
        <w:rPr>
          <w:rFonts w:ascii="Arial" w:cs="Arial" w:eastAsia="Arial" w:hAnsi="Arial"/>
          <w:sz w:val="18"/>
          <w:szCs w:val="18"/>
          <w:color w:val="auto"/>
        </w:rPr>
      </w:pPr>
    </w:p>
    <w:p>
      <w:pPr>
        <w:ind w:right="40" w:firstLine="464"/>
        <w:spacing w:after="0" w:line="268" w:lineRule="auto"/>
        <w:tabs>
          <w:tab w:leader="none" w:pos="7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discretion exercised by the Administrator in respect of the waiving of any vesting requirements pursuant to Paragraph 12(b) of the Main Plan shall be exercised fairly and reasonably.</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For purposes of this Scheme, the provision in Paragraph 12(b)(2) of the Main Plan allowing for the conversion of outstanding Options into cash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apply.</w:t>
      </w:r>
    </w:p>
    <w:p>
      <w:pPr>
        <w:spacing w:after="0" w:line="151" w:lineRule="exact"/>
        <w:rPr>
          <w:rFonts w:ascii="Arial" w:cs="Arial" w:eastAsia="Arial" w:hAnsi="Arial"/>
          <w:sz w:val="16"/>
          <w:szCs w:val="16"/>
          <w:color w:val="auto"/>
        </w:rPr>
      </w:pPr>
    </w:p>
    <w:p>
      <w:pPr>
        <w:ind w:right="60" w:firstLine="464"/>
        <w:spacing w:after="0" w:line="268" w:lineRule="auto"/>
        <w:tabs>
          <w:tab w:leader="none" w:pos="7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purposes of this Scheme, the provisions in Paragraph 12(b)(3) of the Main Plan allowing for the conversion of outstanding Awards into the right to receive securities of another person shall not apply.</w:t>
      </w:r>
    </w:p>
    <w:p>
      <w:pPr>
        <w:spacing w:after="0" w:line="112" w:lineRule="exact"/>
        <w:rPr>
          <w:rFonts w:ascii="Arial" w:cs="Arial" w:eastAsia="Arial" w:hAnsi="Arial"/>
          <w:sz w:val="18"/>
          <w:szCs w:val="18"/>
          <w:color w:val="auto"/>
        </w:rPr>
      </w:pPr>
    </w:p>
    <w:p>
      <w:pPr>
        <w:ind w:left="180" w:hanging="172"/>
        <w:spacing w:after="0"/>
        <w:tabs>
          <w:tab w:leader="none" w:pos="1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EXCHANGE OF OPTIONS</w:t>
      </w:r>
    </w:p>
    <w:p>
      <w:pPr>
        <w:spacing w:after="0" w:line="82" w:lineRule="exact"/>
        <w:rPr>
          <w:rFonts w:ascii="Arial" w:cs="Arial" w:eastAsia="Arial" w:hAnsi="Arial"/>
          <w:sz w:val="18"/>
          <w:szCs w:val="18"/>
          <w:b w:val="1"/>
          <w:bCs w:val="1"/>
          <w:color w:val="auto"/>
        </w:rPr>
      </w:pPr>
    </w:p>
    <w:p>
      <w:pPr>
        <w:ind w:left="700" w:hanging="236"/>
        <w:spacing w:after="0"/>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provisions of this Paragraph 6 apply if a company (the “Acquiring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obtains control of the Company as a result of making a general offer to acquire:</w:t>
      </w:r>
    </w:p>
    <w:p>
      <w:pPr>
        <w:spacing w:after="0" w:line="76" w:lineRule="exact"/>
        <w:rPr>
          <w:rFonts w:ascii="Arial" w:cs="Arial" w:eastAsia="Arial" w:hAnsi="Arial"/>
          <w:sz w:val="18"/>
          <w:szCs w:val="18"/>
          <w:color w:val="auto"/>
        </w:rPr>
      </w:pPr>
    </w:p>
    <w:p>
      <w:pPr>
        <w:ind w:left="920" w:right="160" w:firstLine="421"/>
        <w:spacing w:after="0" w:line="325" w:lineRule="auto"/>
        <w:tabs>
          <w:tab w:leader="none" w:pos="1627" w:val="left"/>
        </w:tabs>
        <w:numPr>
          <w:ilvl w:val="3"/>
          <w:numId w:val="81"/>
        </w:numPr>
        <w:rPr>
          <w:rFonts w:ascii="Arial" w:cs="Arial" w:eastAsia="Arial" w:hAnsi="Arial"/>
          <w:sz w:val="16"/>
          <w:szCs w:val="16"/>
          <w:color w:val="auto"/>
        </w:rPr>
      </w:pPr>
      <w:r>
        <w:rPr>
          <w:rFonts w:ascii="Arial" w:cs="Arial" w:eastAsia="Arial" w:hAnsi="Arial"/>
          <w:sz w:val="16"/>
          <w:szCs w:val="16"/>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1" w:lineRule="exact"/>
        <w:rPr>
          <w:rFonts w:ascii="Arial" w:cs="Arial" w:eastAsia="Arial" w:hAnsi="Arial"/>
          <w:sz w:val="16"/>
          <w:szCs w:val="16"/>
          <w:color w:val="auto"/>
        </w:rPr>
      </w:pPr>
    </w:p>
    <w:p>
      <w:pPr>
        <w:ind w:left="1620" w:hanging="279"/>
        <w:spacing w:after="0"/>
        <w:tabs>
          <w:tab w:leader="none" w:pos="1620" w:val="left"/>
        </w:tabs>
        <w:numPr>
          <w:ilvl w:val="3"/>
          <w:numId w:val="81"/>
        </w:numPr>
        <w:rPr>
          <w:rFonts w:ascii="Arial" w:cs="Arial" w:eastAsia="Arial" w:hAnsi="Arial"/>
          <w:sz w:val="18"/>
          <w:szCs w:val="18"/>
          <w:color w:val="auto"/>
        </w:rPr>
      </w:pPr>
      <w:r>
        <w:rPr>
          <w:rFonts w:ascii="Arial" w:cs="Arial" w:eastAsia="Arial" w:hAnsi="Arial"/>
          <w:sz w:val="18"/>
          <w:szCs w:val="18"/>
          <w:color w:val="auto"/>
        </w:rPr>
        <w:t>all the Shares (or those Shares not already owned by the Acquiring Company or its subsidiary or holding company);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2"/>
          <w:numId w:val="81"/>
        </w:numPr>
        <w:rPr>
          <w:rFonts w:ascii="Arial" w:cs="Arial" w:eastAsia="Arial" w:hAnsi="Arial"/>
          <w:sz w:val="16"/>
          <w:szCs w:val="16"/>
          <w:color w:val="auto"/>
        </w:rPr>
      </w:pPr>
      <w:r>
        <w:rPr>
          <w:rFonts w:ascii="Arial" w:cs="Arial" w:eastAsia="Arial" w:hAnsi="Arial"/>
          <w:sz w:val="16"/>
          <w:szCs w:val="16"/>
          <w:color w:val="auto"/>
        </w:rPr>
        <w:t>obtains control of the Company under a compromise or arrangement sanctioned by the court under Section 425 of the Companies Act 1985;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becomes bound or entitled to acquire Shares under Sections 428 to 430F of the Companies Act 1985; or</w:t>
      </w:r>
    </w:p>
    <w:p>
      <w:pPr>
        <w:spacing w:after="0" w:line="76" w:lineRule="exact"/>
        <w:rPr>
          <w:rFonts w:ascii="Arial" w:cs="Arial" w:eastAsia="Arial" w:hAnsi="Arial"/>
          <w:sz w:val="18"/>
          <w:szCs w:val="18"/>
          <w:color w:val="auto"/>
        </w:rPr>
      </w:pPr>
    </w:p>
    <w:p>
      <w:pPr>
        <w:jc w:val="both"/>
        <w:ind w:left="460" w:right="320" w:firstLine="443"/>
        <w:spacing w:after="0" w:line="370" w:lineRule="auto"/>
        <w:tabs>
          <w:tab w:leader="none" w:pos="1147" w:val="left"/>
        </w:tabs>
        <w:numPr>
          <w:ilvl w:val="2"/>
          <w:numId w:val="81"/>
        </w:numPr>
        <w:rPr>
          <w:rFonts w:ascii="Arial" w:cs="Arial" w:eastAsia="Arial" w:hAnsi="Arial"/>
          <w:sz w:val="15"/>
          <w:szCs w:val="15"/>
          <w:color w:val="auto"/>
        </w:rPr>
      </w:pPr>
      <w:r>
        <w:rPr>
          <w:rFonts w:ascii="Arial" w:cs="Arial" w:eastAsia="Arial" w:hAnsi="Arial"/>
          <w:sz w:val="15"/>
          <w:szCs w:val="15"/>
          <w:color w:val="auto"/>
        </w:rPr>
        <w:t>obtains control of the Company as a result of a general offer to acquire the whole of the general capital of the Company pursuant to an action agreed in advance with the Board of the Inland Revenue as comparable with any action set out in Paragraphs 6(a)(1), 6(a)(2) or 6(a)(3) of this Scheme.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83" w:name="page84"/>
    <w:bookmarkEnd w:id="83"/>
    <w:p>
      <w:pPr>
        <w:ind w:right="260" w:firstLine="464"/>
        <w:spacing w:after="0" w:line="268" w:lineRule="auto"/>
        <w:tabs>
          <w:tab w:leader="none" w:pos="70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w:t>
      </w:r>
      <w:r>
        <w:rPr>
          <w:rFonts w:ascii="Arial" w:cs="Arial" w:eastAsia="Arial" w:hAnsi="Arial"/>
          <w:sz w:val="18"/>
          <w:szCs w:val="18"/>
          <w:color w:val="auto"/>
        </w:rPr>
        <w:t xml:space="preserve"> If the provisions of this Paragraph 6 apply, Options may be exchanged by a Participant within the period referred to in paragraph 26(3) of Schedule 4 by agreement with the company offering the exchange.</w:t>
      </w:r>
    </w:p>
    <w:p>
      <w:pPr>
        <w:spacing w:after="0" w:line="118" w:lineRule="exact"/>
        <w:rPr>
          <w:rFonts w:ascii="Arial" w:cs="Arial" w:eastAsia="Arial" w:hAnsi="Arial"/>
          <w:sz w:val="18"/>
          <w:szCs w:val="18"/>
          <w:color w:val="auto"/>
        </w:rPr>
      </w:pPr>
    </w:p>
    <w:p>
      <w:pPr>
        <w:ind w:right="280" w:firstLine="464"/>
        <w:spacing w:after="0" w:line="268" w:lineRule="auto"/>
        <w:tabs>
          <w:tab w:leader="none" w:pos="69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Exchange terms.</w:t>
      </w:r>
      <w:r>
        <w:rPr>
          <w:rFonts w:ascii="Arial" w:cs="Arial" w:eastAsia="Arial" w:hAnsi="Arial"/>
          <w:sz w:val="18"/>
          <w:szCs w:val="18"/>
          <w:color w:val="auto"/>
        </w:rPr>
        <w:t xml:space="preserve"> Where an Option is to be exchanged the Participant will be granted a new option to replace it. Where a Participant is granted a new option then:</w:t>
      </w:r>
    </w:p>
    <w:p>
      <w:pPr>
        <w:spacing w:after="0" w:line="37"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new option will be in respect of shares in any body corporate determined by the company offering the exchange as long as they satisfy the conditions of paragraph 27(4) of Schedule 4;</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new option will be equivalent to the Option that was exchanged;</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new option will be treated as having been acquired at the same time as the Option that was exchanged and will be exercisable in the same manner and at the same time;</w:t>
      </w:r>
    </w:p>
    <w:p>
      <w:pPr>
        <w:spacing w:after="0" w:line="37" w:lineRule="exact"/>
        <w:rPr>
          <w:rFonts w:ascii="Arial" w:cs="Arial" w:eastAsia="Arial" w:hAnsi="Arial"/>
          <w:sz w:val="18"/>
          <w:szCs w:val="18"/>
          <w:color w:val="auto"/>
        </w:rPr>
      </w:pPr>
    </w:p>
    <w:p>
      <w:pPr>
        <w:ind w:left="460" w:right="600" w:firstLine="443"/>
        <w:spacing w:after="0" w:line="268" w:lineRule="auto"/>
        <w:tabs>
          <w:tab w:leader="none" w:pos="1147"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new option will be subject to the provisions of the Main Plan and this Scheme as they last had effect in relation to the Option that was exchanged; and</w:t>
      </w:r>
    </w:p>
    <w:p>
      <w:pPr>
        <w:spacing w:after="0" w:line="37"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2"/>
          <w:numId w:val="82"/>
        </w:numPr>
        <w:rPr>
          <w:rFonts w:ascii="Arial" w:cs="Arial" w:eastAsia="Arial" w:hAnsi="Arial"/>
          <w:sz w:val="18"/>
          <w:szCs w:val="18"/>
          <w:color w:val="auto"/>
        </w:rPr>
      </w:pPr>
      <w:r>
        <w:rPr>
          <w:rFonts w:ascii="Arial" w:cs="Arial" w:eastAsia="Arial" w:hAnsi="Arial"/>
          <w:sz w:val="18"/>
          <w:szCs w:val="18"/>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120" w:lineRule="exact"/>
        <w:rPr>
          <w:rFonts w:ascii="Arial" w:cs="Arial" w:eastAsia="Arial" w:hAnsi="Arial"/>
          <w:sz w:val="18"/>
          <w:szCs w:val="18"/>
          <w:color w:val="auto"/>
        </w:rPr>
      </w:pPr>
    </w:p>
    <w:p>
      <w:pPr>
        <w:ind w:left="180" w:hanging="172"/>
        <w:spacing w:after="0"/>
        <w:tabs>
          <w:tab w:leader="none" w:pos="1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OR AMENDMENT</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Scheme shall be administered under the direction of the Administrator as set out in the Main Plan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so long as the Administrator determines that the Scheme is to be an Approved Scheme, no amendment for which prior approval by the Board of Inland Revenue is required under the Act shall be made without the prior approval of the Board of Inland Revenue.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10.17(c)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Regarding the Grant of Awards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Non-Employee Directors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15,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 the following terms shall have the meanings set forth below:</w:t>
      </w:r>
    </w:p>
    <w:p>
      <w:pPr>
        <w:spacing w:after="0" w:line="77" w:lineRule="exact"/>
        <w:rPr>
          <w:sz w:val="20"/>
          <w:szCs w:val="20"/>
          <w:color w:val="auto"/>
        </w:rPr>
      </w:pPr>
    </w:p>
    <w:p>
      <w:pPr>
        <w:ind w:right="220" w:firstLine="464"/>
        <w:spacing w:after="0" w:line="306"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“Average Trading Price” shall mean the average of the Market Prices on the last trading day of each full or partial calendar quarter covered by an Election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the Election Period beginning on July 29, 2003, “Average Trading Price” shall mean the average of the Market Price on November 7, 2003 and the Market Price on the last trading day of the last full or partial calendar quarter covered by that Election Period.</w:t>
      </w:r>
    </w:p>
    <w:p>
      <w:pPr>
        <w:spacing w:after="0" w:line="93" w:lineRule="exact"/>
        <w:rPr>
          <w:rFonts w:ascii="Arial" w:cs="Arial" w:eastAsia="Arial" w:hAnsi="Arial"/>
          <w:sz w:val="16"/>
          <w:szCs w:val="16"/>
          <w:color w:val="auto"/>
        </w:rPr>
      </w:pPr>
    </w:p>
    <w:p>
      <w:pPr>
        <w:ind w:firstLine="464"/>
        <w:spacing w:after="0" w:line="249" w:lineRule="auto"/>
        <w:tabs>
          <w:tab w:leader="none" w:pos="70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“Commencement Date” shall mean, with respect to Directors in office as of July 29, 2003, July 29, 2003 and thereafter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any year, shall mean, with respect to Directors appointed to the Board of Directors after July 29, 2003, the date of the Director’s initial appointment to the Board of Directors and thereafter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any year, and shall mean, with respect to individuals who were Employee members of the Board of Directors and who become Directors after July 29, 2003, the date on which such individual becomes a Director and thereafter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any year.</w:t>
      </w:r>
    </w:p>
    <w:p>
      <w:pPr>
        <w:spacing w:after="0" w:line="58" w:lineRule="exact"/>
        <w:rPr>
          <w:rFonts w:ascii="Arial" w:cs="Arial" w:eastAsia="Arial" w:hAnsi="Arial"/>
          <w:sz w:val="17"/>
          <w:szCs w:val="17"/>
          <w:color w:val="auto"/>
        </w:rPr>
      </w:pPr>
    </w:p>
    <w:p>
      <w:pPr>
        <w:ind w:right="420" w:firstLine="464"/>
        <w:spacing w:after="0" w:line="292"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“Election Period” shall mean a period of time beginning on a Commencement Date and ending on the earlier of (a) the date of termination of a Director’s tenure as a Director or (b) the next succeeding December 31</w:t>
      </w:r>
      <w:r>
        <w:rPr>
          <w:rFonts w:ascii="Arial" w:cs="Arial" w:eastAsia="Arial" w:hAnsi="Arial"/>
          <w:sz w:val="22"/>
          <w:szCs w:val="22"/>
          <w:color w:val="auto"/>
          <w:vertAlign w:val="superscript"/>
        </w:rPr>
        <w:t>st</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“Equity Plan” shall mean the 2003 Equity Incentive Plan of Manpower Inc.</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“Option” shall mean a Nonstatutory Stock Option granted under the Equity Plan.</w:t>
      </w:r>
    </w:p>
    <w:p>
      <w:pPr>
        <w:spacing w:after="0" w:line="157" w:lineRule="exact"/>
        <w:rPr>
          <w:rFonts w:ascii="Arial" w:cs="Arial" w:eastAsia="Arial" w:hAnsi="Arial"/>
          <w:sz w:val="18"/>
          <w:szCs w:val="18"/>
          <w:color w:val="auto"/>
        </w:rPr>
      </w:pPr>
    </w:p>
    <w:p>
      <w:pPr>
        <w:ind w:right="40" w:firstLine="464"/>
        <w:spacing w:after="0" w:line="294" w:lineRule="auto"/>
        <w:tabs>
          <w:tab w:leader="none" w:pos="6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“Retainer” shall mean the annual cash retainer payable to a Director as established from time to time by the Board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“Retainer” shall not include that portion of the annual cash retainer as to which a right exists to make an election under, or for which a prior election is in effect under, the Terms and Conditions Regarding the Grant of Options in Lieu of Cash Directors Fees to Non-Employee Directors Under 2003 Equity Incentive Plan of Manpower Inc. (the “Option Terms”) or the Procedures Governing the Grant of Options to Non-Employee Directors Under the 1994 Executive Stock Option and Restricted Stock Plan of Manpower Inc. (the “Option Procedures”).</w:t>
      </w:r>
    </w:p>
    <w:p>
      <w:pPr>
        <w:sectPr>
          <w:pgSz w:w="11900" w:h="16838" w:orient="portrait"/>
          <w:cols w:equalWidth="0" w:num="1">
            <w:col w:w="11420"/>
          </w:cols>
          <w:pgMar w:left="240" w:top="125" w:right="239" w:bottom="1440" w:gutter="0" w:footer="0" w:header="0"/>
        </w:sectPr>
      </w:pPr>
    </w:p>
    <w:bookmarkStart w:id="85" w:name="page86"/>
    <w:bookmarkEnd w:id="85"/>
    <w:p>
      <w:pPr>
        <w:ind w:right="220" w:firstLine="464"/>
        <w:spacing w:after="0" w:line="332"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shall mean a Director’s termination of membership on the Board of Directors at a time when (1) the Director is age 60 or older and has served at least five years on the Board of Directors, or (2) the Director has served at least ten years on the Board of Directors.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capitalized terms used below which are not otherwise defined above will have the meanings assigned to them in the Equity Plan.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Right to Elect Deferred Stock.</w:t>
      </w:r>
    </w:p>
    <w:p>
      <w:pPr>
        <w:spacing w:after="0" w:line="8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Within ten days after the Commencement Date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The election to receive Deferred Stock in lieu of the Retainer must be made within ten days after the commencement of the Election Period covered by the election, except that for an election made by a Director (a) for the Election Period beginning on July 29, 2003, the election may be made by November 7, 2003 or (b) in connection with his or her initial appointment to the Board of Directors or otherwise becoming a Director, the election may be made within the first 10 days following the date of such appointment or attaining such status. Notwithstanding the foregoing, no Director who is a resident of the United Kingdom shall be eligible to make an election hereunder but rather shall be required to receive Deferred Stock in lieu of 100 percent of the Retainer and, as such, treated as if he or she had made an election covering a period beginning on each Commencement Date and ending on the expiration of the Election Period beginning on such date. The number of shares of Deferred Stock granted with respect to each Election Period shall equal (a) the amount of the Retainer payable to the Director for that Election Period to which the election relates, divided by (b) the Average Trading Price (rounded to the fourth decimal place). Said election shall be in writing and delivered to the Secretary of the Company. The date of grant of the Deferred Stock shall be the last trading day of the Election Period covered by the election. The Company shall effect the granting of Deferred Stock under these Terms and Conditions by the execution of Deferred Stock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[Effective for deferrals relating to Election Periods on or after January 1, 2005, paragraph 2 will read as follows: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Right to Elect Deferred Stock.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Commencement Date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The election to receive Deferred Stock in lieu of the Retainer must be made prior to the commencement of the Election Period covered by the election, except that, in connection with his or her initial appointment to the Board of Directors or otherwise becoming a Director, the election may be made within the first 30 days following the date of such appointment or attaining such status. An election made by a Director within 30 days of his or her initial appointment to the Board of Directors or otherwise becoming a director shall only apply to that portion of the Retainer that is attributable to services performed by the Director subsequent to the date of the election. Notwithstanding the foregoing, no Director who is a resident of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6" w:name="page87"/>
    <w:bookmarkEnd w:id="86"/>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Kingdom shall be eligible to make an election hereunder but rather shall be required to receive Deferred Stock in lieu of 100 percent of the Retainer and, as such, treated as if he or she had made an election covering a period beginning on each Commencement Date and ending on the expiration of the Election Period beginning on such date. The number of shares of Deferred Stock granted with respect to each Election Period shall equal (a) the amount of the Retainer payable to the Director for that Election Period to which the election relates, divided by (b) the Average Trading Price (rounded to the fourth decimal place). Said election shall be in writing and delivered to the Secretary of the Company. The date of grant of the Deferred Stock shall be the last trading day of the Election Period covered by the election. The Company shall effect the granting of Deferred Stock under these Terms and Conditions by the execution of Deferred Stock Agreements.]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Deferred Stock: General Provisions</w:t>
      </w:r>
    </w:p>
    <w:p>
      <w:pPr>
        <w:spacing w:after="0" w:line="83" w:lineRule="exact"/>
        <w:rPr>
          <w:sz w:val="20"/>
          <w:szCs w:val="20"/>
          <w:color w:val="auto"/>
        </w:rPr>
      </w:pPr>
    </w:p>
    <w:p>
      <w:pPr>
        <w:ind w:right="40" w:firstLine="464"/>
        <w:spacing w:after="0" w:line="298"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of Shares. </w:t>
      </w:r>
      <w:r>
        <w:rPr>
          <w:rFonts w:ascii="Arial" w:cs="Arial" w:eastAsia="Arial" w:hAnsi="Arial"/>
          <w:sz w:val="16"/>
          <w:szCs w:val="16"/>
          <w:color w:val="auto"/>
        </w:rPr>
        <w:t>The Company shall settle Deferred Stock in Shares. Deferred Stock granted to Directors shall be fully vested on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 Shares shall be distributed in respect of Deferred Stock within 30 days after the date of termination of a Director’s tenure as a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distribution of such Shares would occur outside of a “Trading Window” (as defined in the Manpower Inc. Statement of Policy on Securities Trading), then the Company may delay the distribution of such Shares until the beginning of the next “Trading Window”.</w:t>
      </w:r>
    </w:p>
    <w:p>
      <w:pPr>
        <w:spacing w:after="0" w:line="99" w:lineRule="exact"/>
        <w:rPr>
          <w:rFonts w:ascii="Arial" w:cs="Arial" w:eastAsia="Arial" w:hAnsi="Arial"/>
          <w:sz w:val="16"/>
          <w:szCs w:val="16"/>
          <w:color w:val="auto"/>
        </w:rPr>
      </w:pPr>
    </w:p>
    <w:p>
      <w:pPr>
        <w:ind w:firstLine="464"/>
        <w:spacing w:after="0" w:line="253"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r>
        <w:rPr>
          <w:rFonts w:ascii="Arial" w:cs="Arial" w:eastAsia="Arial" w:hAnsi="Arial"/>
          <w:sz w:val="18"/>
          <w:szCs w:val="18"/>
          <w:color w:val="auto"/>
        </w:rPr>
        <w:t>. As of the end of each Election Period, each Director shall be granted a number of additional shares of Deferred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amount of dividends which would have been received by a shareholder of record of a number of Shares equal to the number of shares of Deferred Stock held by such Director immediately before such dividend, divided by the Average Trading Price. In the event of any distribution with respect to Shares other than a cash dividend, then at the end of each Election Period each Director shall be granted a number of additional shares of Deferred Stock equal to the number of Shares which could have been purchased at the Average Trading Price with an amount equal to the fair market value of the consideration which would have been received by a shareholder of record of a number of Shares equal to the number of shares of Deferred Stock held by such Director immediately before such dividend.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Transition Provisions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provided below, the Option Terms and the Option Procedures are terminated effective July 29, 2003. All elections in effect as of July 29, 2003 under the Option Terms and the Option Procedures shall remain in effect. Directors in office prior to July 29, 2003 for whom an election is not in effect under the Option Terms or the Option Procedures covering the full period from November 5, 2001 through November 4, 2006 will continue to have the right to make elections under the Option Terms with respect to the first $50,000 of the annual cash retainer through November 4, 2006.</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Annual Option Grant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the date of the meeting of the Board of Directors closest to October 31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of each year, each Director shall be granted an Option to purchase 5,000 Shares.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If the date of a Director’s initial appointment to the Board of Directors is:</w:t>
      </w:r>
    </w:p>
    <w:p>
      <w:pPr>
        <w:spacing w:after="0" w:line="63" w:lineRule="exact"/>
        <w:rPr>
          <w:sz w:val="20"/>
          <w:szCs w:val="20"/>
          <w:color w:val="auto"/>
        </w:rPr>
      </w:pPr>
    </w:p>
    <w:p>
      <w:pPr>
        <w:ind w:left="900" w:right="580" w:hanging="446"/>
        <w:spacing w:after="0" w:line="22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the date of that meeting of the Board of Directors, but on or before December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that year, the Director shall be granted an Option to purchase 5,000 Shares;</w:t>
      </w:r>
    </w:p>
    <w:p>
      <w:pPr>
        <w:spacing w:after="0" w:line="62" w:lineRule="exact"/>
        <w:rPr>
          <w:rFonts w:ascii="Arial" w:cs="Arial" w:eastAsia="Arial" w:hAnsi="Arial"/>
          <w:sz w:val="18"/>
          <w:szCs w:val="18"/>
          <w:color w:val="auto"/>
        </w:rPr>
      </w:pPr>
    </w:p>
    <w:p>
      <w:pPr>
        <w:ind w:left="900" w:right="120" w:hanging="446"/>
        <w:spacing w:after="0" w:line="22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or after January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the following year, but on or before March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such year, then the Director shall be granted an Option to purchase 3,750 Shares;</w:t>
      </w:r>
    </w:p>
    <w:p>
      <w:pPr>
        <w:spacing w:after="0" w:line="62" w:lineRule="exact"/>
        <w:rPr>
          <w:rFonts w:ascii="Arial" w:cs="Arial" w:eastAsia="Arial" w:hAnsi="Arial"/>
          <w:sz w:val="18"/>
          <w:szCs w:val="18"/>
          <w:color w:val="auto"/>
        </w:rPr>
      </w:pPr>
    </w:p>
    <w:p>
      <w:pPr>
        <w:ind w:left="900" w:right="420" w:hanging="446"/>
        <w:spacing w:after="0" w:line="22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or after April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the following year, but on or before June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such year, then the Director shall be granted an Option to purchase 2,500 Shares;</w:t>
      </w:r>
    </w:p>
    <w:p>
      <w:pPr>
        <w:spacing w:after="0" w:line="62" w:lineRule="exact"/>
        <w:rPr>
          <w:rFonts w:ascii="Arial" w:cs="Arial" w:eastAsia="Arial" w:hAnsi="Arial"/>
          <w:sz w:val="18"/>
          <w:szCs w:val="18"/>
          <w:color w:val="auto"/>
        </w:rPr>
      </w:pPr>
    </w:p>
    <w:p>
      <w:pPr>
        <w:ind w:left="900" w:right="60" w:hanging="446"/>
        <w:spacing w:after="0" w:line="22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or after July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the following year, but on or before September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such year, then the Director shall be granted an Option to purchase 1,250 Shares; and</w:t>
      </w:r>
    </w:p>
    <w:p>
      <w:pPr>
        <w:spacing w:after="0" w:line="62" w:lineRule="exact"/>
        <w:rPr>
          <w:rFonts w:ascii="Arial" w:cs="Arial" w:eastAsia="Arial" w:hAnsi="Arial"/>
          <w:sz w:val="18"/>
          <w:szCs w:val="18"/>
          <w:color w:val="auto"/>
        </w:rPr>
      </w:pPr>
    </w:p>
    <w:p>
      <w:pPr>
        <w:ind w:left="900" w:right="40" w:hanging="446"/>
        <w:spacing w:after="0" w:line="22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or after October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the following year, but before the date of the meeting of the Board of Directors closest to October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such year, then the Director shall not be granted an Option to purchase any Shares until the grant to be made at such meeting.</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Options to be granted in accordance with clauses (a) through (d), above, shall be granted on the effective date of the Director’s appointment to the Board of Directors or, if instead applicable, on the date of the meeting of the Board of Directors next following the date an individual serving on the Board of Directors qualifies as a Director. Each Option granted hereunder shall have an exercise price equal to the Market Price on the business day immediately preceding the date of grant, and shall be immediately exercisable on the date of grant, and shall remain exercisable until the earlier of ten years after the date of grant, or three years after the date the Director’s membership on the Board of Directors terminates because of death or upon the Disability or Retirement of the Director, or 18 months after the date the Director’s membership on the Board of Directors terminates in any other circumstances. The Board of Directors may in its sole discretion increase the periods permitted for exercise of an Option if a Director ceases to be a Director as provided above, if allowable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an Option be exercisable subsequent to ten years after its date of grant.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Application of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8" w:name="page89"/>
    <w:bookmarkEnd w:id="8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in these Terms and Conditions, the Equity Plan shall apply to any Deferred Stock and Options granted pursuant to these Terms and Conditions.</w:t>
      </w:r>
    </w:p>
    <w:p>
      <w:pPr>
        <w:spacing w:after="0" w:line="11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240" w:top="280" w:right="6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Exhibit 12.1</w:t>
      </w:r>
    </w:p>
    <w:p>
      <w:pPr>
        <w:spacing w:after="0" w:line="15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STATEMENT REGARDING COMPUTATION OF RATIO OF EARNINGS TO FIXED CHARGES</w:t>
      </w:r>
    </w:p>
    <w:p>
      <w:pPr>
        <w:spacing w:after="0" w:line="16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9"/>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369.5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522.7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-1186815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-1186815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-1186815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-1186815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-1186815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-1186815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-1186815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-1186815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-1186815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-1186815</wp:posOffset>
            </wp:positionV>
            <wp:extent cx="32131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-1186815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-1186815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-1186815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-329565</wp:posOffset>
            </wp:positionV>
            <wp:extent cx="32131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-329565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-329565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-329565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-329565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-329565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-329565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-329565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-329565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-329565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2131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38" w:lineRule="exact"/>
        <w:rPr>
          <w:sz w:val="20"/>
          <w:szCs w:val="20"/>
          <w:color w:val="auto"/>
        </w:rPr>
      </w:pPr>
    </w:p>
    <w:p>
      <w:pPr>
        <w:ind w:left="1040" w:right="400" w:hanging="1039"/>
        <w:spacing w:after="0" w:line="268" w:lineRule="auto"/>
        <w:tabs>
          <w:tab w:leader="none" w:pos="102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5" w:right="239" w:bottom="1440" w:gutter="0" w:footer="0" w:header="0"/>
        </w:sectPr>
      </w:pPr>
    </w:p>
    <w:bookmarkStart w:id="90" w:name="page91"/>
    <w:bookmarkEnd w:id="90"/>
    <w:p>
      <w:pPr>
        <w:spacing w:after="0" w:line="268" w:lineRule="auto"/>
        <w:tabs>
          <w:tab w:leader="none" w:pos="1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1057910</wp:posOffset>
            </wp:positionH>
            <wp:positionV relativeFrom="page">
              <wp:posOffset>88900</wp:posOffset>
            </wp:positionV>
            <wp:extent cx="5445760" cy="71437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445760" cy="7143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w:t>
      </w:r>
    </w:p>
    <w:p>
      <w:pPr>
        <w:sectPr>
          <w:pgSz w:w="11900" w:h="16838" w:orient="portrait"/>
          <w:cols w:equalWidth="0" w:num="1">
            <w:col w:w="10219"/>
          </w:cols>
          <w:pgMar w:left="240" w:top="274" w:right="1440"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What’s Now.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What’s Next.</w:t>
      </w:r>
    </w:p>
    <w:p>
      <w:pPr>
        <w:spacing w:after="0" w:line="7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57 years since Manpower opened its doors, we have enjoyed a birds-eye view of the world of work and all of its changes, challenges and extraordinary opportunities. We have seen the role of the Human Resources function evolve and expand to become a core part of the business strategy. We have seen the role of the worker evolve to be viewed as an investment, and to include all people of all shapes and sizes.</w:t>
      </w:r>
    </w:p>
    <w:p>
      <w:pPr>
        <w:spacing w:after="0" w:line="9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While the heart and soul of our business remains the provision of temporary workers to help employers fulfill fluctuations in staffing demands, this is only one part of the story. Today, we provide a complete range of services that span the employment and business cycle. These offerings include: recruitment, assessment and selection; training; temporary staffing; permanent placement; organizational consulting, career transition and professional financial services.</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But this is too simplistic a view of the value we bring to our customers. In their eyes, we are the partner that helps them improve the productivity of their workforce. We are the extension of their HR department when they need a helping hand. We are the answer when they find that they need to re-engineer their workforce to get the right people with the right skills in the right places to help their company succeed. We are the solution when change happens, as it frequently does, and they need help to align their people with their strategy.</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the world of work continues to change, one thing remains true – Manpower continues to grow and adapt to be ready with the answers to help our clients create winning HR strategies and successfully compete in their respective markets. On the following pages, five of our clients give their perspectives on the people issues they face today, and those that are shaping the future of their organizations.</w:t>
      </w:r>
    </w:p>
    <w:p>
      <w:pPr>
        <w:sectPr>
          <w:pgSz w:w="11900" w:h="16838" w:orient="portrait"/>
          <w:cols w:equalWidth="0" w:num="1">
            <w:col w:w="11380"/>
          </w:cols>
          <w:pgMar w:left="240" w:top="274" w:right="279" w:bottom="1440" w:gutter="0" w:footer="0" w:header="0"/>
        </w:sectPr>
      </w:pPr>
    </w:p>
    <w:bookmarkStart w:id="93" w:name="page94"/>
    <w:bookmarkEnd w:id="93"/>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JUST- IN - TIME TALENT MANAGEMENT (RILEY PERSPECTIVE)</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the global economy has transitioned from manufacturing into services, so has IBM, with more than 50 percent of our workforce today engaged in providing services for clients. And since service equates with people, that means we are investing far more in human than in physical assets. The company and its workforce have also grown significantly, with more than 18,000 new employees added in 2004 alone. The world in which we operate is changing at an accelerating pace and we need to keep up with it – not least in the way we manage our global talent.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“ON-DEMAND” SERVICES</w:t>
      </w:r>
    </w:p>
    <w:p>
      <w:pPr>
        <w:spacing w:after="0" w:line="8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Some two years ago, observing how our clients needed access to our services on very short lead times, we embarked on a program to redefine our business as an on demand service provider, and to serve as a role model for clients of all types in all industries. We obviously had to start by considering our people.</w:t>
      </w:r>
    </w:p>
    <w:p>
      <w:pPr>
        <w:spacing w:after="0" w:line="7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With the help of Manpower, whose just-in-time talent management expertise clearly paralleled our on demand strategic objectives, we created a consistent taxonomy for defining the skills, capabilities, and experiences needed for different positions along our talent supply chain. This has enabled us to identify which talents are core value delivering capabilities and which are less critical; to obtain insights into achieving the right balance between alternative sources of talent; and to match our people strategy most closely to our overall business strategy.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ACHIEVING FLEXIBILITY WITH QUALITY</w:t>
      </w:r>
    </w:p>
    <w:p>
      <w:pPr>
        <w:spacing w:after="0" w:line="8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Delivering on demand services requires an integrated, seamless, end-to-end approach to acquiring and deploying talent right across your business, building flexibility into the workforce to accommodate variability in demand. It means determining which HR partners can best work alongside your own management, responding to both the time dimension and the cultural fit to ensure the delivery of talent to meet your business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 achieving our responsive on demand flexibility, we are working with selected strategic HR partners to source</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and deploy a global range of talent, both permanent and contingent. Our partners understand our requirement for quality and have the same commitment as we have to the standards of capability and training that deliver the differentiation that yields our competitive advantage.</w:t>
      </w:r>
    </w:p>
    <w:p>
      <w:pPr>
        <w:sectPr>
          <w:pgSz w:w="11900" w:h="16838" w:orient="portrait"/>
          <w:cols w:equalWidth="0" w:num="1">
            <w:col w:w="11420"/>
          </w:cols>
          <w:pgMar w:left="240" w:top="27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JUST- IN - TIME TALENT MANAGEMENT</w:t>
      </w:r>
    </w:p>
    <w:p>
      <w:pPr>
        <w:spacing w:after="0" w:line="8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the era of production excellence, winning companies based their market dominating strategies on supply chain optimization. No process was left untouched, no matter how complex, in pursuit of the most cost-effective approaches to building and delivering their products wherever their clients needed them…just in time. The resulting cost savings were significant; with some reports showing that these strategies saved the median Fortune 500 company five hundred million dollars.</w:t>
      </w:r>
    </w:p>
    <w:p>
      <w:pPr>
        <w:spacing w:after="0" w:line="75"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Now and into the future, Manpower is partnering with many companies that are following an evolutionary path from a manufacturing-based business to a talent-centric enterprise, utilizing key supply chain strategies. To help clients successfully achieve this objective, Manpower has developed a breakthrough approach to talent management derived from supply chain thinking. Talent Value Management</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(TVM</w:t>
      </w:r>
      <w:r>
        <w:rPr>
          <w:rFonts w:ascii="Arial" w:cs="Arial" w:eastAsia="Arial" w:hAnsi="Arial"/>
          <w:sz w:val="20"/>
          <w:szCs w:val="20"/>
          <w:color w:val="auto"/>
          <w:vertAlign w:val="superscript"/>
        </w:rPr>
        <w:t>sm</w:t>
      </w:r>
      <w:r>
        <w:rPr>
          <w:rFonts w:ascii="Arial" w:cs="Arial" w:eastAsia="Arial" w:hAnsi="Arial"/>
          <w:sz w:val="16"/>
          <w:szCs w:val="16"/>
          <w:color w:val="auto"/>
        </w:rPr>
        <w:t>) is designed to create an integrated talent supply chain, where talent can be optimized and deployed using rigorous decision support tools with a foundation of common data and processes.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Talent supply chain optimization can drive the answers to questions like:</w:t>
      </w:r>
    </w:p>
    <w:p>
      <w:pPr>
        <w:spacing w:after="0" w:line="7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Which talent requirements are the most critical?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How do I best source this talent?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What is the optimal mix of regular full-time and contract workforce?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What talent investments do I need to make and where?</w:t>
      </w:r>
    </w:p>
    <w:p>
      <w:pPr>
        <w:spacing w:after="0" w:line="1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ultimate objective as our client’s talent management partner is to help the organization ensure that its investments in people are fully aligned with, and help drive, business strategy to yield the maximum return on investment.</w:t>
      </w:r>
    </w:p>
    <w:p>
      <w:pPr>
        <w:sectPr>
          <w:pgSz w:w="11900" w:h="16838" w:orient="portrait"/>
          <w:cols w:equalWidth="0" w:num="1">
            <w:col w:w="11400"/>
          </w:cols>
          <w:pgMar w:left="240" w:top="274" w:right="259" w:bottom="1440" w:gutter="0" w:footer="0" w:header="0"/>
        </w:sectPr>
      </w:pPr>
    </w:p>
    <w:bookmarkStart w:id="96" w:name="page97"/>
    <w:bookmarkEnd w:id="96"/>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DEVELOPING A FLEXIBLE WORKFORCE (DANON PERSPECTIVE)</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most important characteristic required by contact center staff and field engineers at BT Retail is to have good customer-interface skills. They also need to be team players and to have a “learning attitude” – adapting readily to fast-paced industry change, as we introduce enhanced new services and continually improve our competitive offering. Our greatest HR challenge in recent years has been to create a high-performance environment among our 50,000 employees in BT Retail, to detect and develop our in-house talent pool, and to create greater workforce flexibility.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PERFORMANCE</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done a lot to transform our workforce’s performance to meet service-business realities in the 21st century. A performance improvement plan has raised the individual and collective employee contribution through coaching, raising expectations, rewarding, and introducing a Code of Conduct for our customer-facing “battalions,” monitored through customer feedback. We have proactively managed our talent pool, detecting, developing, sourcing anew, retaining key skill sets, and ensuring the right level of talent diversity for our ongoing business and growth.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VARIABILITY AND RESPONSIVENESS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industry faces enormous variability in HR demand over short time periods. Bad weather can create huge demand for engineers to repair landlines after storms; and competitive initiatives generate a demand for extra contact center staff when we launch a new program, such as broadband. At such times, we need to have fast and flexible access to appropriately skilled and trained resources or to create a pool of specialist talent (such as IT professionals) quickly, but without being locked into operational constraints.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FLEXIBLE EXTENDED ENTERPRISE</w:t>
      </w:r>
    </w:p>
    <w:p>
      <w:pPr>
        <w:spacing w:after="0" w:line="8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Outsourcing massive contracts to just a couple of HR vendors has enabled us to focus management effort on fewer relationships and our vendors to invest time, effort, and resources into making them work. Temporary and contract employees come in trained, prepared, and well managed, with a good understanding of the BT culture. Having such close strategic partnerships has allowed us to build a highly flexible and scalable “extended enterprise” of contingent employees who hit the ground running and become assimilated seamlessly into the organization, working indistinguishably alongside our regular BT battalions. And many of them end up working directly for BT – making for a risk-free source of quality recruitment.</w:t>
      </w:r>
    </w:p>
    <w:p>
      <w:pPr>
        <w:sectPr>
          <w:pgSz w:w="11900" w:h="16838" w:orient="portrait"/>
          <w:cols w:equalWidth="0" w:num="1">
            <w:col w:w="11420"/>
          </w:cols>
          <w:pgMar w:left="240" w:top="27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DEVELOPING A FLEXIBLE WORKFORCE</w:t>
      </w:r>
    </w:p>
    <w:p>
      <w:pPr>
        <w:spacing w:after="0" w:line="8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critical question for companies seeking optimal flexibility and responsiveness is: are we optimizing the use of skills, and the cost of those skills, within this workforce? A perfectly balanced workforce is achieved when the right people are performing work that is most critical to executing the business strategy at the right value.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Demand management or talent planning is the key to determining which employees and positions in the company will result in having the right people at the right value. Understanding which talent to invest in, and deciding which supply strategy (internal, external, contingent/supply partners, alternative sourcing) offers the most total savings, is a complex but rewarding process. A flexible workforce model allows clients to:</w:t>
      </w:r>
    </w:p>
    <w:p>
      <w:pPr>
        <w:spacing w:after="0" w:line="4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Align investments in compensation, development and training with strategic impact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Close the gaps between supply and demand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Develop strategies to describe roles and skills consistently internally and externally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Determine the best sources for talent</w:t>
      </w:r>
    </w:p>
    <w:p>
      <w:pPr>
        <w:spacing w:after="0" w:line="1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net result of this effort is a sharp decrease in unnecessary labor spend, coupled with the improved ability to invest more in those roles that will continue to drive demand for the company’s services and products. Manpower’s capability to properly analyze the risks and costs of talent management, while delivering innovative supply alternatives delivers competitive advantages for employers of all shapes and sizes around the world, and we expect this trend to continue into the future.</w:t>
      </w:r>
    </w:p>
    <w:p>
      <w:pPr>
        <w:sectPr>
          <w:pgSz w:w="11900" w:h="16838" w:orient="portrait"/>
          <w:cols w:equalWidth="0" w:num="1">
            <w:col w:w="11380"/>
          </w:cols>
          <w:pgMar w:left="240" w:top="274" w:right="279" w:bottom="1440" w:gutter="0" w:footer="0" w:header="0"/>
        </w:sectPr>
      </w:pPr>
    </w:p>
    <w:bookmarkStart w:id="100" w:name="page101"/>
    <w:bookmarkEnd w:id="100"/>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CREATING A HIGH PERFORMANCE ORGANIZATION (MINELLA PERSPECTIVE)</w:t>
      </w:r>
    </w:p>
    <w:p>
      <w:pPr>
        <w:spacing w:after="0" w:line="83"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Although much of our output is used in industrial processes, we are truly a technology business. We have to be at the forefront of technological developments in our growth markets, delivering products that address our customers’ emerging needs. Our managers need to have not only the insight and acumen to understand our customers’ products and devise solutions to their business needs, but also the right interpersonal skills to develop and empower our highly diverse employee group to constantly improve their performance and fulfill their potential.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DEVELOPING PASSIONATE, ADAPTABLE TALENT</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Today, both we and our customers are experiencing constant and accelerating globalization and change. We have to stay alongside them as they move into new businesses and geographical markets and to recognize that competition no longer always comes from where it traditionally did. Our challenge is to develop, implement, and manage HR programs to meet those new realities, creating an environment in which our employees are highly motivated, productive, open to change, passionate about their work, and feel valued.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ONE-COMPANY CULTURE</w:t>
      </w:r>
    </w:p>
    <w:p>
      <w:pPr>
        <w:spacing w:after="0" w:line="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At Air Products we strive to have a “one-company” feel, where everyone shares the same guiding values, while recognizing and accommodating individual and cultural diversity, and all have a sense of the corporate culture – and what it means to be “an Air Products employee.” This makes for an “accountable” workforce, in which every employee takes personal responsibility for giving</w:t>
      </w:r>
    </w:p>
    <w:p>
      <w:pPr>
        <w:ind w:right="80"/>
        <w:spacing w:after="0" w:line="261" w:lineRule="auto"/>
        <w:rPr>
          <w:sz w:val="20"/>
          <w:szCs w:val="20"/>
          <w:color w:val="auto"/>
        </w:rPr>
      </w:pPr>
      <w:r>
        <w:rPr>
          <w:rFonts w:ascii="Arial" w:cs="Arial" w:eastAsia="Arial" w:hAnsi="Arial"/>
          <w:sz w:val="18"/>
          <w:szCs w:val="18"/>
          <w:color w:val="auto"/>
        </w:rPr>
        <w:t>of their best and operating with the highest level of professional integrity, and acknowledges the vital importance of observing strict safety practices in the areas of health – for themselves and customers – and the environment.</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leadership development programs help individuals assess their strengths and weaknesses and provides them with career-enriching opportunities. Our centers of functional excellence, such as process engineering, develop skilled specialist teams that can be deployed to where they are needed to capitalize on perceived growth and customer-service opportunities. Our HR planning process aims to provide employees with the necessary experiences to fulfill both their personal career aspirations and the company’s strategic needs, while at all times balancing the interests of individuals with those of the company in serving customers and delivering shareholder value.</w:t>
      </w:r>
    </w:p>
    <w:p>
      <w:pPr>
        <w:sectPr>
          <w:pgSz w:w="11900" w:h="16838" w:orient="portrait"/>
          <w:cols w:equalWidth="0" w:num="1">
            <w:col w:w="11320"/>
          </w:cols>
          <w:pgMar w:left="240" w:top="27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CREATING A HIGH PERFORMANCE ORGANIZATION</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Today more than ever, company performance relies on people. Not just management, but the entire workforce – whether they be full-time staff, contractors or temporary workers. To be successful, everyone within the organization must be engaged; aligned to the business’ strategic goals and able to understand the role they play in achieving them. And above all, people must continue to perform throughout changing business conditions.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experts at Right Management Consultants play a pivotal role in helping companies develop a high performance workforce by attracting, selecting and retaining people who are the best fit with their organization’s strategies, culture and values. Our services in this area include defining and communicating employment value propositions, identifying critical competencies for success, designing and administering selection systems, developing new-hire assimilation programs, and creating retention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Companies must also understand that the continual development of their leaders is crucial to supporting the business strategy and evolving corporate culture.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Because when leaders are engaged, aligned and effective, they are the key to translating business strategy into performance. Companies need to ask themselves:</w:t>
      </w:r>
    </w:p>
    <w:p>
      <w:pPr>
        <w:spacing w:after="0" w:line="105"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 we have a pipeline of leadership consistent with our future business direction?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professional development and job rotation opportunities readily available?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succession planning process in place?</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 our programs reflect the constant change in the business environment and help leaders develop the agility to lead under a variety of strategic scenarios?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years to come, organizations that are able to navigate the complex, global market environment while developing a workforce comprised of agile, engaged and aligned employees, will be the ones best positioned to win.</w:t>
      </w:r>
    </w:p>
    <w:p>
      <w:pPr>
        <w:sectPr>
          <w:pgSz w:w="11900" w:h="16838" w:orient="portrait"/>
          <w:cols w:equalWidth="0" w:num="1">
            <w:col w:w="11240"/>
          </w:cols>
          <w:pgMar w:left="240" w:top="274" w:right="419" w:bottom="1440" w:gutter="0" w:footer="0" w:header="0"/>
        </w:sectPr>
      </w:pPr>
    </w:p>
    <w:bookmarkStart w:id="104" w:name="page105"/>
    <w:bookmarkEnd w:id="104"/>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OUTSOURCING HR SERVICES (VAN HEEMSTRA PERSPECTIVE)</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worldwide business operating in the fast-moving consumer goods sector, we need a first-rate permanent labor force for ongoing operations, as well as additional temporary staff for periods of seasonality, such as for ice cream and frozen vegetables. While the nature of our business means employing predominantly local people at all levels, our management population includes expatriates, as we like our higher leadership to have had experience in several parts of the Unilever world.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SIMULTANEOUSLY BIG AND SMALL</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Rather than a global company, we see ourselves as a multi-local multinational. Our greatest challenge is to combine the flexibility of a small organization with the impact of a big company. Intense competition and the ever-changing environment within our industry impose a constant need to find new and more efficient ways of doing business – and to stay flexible and adaptable.</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global scope of our business and the local nature of our customer base together lent themselves to taking a regional approach to our manufacturing supply chain. We have closed facilities in some areas and expanded them in others, with a resulting reduction in manufacturing plants from 500 to 350; we rationalized our brand range from 1,600 to some 400 by introducing more global brands; and we significantly reduced the number of our vendors. While this has helped us improve on being big, we have also improved on being small, for example by having local “marketeers” regularly visit consumers’ homes to understand their specific needs and achieve “consumer intimacy.”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OUTSOURCING FOR FLEXIBILITY</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Regionalization has brought scale benefits and a concentration of assets that has enabled us to view our workforce more strategically and develop skills over a longer time-frame. We have gained workforce flexibility by outsourcing recruitment of seasonal and temporary staff, as well as the provision of contract specialists to augment skills in areas such as IT. Further candidate functions that we have identified for handling at a regional level, and possible outsourcing, lie in the transactional administration activities of HR and Finance. The objective is to free up our HR and Finance managers to concentrate on more strategic, transformational activities.</w:t>
      </w:r>
    </w:p>
    <w:p>
      <w:pPr>
        <w:sectPr>
          <w:pgSz w:w="11900" w:h="16838" w:orient="portrait"/>
          <w:cols w:equalWidth="0" w:num="1">
            <w:col w:w="11400"/>
          </w:cols>
          <w:pgMar w:left="240" w:top="274"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OUTSOURCING HR SERVICES</w:t>
      </w:r>
    </w:p>
    <w:p>
      <w:pPr>
        <w:spacing w:after="0" w:line="8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Over the past several years, as employers embraced outsourcing to improve productivity in their Human Resources function, they began with transactional processes such as payroll processing and benefits administration, and moved toward recruiting, assessment, training and career transition. As outsourcing these processes proved successful, attention turned toward outsourcing non-core business activities such as facility management, logistics, and even accounting. Leading companies are now beginning to take advantage of the transformational opportunities that the outsourcing evolution can bring, as they look to fully optimize their talent management.</w:t>
      </w:r>
    </w:p>
    <w:p>
      <w:pPr>
        <w:spacing w:after="0" w:line="12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Talent optimization through HR outsourcing requires an objective analysis of how and where human resources should be deployed across the organization, including:</w:t>
      </w:r>
    </w:p>
    <w:p>
      <w:pPr>
        <w:spacing w:after="0" w:line="3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skills required in the business, where they can be found in a world of growing skills shortages, and where they are needed.</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business functions and roles that must be performed at the local level versus those that can be performed centrally, either at the national, regional or global headquarters.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Optimal staffing levels to ensure efficiency for the employer through fluctuation in demand, and quality service for its customers.</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functions, processes and roles that are core to the business versus those that can be outsourced to a third party in order to focus internal resources on what matters most, and generate cost savings across the organization without sacrificing quality.</w:t>
      </w:r>
    </w:p>
    <w:p>
      <w:pPr>
        <w:spacing w:after="0" w:line="11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Across the employment and business cycle, Manpower is in a unique position to view the world of work, both globally and locally. We see employment trends ahead of an individual customer whose view is restricted by industry silos, and we serve as their partner and change agent as they execute their strategies. From outsourcing HR services to change management consulting, Manpower and Right Management Consultants work in tandem to help organizations achieve the productivity, efficiency, and cost management gains they expect to realize from outsourcing.</w:t>
      </w:r>
    </w:p>
    <w:p>
      <w:pPr>
        <w:sectPr>
          <w:pgSz w:w="11900" w:h="16838" w:orient="portrait"/>
          <w:cols w:equalWidth="0" w:num="1">
            <w:col w:w="11400"/>
          </w:cols>
          <w:pgMar w:left="240" w:top="274" w:right="259" w:bottom="1440" w:gutter="0" w:footer="0" w:header="0"/>
        </w:sectPr>
      </w:pPr>
    </w:p>
    <w:bookmarkStart w:id="108" w:name="page109"/>
    <w:bookmarkEnd w:id="108"/>
    <w:p>
      <w:pPr>
        <w:spacing w:after="0" w:line="29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9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IMPROVING JOB SKILLS OF A NATION (ABASCAL PERSPECTIVE )</w:t>
      </w:r>
    </w:p>
    <w:p>
      <w:pPr>
        <w:spacing w:after="0" w:line="8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Mexico is a very young country, with one-quarter of its population currently aged 17 – 29. One of the greatest challenges for our economy is to help our young people develop their potential and realize their skills, so that they can meet the needs of the labor market, not only in large multinational enterprises, but also in small and mediumsized companies.</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Over the past few decades, the country has gained a “demographic bonus” consisting of 33 million children and young people. Our aim is to ensure that, by 2010, at least 40 percent of that population has graduated from higher education. Our economic success will depend on how well we can raise the skill profile of our working population both for their own benefit and for the good of the whole</w:t>
      </w:r>
    </w:p>
    <w:p>
      <w:pPr>
        <w:spacing w:after="0"/>
        <w:rPr>
          <w:sz w:val="20"/>
          <w:szCs w:val="20"/>
          <w:color w:val="auto"/>
        </w:rPr>
      </w:pPr>
      <w:r>
        <w:rPr>
          <w:rFonts w:ascii="Arial" w:cs="Arial" w:eastAsia="Arial" w:hAnsi="Arial"/>
          <w:sz w:val="18"/>
          <w:szCs w:val="18"/>
          <w:color w:val="auto"/>
        </w:rPr>
        <w:t>nation, by committing to the individual person, who constitutes the origin, engine and end of the national economy.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NEW SOCIO-ECONOMIC MODEL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Our country’s ideological legacy, supported by some of its labor unions, sometimes held the economy back. But in the past 10 years, we have built up a new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model of employee–employer relations, framed in a New Labor Culture, promoting effective social dialogue, raising people’s awareness of the new competitive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global realities, and bringing productivity and competitiveness – with social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justice – into the labor arena.</w:t>
      </w:r>
    </w:p>
    <w:p>
      <w:pPr>
        <w:spacing w:after="0" w:line="15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are committed to ongoing employee training and technological innovation to enhance productivity. We have introduced programs to enable unemployed and underemployed individuals to access and transition to productive jobs, contributing fully to the national economy. We also have introduced training schemes and financial support programs to foster self-employment in small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ADAPTABILITY AND INCLUSIVITY</w:t>
      </w:r>
    </w:p>
    <w:p>
      <w:pPr>
        <w:spacing w:after="0" w:line="8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Job Observatory project monitors available jobs and skills demand, and directs our education programs to fulfill this demand, so that businesses will find in Mexico a ready pool of the right kind of skilled talent, and individuals can be certain of finding a suitable job on completion of their studies.</w:t>
      </w:r>
    </w:p>
    <w:p>
      <w:pPr>
        <w:spacing w:after="0" w:line="7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Alongside these programs, we have robust policies for eradicating discrimination on grounds of age, gender or disability. In particular, our Inclusive Firm Program acknowledges Mexican companies’ efforts to include mentally and physically disabled employees in their workforce.</w:t>
      </w:r>
    </w:p>
    <w:p>
      <w:pPr>
        <w:spacing w:after="0" w:line="7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were pleased recently to be able to acknowledge the major contribution in this area of Manpower’s ongoing Caminemos Juntos partnership program in Mexico and to grant them an Inclusive Firm award in recognition of their efforts in helping to place several hundred disabled people into productive employment.</w:t>
      </w:r>
    </w:p>
    <w:p>
      <w:pPr>
        <w:sectPr>
          <w:pgSz w:w="11900" w:h="16838" w:orient="portrait"/>
          <w:cols w:equalWidth="0" w:num="1">
            <w:col w:w="11380"/>
          </w:cols>
          <w:pgMar w:left="240" w:top="274" w:right="2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IMPROVING JOB SKILLS OF A NATION</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the world becomes a smaller place, with commerce criss-crossing the globe in all industries, the world of work has also been transformed in profound ways. This is especially important for national governments as they bear the responsibility for ensuring that their country and its people can compete in the world economy.</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Labor ministries play an increasingly important role in developing the Human Resources strategy and programs for current and future generations of their countrymen and women. For developing countries, this strategic role is critically important to the country’s ability to compete for foreign investment, build their national commercial infrastructure and provide the means for individuals to succeed.</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more than 40 years, Manpower has played a unique role in the world’s labor markets, working in partnership with national governments and non-government organizations to solve the most pressing labor market needs. Many of our programs – like Working Links in the U.K. – are designed to serve as a bridge to employment, providing basic job skills to the unemployed, underemployed and people with disabilities, and placing them in jobs at the end of their training. Other programs – like TechReach in the U.S. and Canada – are designed to help individuals transition from jobs that have become obsolete, to sustainable new careers in fields where there are shortages of skilled workers.</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Increasingly, we are working with governments to identify underemployed populations such as older workers, to engage or re-engage them in the labor market. The expertise that we have gained from our commercial experience, coupled with our pragmatic approach to putting people to work, has proven invaluable to governments throughout the world.</w:t>
      </w:r>
    </w:p>
    <w:p>
      <w:pPr>
        <w:sectPr>
          <w:pgSz w:w="11900" w:h="16838" w:orient="portrait"/>
          <w:cols w:equalWidth="0" w:num="1">
            <w:col w:w="11420"/>
          </w:cols>
          <w:pgMar w:left="240" w:top="274" w:right="239" w:bottom="1440" w:gutter="0" w:footer="0" w:header="0"/>
        </w:sectPr>
      </w:pPr>
    </w:p>
    <w:bookmarkStart w:id="112" w:name="page113"/>
    <w:bookmarkEnd w:id="112"/>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Fluctuations in business demand. Intensifying competition at both the global and local levels worldwide. Shortages of skilled workers. Movement of work and workers across borders. Escalating requirements for efficiency and productivity improvements. Succession planning and leadership development. These are the HR challenges our clients are facing every day, and Manpower is uniquely positioned to provide them with effective solutions. More importantly, we are already developing solutions and services to help our clients navigate the many challenges that lie ahead in the coming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What’s next?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We’ll be ready.</w:t>
      </w:r>
    </w:p>
    <w:p>
      <w:pPr>
        <w:sectPr>
          <w:pgSz w:w="11900" w:h="16838" w:orient="portrait"/>
          <w:cols w:equalWidth="0" w:num="1">
            <w:col w:w="11300"/>
          </w:cols>
          <w:pgMar w:left="240" w:top="280" w:right="35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950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it is an obligation to look back at our 2004 record, this year it is especially gratifying. The Manpower team worldwide delivered exceptional results, from both financial and strategic perspectives.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2004, our revenue reached a record $14.9 billion, an increase of 23%, or 14% in constant currency, over 2003 levels. Our Jefferson Wells financial services brand was the clear leader among our operations in this revenue growth, with an increase of 150% over the prior year. Our EMEA segment also provided a terrific performance, with revenues growing to more than $5 billion, an increase of 18% in constant currency.</w:t>
      </w:r>
    </w:p>
    <w:p>
      <w:pPr>
        <w:spacing w:after="0" w:line="121"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144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Earnings for 2004 were $246 million – a record for Manpower – and a significant increase of 78% from 2003. We also continued to strengthen our balance sheet, with total debt as a percentage of capitalization improving from 39% in 2003 to 29% in 2004. Given our confidence in the future and our commitment to delivering shareholder value, we also doubled our semi-annual dividend in the second half of 2004.</w:t>
      </w:r>
    </w:p>
    <w:p>
      <w:pPr>
        <w:spacing w:after="0" w:line="1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All said, it was a very good year with impressive results for Manpower and its family of companies. The sustainability of business performance, however, is our benchmark for success, and we have proven that we have the ability, focus and execution to deliver continued, sustainable results over time. Over the last five years we have outperformed the S&amp;P 500 by 43%. More importantly, each year we have continued to establish new baselines against which to measure our performance. As we move into 2005, we have set the bar even higher.</w:t>
      </w:r>
    </w:p>
    <w:p>
      <w:pPr>
        <w:spacing w:after="0" w:line="13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believe that throughout 2004 we continued to build momentum, setting ourselves up for 2005 and beyond. The heart and soul of our business is, and will continue to be, temporary staffing, and that part of our business grew 20%. We were able to open new offices in expanding markets like India, Japan, Germany and Italy, extending our network to a total of more than 4,300 offices worldwide. We also improved our efficiency and stayed very disciplined in our pricing strategy in the temporary staffing marketplace.</w:t>
      </w:r>
    </w:p>
    <w:p>
      <w:pPr>
        <w:spacing w:after="0" w:line="124"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imperative as we move into the future is balancing our mix of business. We have been making progress for several years, and 2004 marked the most successful year that we have had in working toward this goal. Jefferson Wells added $204 million of revenue for a total of $341 million in 2004; Elan, our IT specialist brand, grew 39%, with total revenues of $540 million for the year; and the acquisition of Right Management Consultants added $365 million in revenue. These three brands alone generated $1.3 billion in total revenue in 2004. Most importantly, these specialty services have enabled us to offer our customers the complementary range and scale of services that is changing the landscape of our industry by helping our customers to evolve their people strategies in ways that no one else can.</w:t>
      </w:r>
    </w:p>
    <w:p>
      <w:pPr>
        <w:spacing w:after="0" w:line="1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Jefferson Wells, in particular, has made great strides in the past year, gaining the trust and respect of top companies in the U.S. as they worked through the mammoth task of the Sarbanes-Oxley compliance process. This work has opened doors for the company to introduce clients to their full portfolio of internal audit and controls, technology risk management, tax, finance and accounting services. In addition to expanding Jefferson Wells’ network of offices in the U.S. and Canada, 2004 marked the opening of its first office in Europe, located in London. We expect this investment to pay off in 2005 and beyond, as the U.S. continues to work through financial reform measures, and Europe embarks on its own journey toward greater accountability in corporate governance.</w:t>
      </w:r>
    </w:p>
    <w:p>
      <w:pPr>
        <w:spacing w:after="0" w:line="96"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Throughout 2004, we made great progress in expanding our permanent placement market share, adding over 450 dedicated permanent placement recruiters across the world. Our goal is to become the de facto leader in permanent placement worldwide, across all 67 countries and territories in our network. This includes our French unit where a legislative change in late 2004 allows us, for the first time, to provide permanent placement services to the French market.</w:t>
      </w:r>
    </w:p>
    <w:p>
      <w:pPr>
        <w:spacing w:after="0" w:line="9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So what’s next for Manpower? As I’ve stated before, we are determined to redefine the industry by offering a unique approach to solving our customers’ problems, now, and as they are traveling the road that lies ahead. As we listen to our customers and experience what’s happening in their workplaces throughout the globe, we see the next big need that we intend to fulfill. It is the requirement to optimize all of the talent that is involved in the company. It is the key to delivering a critical competitive advantage to companies that are facing fierce competition at both the global and local levels.</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many years, companies have optimized various facets of their business through supply chain management and offshoring/outsourcing of transactional functions or manufactured products. The one element that has been left out of this intense movement toward optimization, and one that companies are coming to realize that they must address, is the entire talent pool that works within their organization, including permanent, temporary and contract staff, as well as consultants.</w:t>
      </w:r>
    </w:p>
    <w:p>
      <w:pPr>
        <w:spacing w:after="0" w:line="124"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Companies have come to realize it is a mandate to know </w:t>
      </w:r>
      <w:r>
        <w:rPr>
          <w:rFonts w:ascii="Arial" w:cs="Arial" w:eastAsia="Arial" w:hAnsi="Arial"/>
          <w:sz w:val="16"/>
          <w:szCs w:val="16"/>
          <w:i w:val="1"/>
          <w:iCs w:val="1"/>
          <w:color w:val="auto"/>
        </w:rPr>
        <w:t>what’s now</w:t>
      </w:r>
      <w:r>
        <w:rPr>
          <w:rFonts w:ascii="Arial" w:cs="Arial" w:eastAsia="Arial" w:hAnsi="Arial"/>
          <w:sz w:val="16"/>
          <w:szCs w:val="16"/>
          <w:color w:val="auto"/>
        </w:rPr>
        <w:t xml:space="preserve"> and </w:t>
      </w:r>
      <w:r>
        <w:rPr>
          <w:rFonts w:ascii="Arial" w:cs="Arial" w:eastAsia="Arial" w:hAnsi="Arial"/>
          <w:sz w:val="16"/>
          <w:szCs w:val="16"/>
          <w:i w:val="1"/>
          <w:iCs w:val="1"/>
          <w:color w:val="auto"/>
        </w:rPr>
        <w:t>what’s next</w:t>
      </w:r>
      <w:r>
        <w:rPr>
          <w:rFonts w:ascii="Arial" w:cs="Arial" w:eastAsia="Arial" w:hAnsi="Arial"/>
          <w:sz w:val="16"/>
          <w:szCs w:val="16"/>
          <w:color w:val="auto"/>
        </w:rPr>
        <w:t xml:space="preserve"> in their talent requirements, and to be able to manage these requirements effectively across the full gamut of their available talent pool. Manpower is uniquely positioned to answer this call, and we intend to capitalize on this emerging need. In our view, it’s about the employment life cycle and the business cycle meshing together to optimize talent management and utilization. This is truly the next frontier for our clients worldwide to achieve optimal efficiency, productivity and competitive advantage.</w:t>
      </w:r>
    </w:p>
    <w:p>
      <w:pPr>
        <w:spacing w:after="0" w:line="9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Manpower solution is Talent Value Management</w:t>
      </w:r>
      <w:r>
        <w:rPr>
          <w:rFonts w:ascii="Arial" w:cs="Arial" w:eastAsia="Arial" w:hAnsi="Arial"/>
          <w:sz w:val="22"/>
          <w:szCs w:val="22"/>
          <w:color w:val="auto"/>
          <w:vertAlign w:val="superscript"/>
        </w:rPr>
        <w:t>sm</w:t>
      </w:r>
      <w:r>
        <w:rPr>
          <w:rFonts w:ascii="Arial" w:cs="Arial" w:eastAsia="Arial" w:hAnsi="Arial"/>
          <w:sz w:val="18"/>
          <w:szCs w:val="18"/>
          <w:color w:val="auto"/>
        </w:rPr>
        <w:t>, a concept that we developed over an 18-month period, to assist companies in determining where all of the various talent resides in their organization, and how the vast array of talent within that organization works together. This information then drives decisions that enable placement of the right people, with the right skills, in the right areas of the organization in order to improve productivity and efficiency, and drive the key outcomes required in the business strategy. We believe Talent Value Management is the key to optimizing the most important investment in any company – people.</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is just one of the many ways that we are focused on what’s next in the world of work, and how we can change the role of employees in fundamental ways. With our array of services and innovative solutions to today’s most pressing employment challenges, Manpower has a distinct advantage that we intend to leverage toward further sustainable growth in the years ahead.</w:t>
      </w:r>
    </w:p>
    <w:p>
      <w:pPr>
        <w:spacing w:after="0" w:line="121"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TO SHAREHOLDERS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confident that 2004 will be marked as a turning point year for Manpower. At the core, Manpower and its offerings today, and what we are creating for the future, will redefine the industry. This is a bold statement, but one that we at Manpower believe in, strive for, and have the discipline and execution to achieve. The best is yet to come.</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 would like to thank the 27,000 talented, hard-working people of Manpower who deliver the best service in the industry, and make it all worthwhile through their exceptional dedication.</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 addition, I would also like to thank our Board of Directors for all of their insight and support. We welcome Marc Bolland, executive board member of Heineken N.V., as our newest member of the board, joining in 2004.</w:t>
      </w:r>
    </w:p>
    <w:p>
      <w:pPr>
        <w:spacing w:after="0" w:line="11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And finally, I would like to thank our shareholders for their commitment to Manpower and their continued confidence that we are poised for even greater performance in the years to 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What’s next? We’ll be ready.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242570</wp:posOffset>
            </wp:positionV>
            <wp:extent cx="1277620" cy="6686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7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JEFFREY A. JOERRES</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CHAIRMAN, CEO &amp; PRESIDENT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FEBRUARY 9, 2005</w:t>
      </w:r>
    </w:p>
    <w:p>
      <w:pPr>
        <w:spacing w:after="0" w:line="152"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SOCIAL RESPONSIBILITY</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2005 and beyond will present employers with a number of workplace challenges that will impact their organizations. At the forefront of these challenges are skills shortages of various kinds, which are already being felt in countries around the globe. Whether it is truck drivers in the U.K., auditors in the U.S., or welders in Australia, finding people with the right skills will become increasingly difficult and crucial to staying competitive.</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Equally as important is training for people at all levels. From C-level on down, a strategy for maintaining and improving competitive skill sets will be required for companies to continue to grow, develop and deliver future technologies and services.</w:t>
      </w:r>
    </w:p>
    <w:p>
      <w:pPr>
        <w:spacing w:after="0" w:line="118"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At the periphery of these issues are the underemployed, including the disabled, the elderly and other disadvantaged people. These people need extra assistance to help them participate in the workforce. This is becoming ever more important as changing demographics will exacerbate the skills shortage issue in the future.</w:t>
      </w:r>
    </w:p>
    <w:p>
      <w:pPr>
        <w:spacing w:after="0" w:line="49"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Manpower understands these issues and for more than five decades we have developed innovative workforce development programs – both large-scale national initiatives and smaller local efforts – to help thousands of people engage in sustainable employment. We understand that developing skills is a key component to helping people move into better paying jobs. We also understand that people with the right job skills also need an employer that is willing to give them a chance to work, regardless of where they have come from, what they look like, or whether they have special needs. Our systems, programs and policies are designed to make the connection to work a viable option for those who have struggled in the journey.</w:t>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pages illustrate some of the ways over the past year Manpower has been able to help people improve their employability, engage in the workforce, and make a positive change in their lives.</w:t>
      </w:r>
    </w:p>
    <w:p>
      <w:pPr>
        <w:sectPr>
          <w:pgSz w:w="11900" w:h="16838" w:orient="portrait"/>
          <w:cols w:equalWidth="0" w:num="1">
            <w:col w:w="11400"/>
          </w:cols>
          <w:pgMar w:left="240" w:top="274" w:right="25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2637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“What mattered to Manpower was my experience, my education and whether I could do a good job for the customer – not my name or where I came from.”</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BREAKING THE CULTURAL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BARRIERS FOR IMMIGRANTS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DENHELDER</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Alexander Denhelder arrived in Sweden as a Kurdish political refugee from Iraq. He completed his economics degree from Stockholm University, but had great difficulty finding a company that would hire him. For a year and a half, he searched in frustration for employment, completing hundreds of applications without a single interview. Then, one day he responded to an employment advertisement from Manpower and everything changed.</w:t>
      </w:r>
    </w:p>
    <w:p>
      <w:pPr>
        <w:spacing w:after="0" w:line="9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“Manpower gave me a chance to work when no one else would,” said Alexander. “Since the day I started at Manpower, my managers have given me support and encouragement. They trust in me to make our customers happy and I trust in them to find me rewarding work and support my ambitions.”</w:t>
      </w:r>
    </w:p>
    <w:p>
      <w:pPr>
        <w:spacing w:after="0" w:line="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It was six years ago when we found work for Alexander at Siemens. Today, he is working as an archive assistant at Sweden’s FMV (Försvarets Materielverk) defense materials department.</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story from Sweden illustrates how Manpower is uniquely positioned to help immigrants find work in their “new” countries, and how we can help fill labor shortages in local markets. In many countries, it can be difficult for immigrants to find jobs. This can be due to a variety of reasons: lack of certifications/education, lack of experience, language barriers, cultural misunderstandings, and racial discrimination. At the same time, employers in these very same countries are facing skills shortages.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Manpower has proprietary assessment and selection systems that focus strictly on the competence of the worker – not nationality, race, gender or age – we are often the only employment option for disadvantaged individuals when other avenues to employment have failed. This is important for both employers and employees, as stronger employment laws are being enacted in many countries to improve inclusion in the workplace. More importantly, our systems are uniquely designed to match people to positions that are the right fit for their interests and abilities, where they can have a better chance to succeed and establish a solid foundation in their adopted countries.</w:t>
      </w:r>
    </w:p>
    <w:p>
      <w:pPr>
        <w:sectPr>
          <w:pgSz w:w="11900" w:h="16838" w:orient="portrait"/>
          <w:cols w:equalWidth="0" w:num="1">
            <w:col w:w="11360"/>
          </w:cols>
          <w:pgMar w:left="240" w:top="1440" w:right="29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246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“In the early ‘90s, a woman truck driver was an oddity, but that attitude has changed. I think Manpower has done a lot to help bring about that change.”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OPENING DOORS TO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NON-TRADITIONAL CAREERS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PATRICIA MERRICK</w:t>
      </w:r>
    </w:p>
    <w:p>
      <w:pPr>
        <w:spacing w:after="0" w:line="15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Patricia Merrick is no stranger to work. In fact, she manages two careers – one as an actress, landing roles in TV dramas, theater and film; and one as a professional driver with Manpower Driving in the U.K.</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“Working for Manpower is great; it gives me the flexibility to continue my acting career and supplement my income when I’m between acting jobs,” said Patricia. “As an actress I can disappear from my driving career for a few months and then pick up again where I left off when the acting job’s done. I can rely on Manpower to be there when I’m ready to go back to driving.”</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Patricia started driving nearly 14 years ago, women drivers were a rare breed. “In the early ‘90s a woman truck driver was an oddity, but that attitude has changed,” explained Patricia. “I’m a woman, but I’m also just another driver who gets the job done. I think Manpower has done a lot to bring about that change in attitude and defeat the idea that women aren’t suited to driving.”</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shortage of skilled workers resulting from demographic shifts is providing a tremendous opportunity to engage groups in the workforce who are currently underrepresented in many career paths. Across the U.K., drivers are in short supply and Manpower has been successful in recruiting them, due in part to our diversity strategy. By marketing the driving career to non-traditional groups in the U.K. – such as women, minorities and older persons – Manpower has been able to find quality drivers when the transportation industry as a whole is experiencing a severe shortage.</w:t>
      </w:r>
    </w:p>
    <w:p>
      <w:pPr>
        <w:spacing w:after="0" w:line="9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are changing the image of driving as a career by eliminating old stereotypes and providing excellent pay, benefits, and the certification training that people need to succeed as drivers. While our driving recruits benefit from a stable career, our clients also benefit from having high-caliber, reliable drivers.</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People are surprised when Patricia tells them she’s been a driver for 14 years. “We drive for high-caliber clients that are very friendly and accommodating. I’ve been offered full-time jobs, but I’d rather keep driving for Manpower.”</w:t>
      </w:r>
    </w:p>
    <w:p>
      <w:pPr>
        <w:sectPr>
          <w:pgSz w:w="11900" w:h="16838" w:orient="portrait"/>
          <w:cols w:equalWidth="0" w:num="1">
            <w:col w:w="11420"/>
          </w:cols>
          <w:pgMar w:left="240" w:top="1440" w:right="2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2637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“Like so many unemployed people, I just needed a helping hand. Manpower gave me the chance to show what I could do.”</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FACILITATING THE TRANSITION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A MORE VIABLE CAREER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CARESSE SEGUIN</w:t>
      </w:r>
    </w:p>
    <w:p>
      <w:pPr>
        <w:spacing w:after="0" w:line="151"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Caresse Seguin, a single mom with two children, was seeking a fresh start after moving back to Alberta from Ontario where she was employed as a healthcare worker for the elderly. The wage difference for this occupation in Alberta wouldn’t allow her to provide for her family, so she was on social assistance and looking for a job that could grow with her. Then a representative of the Alberta provincial government recommended her for Manpower’s TechReach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“Like so many unemployed people, I just needed a helping hand,” said Caresse. “Manpower gave me the chance to show what I could do.”</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Manpower’s TechReach program, a workforce development initiative in the United States and Canada, is designed to prepare unemployed and underemployed individuals for well-paying careers in information technology and other in-demand jobs. It includes intensive training, certification, job placement and mentoring in an effort to provide businesses with a new source of skilled employees.</w:t>
      </w:r>
    </w:p>
    <w:p>
      <w:pPr>
        <w:spacing w:after="0" w:line="12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Not only does it provide companies with a new source of employees, but it also makes a difference in people’s lives. Caresse graduated from our TechReach program with a new-found confidence in her abilities and a “master” skills ranking in a variety of PC applications. She is currently making a good hourly wage as a sales support assistant for Weyerhaeuser, an international forest products company, in Calgary, Canada.</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“Manpower’s training program gave me the opportunity to empower myself with the skills I needed to work for a major corporation,” noted Caresse. “I couldn’t have done it without them.”</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Today, TechReach is active in 45 locations throughout the United States and Canada and it is one of our larger programs that helps teach people new skills so they can improve their employment situations and make career transitions. More than 1,000 people have graduated from the program since its inception, including disabled, elderly and unemployed persons.</w:t>
      </w:r>
    </w:p>
    <w:p>
      <w:pPr>
        <w:sectPr>
          <w:pgSz w:w="11900" w:h="16838" w:orient="portrait"/>
          <w:cols w:equalWidth="0" w:num="1">
            <w:col w:w="11400"/>
          </w:cols>
          <w:pgMar w:left="240" w:top="1440" w:right="25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2637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 tell my family and friends to come sign up with Manpower because here, temporary workers are really respected. We are treated well and helped to advance in our careers.”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IMPROVING BASIC SKILLS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ENABLE ADVANCEMENT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MAMADOU BALA BA</w:t>
      </w:r>
    </w:p>
    <w:p>
      <w:pPr>
        <w:spacing w:after="0" w:line="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It’s very difficult, if not impossible, to advance in your career when you lack the skills. That’s why Manpower develops training programs to help its temporary workers improve their skill sets so they can move into better paying jobs.</w:t>
      </w:r>
    </w:p>
    <w:p>
      <w:pPr>
        <w:spacing w:after="0" w:line="118"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For example, Manpower France has created Alphabétisation et Techniques Culinaires (Literacy and Culinary Techniques), an innovative program that combines training in literacy with advanced culinary techniques for its temporary workers in the restaurant field. Our program is a six-month, 210-hour course taught at the l’ École Grégoire-Ferrandi de Paris, a culinary training academy. Here, our employees learn French and mathematics in the context of the kitchen.</w:t>
      </w:r>
    </w:p>
    <w:p>
      <w:pPr>
        <w:spacing w:after="0" w:line="93"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Mamadou Bala Ba, a Senegalese immigrant, came to France 18 years ago. However, his command of the French language was still very rudimentary when he signed on with our Paris branch as a dishwasher in the summer of 2003. But today, thanks to his motivation and our literacy program, he now has the skills and knowledge to work as a cook’s assistant. This allows Manpower to send him out on higher-skilled, higher-status assignments that pay more.</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“Now I can speak French better and I write it well,” said Mamadou. “I learned to read a recipe and calculate the amounts of the different ingredients…now I also know cooking vocabulary and technical terms.”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Mamadou is also more interested in his new career path.</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“Before the training I worked as a dishwasher, washing plates, glasses, etc. Now, I help prepare the food and I like it a lot,” explained Mamadou. “The Manpower class really helped me develop – I work more often, the work is more interesting, and I’m paid better.”</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Understandably, Mamadou has become an advocate of Manpower. “Manpower really stands out compared to other agencies. I tell my family and friends to come sign up with Manpower because here, temporary workers are really respected. We are treated well and helped to advance in our careers. This course is proof of it!”</w:t>
      </w:r>
    </w:p>
    <w:p>
      <w:pPr>
        <w:sectPr>
          <w:pgSz w:w="11900" w:h="16838" w:orient="portrait"/>
          <w:cols w:equalWidth="0" w:num="1">
            <w:col w:w="11380"/>
          </w:cols>
          <w:pgMar w:left="240" w:top="1440" w:right="27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2637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“Acceptance is one of the biggest challenges I faced in finding employment. It was very important for me to work for an employer who would be accepting of my unique situation, and my guide dog, Max.”</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REMOVING BARRIERS FOR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PEOPLE WITH DISABILITIES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MARGARITA JIMINEZ</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world of work is challenging enough for most of us, but imagine that you are one of the estimated 386-million working-age people in the world who are disabled. Unfortunately, a large number of people with disabilities, who are willing and able to work, are unemployed. Sometimes, this is because employers are unwilling to give them the opportunity. Frequently, it is because the individuals have not had access to adequate education or training to provide them with work-ready skills. Sometimes, it is simply because buildings or transportation are inaccessible to them. All of these are real barriers that prevent millions of people from earning a living.</w:t>
      </w:r>
    </w:p>
    <w:p>
      <w:pPr>
        <w:spacing w:after="0" w:line="12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Manpower’s initiatives around the world help to remove these barriers. Caminemos Juntos (Let’s walk together), launched in 2001 in Mexico, is a prime example of how Manpower trains the disabled to ensure they have the skills required to enter the workforce and succeed on the job. Since its inception, the program has successfully worked with over 40 potential and current customers and 15 labor organizations to place 300 individuals with disabilities.</w:t>
      </w:r>
    </w:p>
    <w:p>
      <w:pPr>
        <w:spacing w:after="0" w:line="9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Margarita Jiminez, who is visually impaired, is one of those individuals. She was referred to our program through one of the Mexican Labor Ministry’s workforce development initiatives for the unemployed. Because of her impairment, Margarita believed that she was best suited for telephone work.</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“Before the Manpower training I didn’t even know how a switchboard was operated. But now, we’re best friends,” joked Margarita. “Through Caminemos Juntos I learned to be more self-reliant and work with all different kinds of people.”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Upon completing the program a year and a half ago, she was hired as switchboard operator for Manpower’s headquarters in Mexico City and is doing quite well.</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“Acceptance is one of the biggest challenges I faced in finding employment. It was very important for me to work for an employer who would be accepting of my unique situation, and my guide dog, Max,” explained Margarita. “I am very grateful that Manpower offered this program, and hopefully, my testimony and performance on the job will motivate other employers to hire people with disabilities.”</w:t>
      </w:r>
    </w:p>
    <w:p>
      <w:pPr>
        <w:sectPr>
          <w:pgSz w:w="11900" w:h="16838" w:orient="portrait"/>
          <w:cols w:equalWidth="0" w:num="1">
            <w:col w:w="11420"/>
          </w:cols>
          <w:pgMar w:left="240" w:top="144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SOCIAL RESPONSIBILITY</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All over the world, Manpower employees, partnering with community organizations, businesses and governments, engage in workforce development programs and activities that make a difference in people’s lives.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Because of our relationships with both employers and workers, we are uniquely positioned to determine where current and future skills gaps are, identify people who need help, and develop solutions that bring these two groups together, mutually benefiting both. In this way, we function as a “bridge” to full-time employment for many who would otherwise be unemployed. Our industry leading skills assessment methods and hiring policies help us ensure that people are not discriminated against. Rather, we focus on people’s abilities – not their disabilities.</w:t>
      </w:r>
    </w:p>
    <w:p>
      <w:pPr>
        <w:spacing w:after="0" w:line="13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For us, being a responsible company extends well beyond just writing a donation check to a charitable cause. It’s about strengthening the diversity of our communities and creating opportunities for all people to participate in the workforce. Whether it’s helping an unemployed single mother return to the workforce, or giving a job to an immigrant when no one else would, our reward comes knowing that we make a real difference – today and in the future.</w:t>
      </w:r>
    </w:p>
    <w:p>
      <w:pPr>
        <w:sectPr>
          <w:pgSz w:w="11900" w:h="16838" w:orient="portrait"/>
          <w:cols w:equalWidth="0" w:num="1">
            <w:col w:w="11400"/>
          </w:cols>
          <w:pgMar w:left="240" w:top="274"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RELIEF FOR ASIAN TSUNAMI SURVIVORS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researched many potential activities that we could engage in to provide relief for the survivors of this tragic disaster. We concluded that India is where we could make the greatest impact on the long-term recovery efforts, by helping those who have lost their jobs, or have lost the primary income provider in their families, to move toward economic stability. Therefore, Manpower will be funding the development of a vocational training center in the Tamil Nadu state in India, one of the most affected areas hit by the Asian tsunami. Through the new vocational training center in India, we hope to play a small role in rebuilding those lives most affected by this tragic disaster. Donations from our operations around the world, combined with the new vocational training center, bring the total Manpower commitment to tsunami victims to $1.7 million.</w:t>
      </w:r>
    </w:p>
    <w:p>
      <w:pPr>
        <w:sectPr>
          <w:pgSz w:w="11900" w:h="16838" w:orient="portrait"/>
          <w:cols w:equalWidth="0" w:num="1">
            <w:col w:w="11400"/>
          </w:cols>
          <w:pgMar w:left="240" w:top="274" w:right="2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hanging="452"/>
        <w:spacing w:after="0" w:line="306"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$37.4 million, $28.1 million, $25.8 million, $26.5 million, and $34.5 million for 2000, 2001, 2002, 2003, and 2004, respectively. These fees are primarily based on revenues generated by the franchise operations, which were $1,639.5 million, $1,323.4 million, $1,179.8 million, $1,214.4 million and $1,487.1 million for 2000, 2001, 2002, 2003, and 2004, respectively.</w:t>
      </w:r>
    </w:p>
    <w:p>
      <w:pPr>
        <w:spacing w:after="0" w:line="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 fees received from the related franchise operations of</w:t>
      </w:r>
    </w:p>
    <w:p>
      <w:pPr>
        <w:spacing w:after="0" w:line="38" w:lineRule="exact"/>
        <w:rPr>
          <w:rFonts w:ascii="Arial" w:cs="Arial" w:eastAsia="Arial" w:hAnsi="Arial"/>
          <w:sz w:val="16"/>
          <w:szCs w:val="16"/>
          <w:color w:val="auto"/>
        </w:rPr>
      </w:pPr>
    </w:p>
    <w:p>
      <w:pPr>
        <w:jc w:val="both"/>
        <w:ind w:left="460" w:right="120"/>
        <w:spacing w:after="0" w:line="255" w:lineRule="auto"/>
        <w:rPr>
          <w:rFonts w:ascii="Arial" w:cs="Arial" w:eastAsia="Arial" w:hAnsi="Arial"/>
          <w:sz w:val="16"/>
          <w:szCs w:val="16"/>
          <w:color w:val="auto"/>
        </w:rPr>
      </w:pPr>
      <w:r>
        <w:rPr>
          <w:rFonts w:ascii="Arial" w:cs="Arial" w:eastAsia="Arial" w:hAnsi="Arial"/>
          <w:sz w:val="18"/>
          <w:szCs w:val="18"/>
          <w:color w:val="auto"/>
        </w:rPr>
        <w:t>$32.5 million, $24.1 million, $21.7 million, $21.9 million, and $25.0 million for 2000, 2001, 2002, 2003, and 2004, respectively. These fees are primarily based on revenues generated by the franchise operations, which were $1,433.9 million, $1,135.5 million, $1,015.8 million, $1,026.2 million, and $1,181.5 million for 2000, 2001, 2002, 2003, and 2004, respectively.</w:t>
      </w:r>
    </w:p>
    <w:p>
      <w:pPr>
        <w:spacing w:after="0" w:line="49" w:lineRule="exact"/>
        <w:rPr>
          <w:rFonts w:ascii="Arial" w:cs="Arial" w:eastAsia="Arial" w:hAnsi="Arial"/>
          <w:sz w:val="16"/>
          <w:szCs w:val="16"/>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Systemwide Offices represents our branch offices plus the offices operating under a franchise agreement with us.</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January 1, 2002, we adopted SFAS No. 142, “Goodwill and Other Intangible Assets,” which prohibits the amortization of goodwill and identifiable intangible assets with an indefinite life.</w:t>
      </w:r>
    </w:p>
    <w:p>
      <w:pPr>
        <w:spacing w:after="0" w:line="37"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the fourth quarter of 2004, we adopted EITF Issue No. 04-8. Previously reported Earnings Per Share – Diluted amounts have been restated to reflect the impact of applying the “if-converted” method to our Debentures. (See note 3 to the consolidated financial statements for further information.)</w:t>
      </w:r>
    </w:p>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CONTENTS</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MANAGEMENT’S DISCUSSION AND ANALYSIS</w:t>
      </w:r>
    </w:p>
    <w:p>
      <w:pPr>
        <w:spacing w:after="0" w:line="15" w:lineRule="exact"/>
        <w:rPr>
          <w:sz w:val="20"/>
          <w:szCs w:val="20"/>
          <w:color w:val="auto"/>
        </w:rPr>
      </w:pPr>
    </w:p>
    <w:p>
      <w:pPr>
        <w:ind w:left="820" w:hanging="812"/>
        <w:spacing w:after="0"/>
        <w:tabs>
          <w:tab w:leader="none" w:pos="8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MANAGEMENT REPORT ON INTERNAL CONTROL OVER FINANCIAL REPORTING</w:t>
      </w:r>
    </w:p>
    <w:p>
      <w:pPr>
        <w:spacing w:after="0" w:line="32" w:lineRule="exact"/>
        <w:rPr>
          <w:rFonts w:ascii="Arial" w:cs="Arial" w:eastAsia="Arial" w:hAnsi="Arial"/>
          <w:sz w:val="16"/>
          <w:szCs w:val="16"/>
          <w:color w:val="auto"/>
        </w:rPr>
      </w:pPr>
    </w:p>
    <w:p>
      <w:pPr>
        <w:ind w:left="820" w:hanging="812"/>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CONSOLIDATED STATEMENTS OF SHAREHOLDERS’ EQUITY</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ind w:left="820" w:hanging="812"/>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FINANCIAL MEASURES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SELECTED FINANCIAL DATA</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CORPORATE INFORMATION</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PRINCIPAL OPERATING UNITS</w:t>
      </w:r>
    </w:p>
    <w:p>
      <w:pPr>
        <w:sectPr>
          <w:pgSz w:w="11900" w:h="16838" w:orient="portrait"/>
          <w:cols w:equalWidth="0" w:num="1">
            <w:col w:w="10219"/>
          </w:cols>
          <w:pgMar w:left="240" w:top="274" w:right="1440"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83"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Manpower Inc. is a world leader in the employment services industry. Our global network of over 4,300 offices in 67 countries and territories allows us to meet the needs of our customers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2015490" cy="1680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1549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do this through the Manpower family of companies (see Principal Operating Units) which includes:</w:t>
      </w:r>
    </w:p>
    <w:p>
      <w:pPr>
        <w:spacing w:after="0" w:line="77"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Manpower – temporary and permanent staffing, employee assessment, and training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Jefferson Wells – professional financial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Right Management Consultants – career transition and organizational consulting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Elan – IT recruitment and managed services</w:t>
      </w:r>
    </w:p>
    <w:p>
      <w:pPr>
        <w:spacing w:after="0" w:line="1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example, to ensure that customers have the right person – with the right skills – when business demand is high, we offer permanent, temporary and contract recruitment, and employee assessment and training services. We also provide highly specialized professional services, such as internal audit and controls, technology risk management, tax, finance and accounting services. If customers are searching for ways to work “smarter,” we also offer a wide range of organizational consulting services such as strategic talent management and leadership development. On the other hand, if a customer’s business demand is low, we offer career transition (outplacement) services. We also offer managed services if a customer wants to outsource a complete business function with us, such as call center, help desk, recruiting, or manufacturing operations. This balanced business mix allows us to offset the cyclical affects of the national economies in which we operate.</w:t>
      </w:r>
    </w:p>
    <w:p>
      <w:pPr>
        <w:spacing w:after="0" w:line="134"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different points in their career paths. Each year, we employ more than two million people who work to help our more than 400,000 customers meet their business objectives. Laborers, seasoned professionals, mothers returning to work, elderly persons wanting to supplement pensions and disabled individuals – all turn to Manpower for employment. Similarly, governments of the nations in which we operate look to us to help them reduce unemployment and train the unemployed with the skills they need to enter the workforce. In this way, Manpower is a bridge to permanent employment for those who desire it.</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customers and in the employment services industry itself.</w:t>
      </w:r>
    </w:p>
    <w:p>
      <w:pPr>
        <w:spacing w:after="0" w:line="12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manage these trends by leveraging established strengths, including one of the employment services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Customer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services. Correspondingly, during periods of weak economic growth or economic contraction, the demand for our staffing services typically declines, while demand for our career transition services accelerates.</w:t>
      </w:r>
    </w:p>
    <w:p>
      <w:pPr>
        <w:spacing w:after="0" w:line="124"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During the last several years, secular trends toward greater workforce flexibility have had a favorable impact on demand for our services in several markets. As companies attempt to increase the variability of their cost base, contemporary work solutions help them to effectively address the fluctuating demand for their products or services. Due to our industry’s dependence on economic factors, the inherent difficulty in forecasting the direction and strength of the economy and the short-term nature of staffing assignments, it is difficult to forecast future demand for our services with any certainty. As a result, we monitor a number of economic indicators, as well as recent business trends, to predict future revenue growth trends. Based upon these anticipated trends, we determine whether additional personnel and office investments are necessary to take full advantage of growth opportunities.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staffing business is organized and managed primarily on a geographic basis, and Jefferson Wells and Right are operated as separate global business units. Each country and business unit primarily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Jefferson Wells; Right; and Other Operations.</w:t>
      </w:r>
    </w:p>
    <w:p>
      <w:pPr>
        <w:spacing w:after="0" w:line="9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The United States, France, EMEA, and Other Operations segments derive a significant majority of their revenues from the placement of temporary workers. The remaining revenues within these segments are derived from other human resource services, including permanent employee recruitment, temporary and permanent employee testing, selection, and training and development. Jefferson Wells’ revenues are derived from internal audit and control services, technology risk management, tax, finance and accounting services. The Right segment revenues are derived from career transition (outplacement) services and organizational-performance consulting. Segment revenues represent sales to external customers. Due to the nature of our business, we do not have export or intersegment sales. We provide services to a wide variety of customers, none of which individually comprise a significant portion of revenue for us as a whole and by segment, except for Jefferson Wells, in which approximately 19% of Jefferson Wells’ revenues for 2004 were generated from providing services to one customer.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CONSTANT CURRENCY</w:t>
      </w:r>
    </w:p>
    <w:p>
      <w:pPr>
        <w:spacing w:after="0" w:line="8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Changes in our revenues and operating profits include the impact of changes in foreign currency exchange rates and acquisitions and dispositions. We provide “constant currency” and “organic constant currency” calculations in this annual report to remove the impact of these items. We typically express year-over-year variances that are calculated in constant currency and organic constant currency as a percentage.</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Earnings from our subsidiaries are not generally repatriated to the United States, and we typically do not incur significant gains or losses on foreign currency transactions with our subsidiaries. Therefore, changes in foreign currency exchange rates primarily impact only reported earnings and not our actual cash flow or economic condition.</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 90.</w:t>
      </w:r>
    </w:p>
    <w:p>
      <w:pPr>
        <w:spacing w:after="0" w:line="112"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5" w:lineRule="exact"/>
        <w:rPr>
          <w:sz w:val="20"/>
          <w:szCs w:val="20"/>
          <w:color w:val="auto"/>
        </w:rPr>
      </w:pPr>
    </w:p>
    <w:p>
      <w:pPr>
        <w:ind w:right="4680"/>
        <w:spacing w:after="0" w:line="332" w:lineRule="auto"/>
        <w:rPr>
          <w:sz w:val="20"/>
          <w:szCs w:val="20"/>
          <w:color w:val="auto"/>
        </w:rPr>
      </w:pPr>
      <w:r>
        <w:rPr>
          <w:rFonts w:ascii="Arial" w:cs="Arial" w:eastAsia="Arial" w:hAnsi="Arial"/>
          <w:sz w:val="18"/>
          <w:szCs w:val="18"/>
          <w:b w:val="1"/>
          <w:bCs w:val="1"/>
          <w:u w:val="single" w:color="auto"/>
          <w:color w:val="auto"/>
        </w:rPr>
        <w:t xml:space="preserve">RESULTS OF OPERATIONS - YEARS ENDED DECEMBER 31 , 2004 , 2003 AND 2002 </w:t>
      </w:r>
      <w:r>
        <w:rPr>
          <w:rFonts w:ascii="Arial" w:cs="Arial" w:eastAsia="Arial" w:hAnsi="Arial"/>
          <w:sz w:val="18"/>
          <w:szCs w:val="18"/>
          <w:b w:val="1"/>
          <w:bCs w:val="1"/>
          <w:color w:val="auto"/>
        </w:rPr>
        <w:t>Consolidated Results - 2004 compared to 2003</w:t>
      </w:r>
    </w:p>
    <w:p>
      <w:pPr>
        <w:spacing w:after="0" w:line="1"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Revenues from Services increased 22.5% to $14.9 billion. Revenues were favorably impacted by changes in foreign currency exchange rates during the period due to the weakening of the U.S. Dollar relative to the currencies in most of our non-U.S. markets. In constant currency, revenues increased 14.1%. Revenues were also favorably impacted by acquisitions, primarily the acquisition of Right Management Consultants, Inc. (“RMC”). Revenues increased 19.2% excluding acquisitions or 10.9% on an organic constant currency basis. This growth rate is a result of improving economic conditions and increased demand for our services in all of our major markets, particularly EMEA and Jefferson Wells, where revenues increased 18.0% and 149.6% respectively, on a constant currency basis.</w:t>
      </w:r>
    </w:p>
    <w:p>
      <w:pPr>
        <w:spacing w:after="0" w:line="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Gross Profit increased 30.5% to $2.8 billion in 2004. The Gross Profit Margin increased 120 basis points (1.2%) to 18.7% in 2004 from 17.5% in 2003. Gross Profit growth from acquisitions, primarily from RMC, was approximately $220 million, which favorably impacted the Gross Profit Margin by 100 basis points (1.0%). Excluding acquisitions, Gross Profit Margin was 17.7% in 2004, an increase of 20 basis points (0.2%) over the Gross Profit Margin of 17.5% in 2003. This improvement is a result of the change in the mix of services provided, toward those with higher Gross Profit Margins. Approximately one-half of this improvement is due to the relatively higher growth at Jefferson Wells, with the remaining improvement a result of an increase in our permanent placement business, particularly in the EMEA and the Other Operations segments. While we saw Gross Profit Margin improvement in our temporary staffing business in several markets, this improvement was offset by decreases in others due to increased social costs, including increased U.S. workers’ compensation costs and state unemployment taxes.</w:t>
      </w:r>
    </w:p>
    <w:p>
      <w:pPr>
        <w:spacing w:after="0" w:line="1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Selling and Administrative Expenses increased 27.3% during 2004 or 19.1% in constant currency. This increase is primarily in response to the increase in business volume and the impact of acquisitions, including the intangible asset amortization of $12.3 million in 2004 resulting from the RMC acquisition. Excluding the impact of acquisitions, these expenses increased 16.6%, or 8.9% on an organic constant currency basis. As a percent of revenues, Selling and Administrative Expenses were 16.0% in 2004 compared to 15.4% in 2003. This ratio is impacted by the acquisition of RMC, because RMC has a different cost structure than our existing business. Excluding acquisitions, Selling and Administrative Expenses were 15.1% of revenues in 2004, an improvement of 30 basis points (.3%) from 2003. This improvement reflects continued productivity gains in conjunction with the revenue growth, as we were able to leverage our office network.</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Profit increased 53.5% over 2003, with an Operating Profit Margin of 2.7% in 2004 compared to 2.1% in 2003. On a constant currency basis, Operating Profit increased 43.0%. Excluding the impact of acquisitions, Operating Profit increased 46.0%, or 35.7% on an organic constant currency basis in 2004. Operating Profit Margin, excluding acquisitions, improved to 2.6% in 2004 compared to 2.1% in 2003. This improvement in Operating Profit Margin is due to the increase in Gross Profit Margin coupled with the productivity gains.</w:t>
      </w:r>
    </w:p>
    <w:p>
      <w:pPr>
        <w:spacing w:after="0" w:line="13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 total, Interest and Other Expenses decreased $9.5 million in 2004 from 2003. Net Interest Expense was $36.0 million in 2004 compared to $33.4 million in 2003. This increase is primarily due to increased interest rates and the impact of higher exchange rates on our euro-denominated interest expense, offset by higher interest income. Foreign exchange gains and losses primarily result from intercompany transactions between our foreign subsidiaries and the United States. Such gains were $1.6 million and $1.3 million in 2004 and 2003, respectively.</w:t>
      </w:r>
    </w:p>
    <w:p>
      <w:pPr>
        <w:spacing w:after="0" w:line="102"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Miscellaneous Income (Expense), Net, was income of $8.1 million in 2004 compared to expense of $3.7 million in 2003. The income in 2004 includes non-operating gains of $14.2 million ($0.11 per diluted share), primarily related to the sale of our equity interest in a European internet job board during the first quarter of 2004. Net proceeds from this transaction were $29.8 million.</w:t>
      </w:r>
    </w:p>
    <w:p>
      <w:pPr>
        <w:spacing w:after="0" w:line="121"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provided for income taxes at a rate of 33.5% in 2004 and 38.0% in 2003. Included in the 2004 rate is the impact of the non-operating gains recorded in the first quarter and the reversal of an $8.0 million tax contingency reserve in the third quarter. Excluding these items, our rate for 2004 would have been 36.0%. This rate is higher than the U.S. Federal statutory rate of 35% due to higher foreign income tax rates and $9.5 million of taxes recorded on the unremitted earnings of foreign subsidiaries, offset by the tax benefits, including the reversal of $16.7 million of valuation allowances, of certain internal corporate restructurings and transactions.</w:t>
      </w:r>
    </w:p>
    <w:p>
      <w:pPr>
        <w:spacing w:after="0" w:line="1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Net Earnings Per Share – Diluted increased 53.3% to $2.59 in 2004 compared to $1.69 in 2003. In constant currency, Net Earnings Per Share – Diluted increased 45.0%. The higher foreign currency exchange rates positively impacted Net Earnings Per Share – Diluted by approximately $0.14 in 2004. On an undiluted basis, Net Earnings Per Share was $2.76 in 2004 compared to $1.77 in 2003.</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During September 2004, the Emerging Issues Task Force (“EITF”) issued Issue No. 04-8, “The Effect of Contingently Convertible Debt on Diluted Earnings Per Share” (“EITF 04-8”), which requires the effect of contingently convertible debt securities with a market price trigger to be included in the calculation of diluted earnings per share, using the “if-converted” method, regardless of whether the market price trigger has been met. EITF 04-8 also requires restatement of previously reported earnings. Our convertible debentures, issued August 2001, have such a feature, and therefore we have restated Net Earnings Per Share – Diluted for all periods since the issuance. (See note 3 to the consolidated financial statements for further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- 2003 compared to 2002</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Revenues from Services increased 14.8% to $12.2 billion. Revenues were favorably impacted during the year by changes in foreign currency exchange rates due to the weakening of the U.S. Dollar relative to the currencies in most of our non-U.S. markets. In constant currency, revenues increased 2.2%. Revenue growth in 2003 attributable to acquisitions was approximately $21.3 million or 0.2% of revenue. On an organic constant currency basis, revenues increased by 2.0%. This growth rate is a result of increased activity in the Other Operations segment with stable revenue levels in the other markets.</w:t>
      </w:r>
    </w:p>
    <w:p>
      <w:pPr>
        <w:spacing w:after="0" w:line="9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Gross Profit increased 11.9% to $2.1 billion during 2003. The Gross Profit Margin declined 50 basis points (.5%) to 17.5% in 2003 from 18.0% in 2002. This decrease was attributable to higher payroll taxes and social costs, increased pricing pressures throughout the world, changes in the service mix of business (from higher margin service lines to lower margin service lines) and changes in the geographical mix of business (as revenue growth in countries with lower Gross Profit Margins, such as France, was higher than in some countries with higher Gross Profit Margins). Gross Profit growth from acquisitions was approximately $2.5 million and had an insignificant impact on Gross Profit Margin.</w:t>
      </w:r>
    </w:p>
    <w:p>
      <w:pPr>
        <w:spacing w:after="0" w:line="10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Selling and Administrative Expenses increased 12.1% during 2003. This increase is primarily due to the changes in exchange rates, as these expenses increased only 0.6% on a constant currency basis. As a percent of revenues, Selling and Administrative Expenses were 15.4% in 2003 compared to 15.8% in 2002. This improvement is a result of continued productivity gains and careful expense management in conjunction with growing revenues.</w:t>
      </w:r>
    </w:p>
    <w:p>
      <w:pPr>
        <w:spacing w:after="0" w:line="9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Operating Profit increased 9.9% during 2003, however on a constant currency basis, Operating Profit declined 6.6%. The Operating Profit Margin was 2.1% compared to 2.2% for 2002. The Operating Profit level primarily reflects the improved leveraging of the business offset by the Gross Profit Margin declines. Acquisitions made during 2003 decreased Operating Profit by approximately $0.2 million. Excluding the impact of acquisitions, Operating Profit increased 9.8% during 2003, however on an organic constant currency basis, Operating Profit decreased 6.6%. Acquisitions had no impact on Operating Profit Margin in 2003.</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and Other Expense is comprised of interest, foreign exchange gains and losses, and other miscellaneous non-operating income and expenses. In total, Interest and Other Expense decreased $11.0 million from 2002 to 2003. Net interest expense was $33.4 million in 2003 and 2002. Average borrowing levels were lower throughout 2003 compared</w:t>
      </w:r>
    </w:p>
    <w:p>
      <w:pPr>
        <w:spacing w:after="0" w:line="121"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2002, however the impact of this was offset by our Euro-denominated interest expense which was translated at higher rates in 2003. Foreign exchange gains and losses primarily result from intercompany transactions between our foreign subsidiaries and the United States. Such gains were $1.3 million and $1.8 million in 2003 and 2002, respectively.</w:t>
      </w:r>
    </w:p>
    <w:p>
      <w:pPr>
        <w:spacing w:after="0" w:line="12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Miscellaneous Expenses, Net, were $3.7 million in 2003 compared to $15.2 million in 2002. In the fourth quarter of 2002, we recorded a charge of $5.1 million ($2.9 million net of tax, or $0.04 per share) related to a writedown of equity security investments where the decline in market value was determined to be other-than-temporary, as defined by Statement of Financial Accounting Standards (“SFAS”) No. 115, “Accounting for Certain Debt and Equity Securities.”</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provided for income taxes at a rate of 38.0% in 2003. This rate is higher than the U.S. Federal statutory rate of 35% due primarily to the impact of higher foreign income tax rates and valuation reserves recorded against foreign net operating losses. This rate is lower than the 2002 effective tax rate of 39.8% due to an increase in the foreign tax credits used to offset the U.S. taxes on foreign earnings, offset somewhat by a shift in the mix of taxable income toward countries with relatively higher tax rates.</w:t>
      </w:r>
    </w:p>
    <w:p>
      <w:pPr>
        <w:spacing w:after="0" w:line="13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Net Earnings Per Share – Diluted increased 19.0% to $1.69 in 2003 compared to $1.42 in 2002. Net Earnings Per Share – Diluted in 2003 was positively impacted by the higher foreign currency exchange rates during the year. In constant currency, 2003 Net Earnings Per Share – Diluted would have been $1.42, the same as 2002. On an undiluted basis, Net Earnings Per Share was $1.77 in 2003 compared to $1.48 in 2002.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77"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b w:val="1"/>
          <w:bCs w:val="1"/>
          <w:color w:val="auto"/>
        </w:rPr>
        <w:t xml:space="preserve">U.S. </w:t>
      </w:r>
      <w:r>
        <w:rPr>
          <w:rFonts w:ascii="Arial" w:cs="Arial" w:eastAsia="Arial" w:hAnsi="Arial"/>
          <w:sz w:val="15"/>
          <w:szCs w:val="15"/>
          <w:color w:val="auto"/>
        </w:rPr>
        <w:t>– The United States operation is comprised of 591 Company-owned branch offices and 345 stand alone franchise offices. Revenues in the United States</w:t>
      </w:r>
      <w:r>
        <w:rPr>
          <w:rFonts w:ascii="Arial" w:cs="Arial" w:eastAsia="Arial" w:hAnsi="Arial"/>
          <w:sz w:val="15"/>
          <w:szCs w:val="15"/>
          <w:b w:val="1"/>
          <w:bCs w:val="1"/>
          <w:color w:val="auto"/>
        </w:rPr>
        <w:t xml:space="preserve"> </w:t>
      </w:r>
      <w:r>
        <w:rPr>
          <w:rFonts w:ascii="Arial" w:cs="Arial" w:eastAsia="Arial" w:hAnsi="Arial"/>
          <w:sz w:val="15"/>
          <w:szCs w:val="15"/>
          <w:color w:val="auto"/>
        </w:rPr>
        <w:t>consist of sales of our Company-owned branch offices and fees from our franchise operations. Revenues for the year were $2.0 billion, an increase of 4.9%, and include franchise fees of $25.0 million. Franchise fees are primarily based on revenues generated by the franchise network, which were $1.2 billion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272665" cy="19894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7266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in the United States accelerated through the first half of the year, after beginning the year slightly below prior year levels. Revenue growth stabilized in the second half of the year with growth exceeding 6% in both the third and fourth quarters (excluding the impact of Transpersonnel, our trucking operation that was disposed of in July 2004). Fueling this improving growth was an increase in demand for our light industrial and industrial skilled staff, which represents approximately 48% of our U.S. revenues. Revenue growth from placement of these skills increased nearly 20% from the prior year, reflecting an improvement of the U.S. manufacturing sector. Revenue from office and specialty skills lagged the prior year, however, the rate of contraction improved as we progressed through the year.</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Gross Profit Margin declined compared to the prior year due to increases in employment-related costs such as state unemployment taxes and workers’ compensation. While we were able to recover a substantial portion of these increases through higher bill rates, the competitive market environment did not allow us to fully recover all of these cost increases.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and Administrative Expenses trended favorably downward 0.9% during the year, primarily due to a reduction in personnel costs and branch office related costs. This cost reduction, combined with our revenue growth, reflects strong gains in productivity and our ability to leverage excess capacity across our U.S. branch office network.</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Operating Unit Profit for the year increased by 46.4% to $49.3 million. Our Operating Unit Profit Margin increased to 2.4% of revenues from 1.7%, as our productivity enhancements more than offset the decline in Gross Profit Margin.</w:t>
      </w:r>
    </w:p>
    <w:p>
      <w:pPr>
        <w:spacing w:after="0" w:line="112"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5"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 xml:space="preserve">France – </w:t>
      </w:r>
      <w:r>
        <w:rPr>
          <w:rFonts w:ascii="Arial" w:cs="Arial" w:eastAsia="Arial" w:hAnsi="Arial"/>
          <w:sz w:val="16"/>
          <w:szCs w:val="16"/>
          <w:color w:val="auto"/>
        </w:rPr>
        <w:t>Revenues in France increased 12.7% to $5.2 billion. In Euros, French Revenues increased 2.8% to €4.2 billion. The majority of this revenue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reflects hourly rate increases as volumes increased only slightly during the year. Revenue growth in Euro was modest in the first half of the year, growing by 2.7%, followed by softening in the third quarter to 1.0% and then accelerating to 4.9% in the fourth quarter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289810" cy="20326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8981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Gross Profit Margins declined compared to the prior year, even after excluding adjustments to our estimated liability related to social program remittances in each year. (In 2004, there was an unfavorable adjustment of $12.8 million, and in 2003, there was a $16.1 million favorable adjustment.) This decline reflects increasing price competition from large and small competitors, partially due to their expansion of office network capacity during a period of nominal growth in the total staffing market.</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Selling and Administrative Expenses were well controlled during the year, decreasing slightly from 2003 despite continued investment in new offices. A total of 49 new offices were opened during the year, bringing the total office count to 1,127.</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Unit Profit was $178.8 million, a decrease of 2.8% from the prior year. Operating Unit Profit Margin was 3.4%, a decrease from 3.9% in 2003. Operating Unit Profit was unfavorably impacted by the adjustment for social program remittances in 2004, and favorably impacted by the adjustments in 2003, as discussed above.</w:t>
      </w:r>
    </w:p>
    <w:p>
      <w:pPr>
        <w:spacing w:after="0" w:line="12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During 2004, a new law in France ended the French Job Center’s (ANPE’s) control of the placement of the unemployed. As a result of this law change, temporary staffing companies are allowed to offer placement and recruitment services beginning January 1, 2005. We expect these services will have a long-term benefit on our French business, but will not have a significant impact on 2005 results due to investments required to grow this service line.</w:t>
      </w:r>
    </w:p>
    <w:p>
      <w:pPr>
        <w:spacing w:after="0" w:line="87"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b w:val="1"/>
          <w:bCs w:val="1"/>
          <w:color w:val="auto"/>
        </w:rPr>
        <w:t xml:space="preserve">EMEA – </w:t>
      </w:r>
      <w:r>
        <w:rPr>
          <w:rFonts w:ascii="Arial" w:cs="Arial" w:eastAsia="Arial" w:hAnsi="Arial"/>
          <w:sz w:val="18"/>
          <w:szCs w:val="18"/>
          <w:color w:val="auto"/>
        </w:rPr>
        <w:t>The EMEA region includes our operations in Europe, the Middle East and Africa (excluding France), which covers a total of 18 countries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through 1,400 offices. In addition to employment services delivered under the Manpower brand, this region also includes Elan, which is a leading IT recruitment, staffing and managed services firm operating across 16 countries in the region, and Brook Street, which provides general staffing and recruitment services primarily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2289810" cy="19812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8981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Geographically, the largest operations in this segment are the U.K., which comprises 27% of EMEA revenues, Germany, Italy, the Netherlands, Norway, Spain and Sweden, which combined comprise 52% of EMEA revenues. Elan comprises 11% of EMEA revenues.</w:t>
      </w:r>
    </w:p>
    <w:p>
      <w:pPr>
        <w:spacing w:after="0" w:line="112"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Revenues in EMEA increased 29.7% to $5.1 billion, or 18.0% in constant currency. Constant currency revenue growth accelerated in the first half of the year and stabilized at 20% for the second half of the year. Fueling this strong revenue growth were investments in new offices, implementation of effective sales initiatives and positive secular trends in the usage of flexible staffing services. Revenue growth improved at all entities in the region, with significant local currency growth coming from Belgium (+27.3%), Elan (+24.6%), Italy (+18.9%) and Germany (+17.4%).</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Gross Profit Margin for the full year was slightly below the prior year, but was stable with the prior year in the second half of the year. The decline in Gross Profit Margin is due to competitive pricing pressure in certain markets and changing business mix, partially offset by the favorable impact of growth in permanent placement fees.</w:t>
      </w:r>
    </w:p>
    <w:p>
      <w:pPr>
        <w:spacing w:after="0" w:line="12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Selling and Administrative Expenses increased 22.3%, or 11.4% in constant currency. This growth in expenses reflects the necessary investments to support the rapid revenue growth. Additionally, we were able to achieve significant productivity gains, as we were able to leverage our existing office infrastructure.</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Unit Profit more than doubled to $115.1 million, an increase of 122.4%, or 104.1% in constant currency. The Operating Unit Profit Margin increased to 2.3% from 1.3%, reflecting the significant productivity gains.</w:t>
      </w:r>
    </w:p>
    <w:p>
      <w:pPr>
        <w:spacing w:after="0" w:line="11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Jefferson Wells – </w:t>
      </w:r>
      <w:r>
        <w:rPr>
          <w:rFonts w:ascii="Arial" w:cs="Arial" w:eastAsia="Arial" w:hAnsi="Arial"/>
          <w:sz w:val="18"/>
          <w:szCs w:val="18"/>
          <w:color w:val="auto"/>
        </w:rPr>
        <w:t>Jefferson Wells provides highly skilled project personnel along three primary business lines – internal audit and controls, technology risk</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tax and finance and accounting compliance. Our services are provided through 37 offices, which include major United States metropolitan markets, Toronto and London. The majority of employees assigned by Jefferson Wells are full-time company employees and therefore employee utilization is a significant factor in determining Gross Profit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2289810" cy="2066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8981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Revenues increased dramatically during the year, to $340.6 million from $136.4 million in 2003. This significant growth was primarily fueled by increased customer demand for technology risk management and internal audit and control services. Included in these services are personnel who assist companies in complying with the Sarbanes-Oxley Act legislation.</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Revenue trends grew sequentially throughout the year, and reached their peak levels in October. Revenues in the fourth quarter were $102.9 million, down 7.0% sequentially from the third quarter of 2004. This decline, which may continue into 2005, reflects a lower level of demand for our services as companies complete the initial stages of Sarbanes-Oxley compliance.</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Gross Profit Margins have improved by more than 650 basis points (6.5%) over the prior year and are in excess of 40% for 2004. This improvement primarily reflects the improved utilization of employees assigned to customer engagements.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Selling and Administrative Expenses increased by 56.7% as we continued to invest in new office openings and additional personnel to support the rapid revenue growth. As a percentage of revenues, these expenses declined dramatically as we were able to grow into office capacity, in which we had invested in previous years.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Operating Unit Profit was $51.4 million or 15.1% of revenue, reflecting the high employee utilization levels and expense leveraging discussed earlier.</w:t>
      </w:r>
    </w:p>
    <w:p>
      <w:pPr>
        <w:spacing w:after="0" w:line="175"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color w:val="auto"/>
        </w:rPr>
        <w:t xml:space="preserve">Right – </w:t>
      </w:r>
      <w:r>
        <w:rPr>
          <w:rFonts w:ascii="Arial" w:cs="Arial" w:eastAsia="Arial" w:hAnsi="Arial"/>
          <w:sz w:val="16"/>
          <w:szCs w:val="16"/>
          <w:color w:val="auto"/>
        </w:rPr>
        <w:t>On January 22, 2004, we completed our exchange offer to acquire RMC, the world’s largest career transition and organization consulting services firm,</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through approximately 300 offices in 35 countries. The results of RMC’s operations are included in our consolidated financial statements since that date. The acquisition of RMC expands the range of services that we offer to customers as a strategic partner through every stage of the employment cycle. We have merged our Empower operations into RMC, and the results of the combined entity are reported as the Right segment. Right’s revenues for the year are $431.1 million, of which, approximately 65% relates to career transition services and 35% relates to organizational consulting in 2004. Historically, the career transition services have a slightly higher gross profit margin than the organizational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289810" cy="22898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8981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first nine months of the year, demand for career transition services declined as the economy improved. Fourth quarter revenues, however, improved 4.3% sequentially due in part to seasonal factors. Demand for organizational consulting services has improved modestly during the course of the year as companies became more willing to invest in these services with an improving economy.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Operating Unit Profit for the year was $24.5 million, which is net of $8.1 million of integration costs related to the merger of Empower into RMC.</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Operating Unit Profit Margin for the year was 5.7%. This below-normal Operating Unit Profit Margin not only reflects the integration costs discussed above, but also reflects a transition period in adjusting expense levels to support lower revenue levels.</w:t>
      </w:r>
    </w:p>
    <w:p>
      <w:pPr>
        <w:spacing w:after="0" w:line="112"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auto"/>
        </w:rPr>
        <w:t xml:space="preserve">Other Operations – </w:t>
      </w:r>
      <w:r>
        <w:rPr>
          <w:rFonts w:ascii="Arial" w:cs="Arial" w:eastAsia="Arial" w:hAnsi="Arial"/>
          <w:sz w:val="16"/>
          <w:szCs w:val="16"/>
          <w:color w:val="auto"/>
        </w:rPr>
        <w:t>The Other Operations segment includes our operations in the Asia Pacific region, Canada, Mexico and South America, delivering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491 offices. Our largest country operation within this segment is Japan, which accounts for approximately 45% of the segment’s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289810" cy="20326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8981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Revenues in the region improved 22.3% to $1.8 billion, or 16.0% in constant currency. This strong local currency revenue growth was fueled by South America (+50.4%), Japan (+11.6%), Mexico (+15.0%), Australia (+10.3%) and Canada (+5.9%).</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Gross Profit Margin improved in the region primarily due to an increase in permanent placement fees. This improvement was partially offset by a decline in Gross Profit Margin in Japan, as increases in social costs were not fully recovered through higher bill rates due to competitive pressures.</w:t>
      </w:r>
    </w:p>
    <w:p>
      <w:pPr>
        <w:spacing w:after="0" w:line="7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Selling and Administrative Expenses increased 28.0%, or 21.3% in constant currency, reflecting increased investments in 52 new offices in the segment and additional personnel to support the growth of the permanent placement business.</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Operating Unit Profit increased 14.9% to $46.0 million, or 8.5% in constant currency. The Operating Unit Profit Margin declined from 2.7% to 2.5% as Selling and Administrative Expense increases exceeded the gains in Gross Profit Margin</w:t>
      </w:r>
    </w:p>
    <w:p>
      <w:pPr>
        <w:spacing w:after="0" w:line="112"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SOURCES AND USES</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principal ongoing cash needs are to finance working capital, capital expenditures, share repurchases, debt payments, and acquisitions. Working capital is primarily in the form of trade receivables, which generally increase as revenues increase. The amount of financing necessary to support revenue growth depends on receivable turnover, which differs in each market in which we operate.</w:t>
      </w:r>
    </w:p>
    <w:p>
      <w:pPr>
        <w:spacing w:after="0" w:line="12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During 2004, cash provided by operating activities was $187.4 million, compared to $223.4 million for 2003 and $227.9 million for 2002. The strong results reflect the impact of our focus on working capital management over the past few years. The change in 2004 from 2003 is due primarily to the higher working capital requirements to fund the growth in our business, offset by the higher earnings level in 2004.</w:t>
      </w:r>
    </w:p>
    <w:p>
      <w:pPr>
        <w:spacing w:after="0" w:line="12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Accounts receivable increased to $3,227.8 million as of December 31, 2004 from $2,600.9 million as of December 31, 2003. This increase is primarily due to increased business volumes, the acquisition of RMC, and changes in foreign currency exchange rates. At constant exchange rates, the 2004 Accounts Receivable balance would have been approximately $190 million less than reported. Days Sales Outstanding (“DSO”) has remained relatively stable during 2004, and has decreased one day since 2002. However, this calculation is impacted by the effect of exchange rates on our mix of accounts receivable by country. Excluding that impact, we have reduced DSO by approximately two days compared to 2002.</w:t>
      </w:r>
    </w:p>
    <w:p>
      <w:pPr>
        <w:spacing w:after="0" w:line="10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One of our wholly-owned U.S. subsidiaries has an agreement to transfer, on an ongoing basis, up to $200.0 million of an interest in its Accounts Receivable. The terms of this agreement are such that transfers do not qualify as a sale of accounts receivable. Accordingly, any advances under this agreement are reflected as debt on the consolidated balance sheets. Prior to an amendment to the agreement in November 2002, transfers of accounts receivable qualified as a sale and the related amount of accounts receivable was removed from our consolidated balance sheets. In July 2004, we amended the agreement to extend it to July 2005. All other terms remain substantially unchanged. No amounts were advanced under this facility as of December 31, 2004 and 2003.</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Capital expenditures were $67.9 million, $55.5 million, and $58.5 million during 2004, 2003 and 2002, respectively. These expenditures are primarily comprised of purchases of computer equipment, office furniture and other costs related to office openings and refurbishments, as well as capitalized software costs of $2.7 million, $8.2 million, and $17.7 million in 2004, 2003, and 2002, respectively.</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we acquire and invest in companies throughout the world, including U.S. franchises. The total cash consideration for such transactions was $117.3 million, $6.7 million, and $33.5 million in 2004, 2003 and 2002, respectively. The 2004 amount includes the payment of acquisition-related costs and the $123.8 million repayment of RMC’s long-term debt that we were required to make due to change of control provisions contained in the agreements. We financed the acquisition-related costs and this repayment with excess cash and borrowings under our U.S. Receivables Facility, which was repaid in 2004. Cash acquired of approximately $39.5 million offsets these payments. In 2003 and 2002, in addition to the cash consideration, we acquired ownership interests in certain U.S. franchises in exchange for approximately 13,000 and 592,000 shares of our common stock, respectively, which had an aggregate market value of $0.7 million and $21.9 million, respectively, at the dates of acquisition.</w:t>
      </w:r>
    </w:p>
    <w:p>
      <w:pPr>
        <w:spacing w:after="0" w:line="99"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47</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January 22, 2004, we completed our exchange offer to acquire RMC for $630.6 million. The purchase price includes the issuance of 8,852,000 shares of our common stock valued at $48.40 per share ($428.4 million); the fair value of 1,962,000 options in our common stock that resulted from our assuming both of RMC’s stock option plans ($59.5 million); the repayment of RMC’s long-term debt ($123.8 million); the payment of acquisition-related costs, net of tax ($11.5 million); a severance payment and accelerated vesting of RMC’s Supplemental Executive Retirement Plan, net of tax ($ 6.0 million); and other items ($1.4 million). (See note 2 to our consolidated financial statements for further information.)</w:t>
      </w:r>
    </w:p>
    <w:p>
      <w:pPr>
        <w:spacing w:after="0" w:line="10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connection with the acquisition of RMC, we have established reserves for severances and other office closure costs to streamline RMC’s worldwide operations that total $24.5 million. We have recorded a net deferred tax asset of $6.5 million related to these items. During 2004, approximately $7.8 million was paid from these reserves. Of the remaining balance, approximately $15.1 million will be paid during 2005, with the remaining $1.6 million to be paid thereafter.</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borrowings were $5.7 million for 2004, compared to repayments of $84.5 million for 2003, and $115.0 million for 2002. During 2004, 2003, and 2002, we used excess cash to pay down borrowings under various facilities when appropriate. Proceeds from Long-Term Debt and Repayments of Long-Term Debt include activity related to our commercial paper program.</w:t>
      </w:r>
    </w:p>
    <w:p>
      <w:pPr>
        <w:spacing w:after="0" w:line="12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October 2004, the Board of Directors authorized the repurchase of 5 million shares of our common stock, not to exceed a total purchase price of $250.0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This repurchase authorization replaces all previous authorizations. As of December 31, 2004, there were no shares repurchased under this authorization, however, as of February 11, 2005, 675,000 shares have been repurchased at a total cost of $30.0. There were no share repurchases in 2003 and a total of 900,000 shares at a cost of $30.7 million were repurchased in 2002 under a previous authorization.</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2004, 2003, and 2002, the Board of Directors declared two cash dividends for a total of $0.30, $0.20, and $0.20 per share, respectively. Our total dividend payments were $27.1 million, $15.6 million, and $15.3 million in 2004, 2003, and 2002, respectively.</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have aggregate commitments of $1,614.2 million related to debt repayments, operating leases, acquisition-related severances and office closure costs, and certain other commitments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2005</w:t>
            </w:r>
          </w:p>
        </w:tc>
        <w:tc>
          <w:tcPr>
            <w:tcW w:w="7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2007</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95"/>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$215.6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67.2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Acquisition-related severances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other office closure costs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$439.0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74.1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7024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02435" cy="29845"/>
                    </a:xfrm>
                    <a:prstGeom prst="rect">
                      <a:avLst/>
                    </a:prstGeom>
                    <a:noFill/>
                  </pic:spPr>
                </pic:pic>
              </a:graphicData>
            </a:graphic>
          </wp:anchor>
        </w:drawing>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also have entered into guarantee contracts and stand-by letters of credit that total approximately $115.3 million and $135.4 million as of December 31, 2004 and 2003, respectively ($37.6 million and $68.7 million for guarantees, respectively, and $77.7 million and $66.7 million for stand-by letters of credit, respectively). Guarantees primarily relate to indebtedness, bank accounts, and leases.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101"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capitalization as of December 31, 2004 was $3,075.8 million, comprised of $901.8 million in debt and $2,174.0 million in equity. Debt as a percentage of total capitalization was 29% as of December 31, 2004 compared to 39% as of December 31, 2003. This decrease is primarily a result of the equity issued in connection with the acquisition of 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$435.4 million in aggregate principal amount at maturity of unsecured zero-coupon convertible debentures, due August 17, 2021 (“Debentures”), with a carrying value of $265.3 million as of December 31, 2004. These Debentures were issued in August 2001 at a discount to yield an effective interest rate of 3% per year, and they rank equally with all of our existing and future senior unsecured indebtedness. There are no scheduled cash interest payments associated with the Debentures.</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Debentures are convertible into 6.1 million shares of our common stock if the closing price of our common stock on the New York Stock Exchange exceeds specified levels, or in certain other circumstances.</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Holders of the Debentures may require us to purchase these Debentures at the issue price, plus accreted original issue discount, on the first, third, fifth, tenth and fifteenth anniversary dates. We have the option to settle this obligation in cash, common stock, or a combination thereof. There were no Debentures “put” to us on the first anniversary date. On the third anniversary date, $0.1 million of principal amount at maturity of the Debentures was tendered for repurchase, resulting in a payment of approximately $0.1 million. Our intent is to settle any future “put” in cash. In the event of a significant change in the economic environment, we may choose to settle a future “put” with common stock, which would have a dilutive effect on existing shareholders. As of August 17, 2004, we may also now “call” the Debentures.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We have €150.0 million in unsecured notes due March 2005, at 6.25%, and €200.0 million in unsecured notes due July 2006, at 5.63%. We plan to repay the</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€150.0 million notes with cash or other available borrowing facilities when they come due. (See Significant Matters Affecting Results of Operations and notes 7 and 13 to the consolidated financial statements for further information.)</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October 2004, we entered into a new $625.0 million revolving credit agreement with a syndicate of commercial banks that expires in October 2009. The new agreement replaces our $450.0 million five-year revolving credit facility and $200.0 million 364-day revolving credit facility. Amounts borrowed under the $450.0 million five-year facility were transferred to this new facility.</w:t>
      </w:r>
    </w:p>
    <w:p>
      <w:pPr>
        <w:spacing w:after="0" w:line="127"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The new revolving credit agreement allows for borrowings in various currencies and up to $150.0 million may be used for the issuance of stand-by letters of credit. Outstanding letters of credit totaled $77.7 million and $66.7 million as of December 31, 2004 and 2003, respectively. Additional borrowings of $411.8 million were available to us under this new revolving credit agreement as of December 31, 2004.</w:t>
      </w:r>
    </w:p>
    <w:p>
      <w:pPr>
        <w:spacing w:after="0" w:line="93" w:lineRule="exact"/>
        <w:rPr>
          <w:sz w:val="20"/>
          <w:szCs w:val="20"/>
          <w:color w:val="auto"/>
        </w:rPr>
      </w:pPr>
    </w:p>
    <w:p>
      <w:pPr>
        <w:jc w:val="both"/>
        <w:ind w:right="340"/>
        <w:spacing w:after="0" w:line="332" w:lineRule="auto"/>
        <w:rPr>
          <w:sz w:val="20"/>
          <w:szCs w:val="20"/>
          <w:color w:val="auto"/>
        </w:rPr>
      </w:pPr>
      <w:r>
        <w:rPr>
          <w:rFonts w:ascii="Arial" w:cs="Arial" w:eastAsia="Arial" w:hAnsi="Arial"/>
          <w:sz w:val="16"/>
          <w:szCs w:val="16"/>
          <w:color w:val="auto"/>
        </w:rPr>
        <w:t>The interest rate and facility fee on the new agreement, as well as the fee paid for the issuance of letters of credit on the facility, vary based on our public debt ratings and borrowing level. The current interest rate is LIBOR plus .675% and the facility and issuance fees are .20% and .675%, respectively.</w:t>
      </w:r>
    </w:p>
    <w:p>
      <w:pPr>
        <w:spacing w:after="0" w:line="66"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new agreement requires, among other things, that we comply with a Debt-to-EBITDA ratio of less than 3.25 to 1 and a fixed charge ratio of greater than 2.00 to 1. As defined in the agreement, we had a Debt-to-EBITDA ratio of 1.84 to 1 and a fixed charge ratio of 2.69 to 1 as of December 31, 2004. Based upon current forecasts, we expect to be in compliance with these covenants throughout the coming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our $125.0 million U.S. commercial paper program as of December 31, 2004 and 2003.</w:t>
      </w:r>
    </w:p>
    <w:p>
      <w:pPr>
        <w:spacing w:after="0" w:line="15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addition to the previously mentioned facilities, we maintain separate bank facilities with foreign financial institutions to meet working capital needs of our foreign operations. As of December 31, 2004, such facilities totaled $295.0 million, of which $284.9 million was unused.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Our current credit rating from Moody’s Corporation is Baa3 with a stable outlook and our credit rating from Standard &amp; Poor’s is BBB- with a stable outlook.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Both of these credit ratings are investment grade.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APPLICATION OF CRITICAL ACCOUNTING POLICIES</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a Selling and Administrative Expense and was $27.3 million, $16.7 million, and $18.2 million for 2004, 2003, and 2002,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3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$21.9 million, $19.5 million, and $18.4 million, for 2004,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Employment-Related Items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employment of temporary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sponsor several qualified and non-qualified pension plans covering permanent employees. The most significant plans are located in the United States, France, the United Kingdom, Japan and other European countries. Annual expense relating to these plans is recorded as Selling and Administrative Expense, in accordance with the accounting rules generally accepted in the United States. The calculations of annual pension expense and the pension liability required at year-end include various actuarial assumptions such as discount rates, expected rate of return on plan assets, compensation increases and employee turnover rates. Changes to any of these assumptions will impact the level of annual expense recorded related to the plans. We review the actuarial assumptions on an annual basis and make modifications to the assumptions as necessary. (See note 9 to the consolidated financial statements for further information.)</w:t>
      </w:r>
    </w:p>
    <w:p>
      <w:pPr>
        <w:spacing w:after="0" w:line="101"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United States, we are self-insured in most states for workers’ compensation claims for our temporary workers. We determine the proper reserve balance using an actuarial valuation, which considers our historical payment experience and current employee demographics. Our reserve for such claims as of December 31, 2004 and 2003 was $100.0 and $103.0 million, respectively. The workers’ compensation expense is recorded as a component of Cost of Services. A significant increase in claims or changes in laws may require us to record more expense related to workers’ compensation. On the other hand, significantly improved claim experience may result in a lower annual expense level.</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France, the government has various social programs that are aimed at reducing the cost of labor and encouraging employment, particularly for low-wage workers, through the reduction of payroll taxes (or social contribution). A portion of these payroll tax reductions is remitted to our customers in certain circumstances. We are required to make an estimate for the amount that will be remitted, which is recorded as a reduction of Revenue from Services. We make this estimate based on our historical experience, including related trends. To the extent that our experience differs from our estimate, we will need to make adjustments to our reserve balance, which will impact the results of our French operation. In addition, future changes to laws governing these payroll tax reductions may require us to revise our estimates, which may significantly impact our consolidated financial statements. In the fourth quarter of 2003, we reduced our estimated liability related to these remittances by $16.1 million due to the recent historical trends in the amounts remitted.</w:t>
      </w:r>
    </w:p>
    <w:p>
      <w:pPr>
        <w:spacing w:after="0" w:line="10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a routine basis, governmental agencies in some of the countries in which we operate will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 We make an estimate of the additional remittances that may be required and record the estimate as a component of Cost of Services. The estimate is based on the results of past audits,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w:t>
      </w:r>
    </w:p>
    <w:p>
      <w:pPr>
        <w:spacing w:after="0" w:line="1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France, we are currently under audit for payroll tax remittances made during 2001 and for remittances made during 2002 and 2003. We have received a preliminary notification related to 2001 and have responded to the notification with additional information. During 2004, we increased our estimated liability related to these remittances by $12.8 million.</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Netherlands, we are currently under audit for compliance with regulations related to the collection and maintenance of payroll-related documents for our temporary employees. We have not received any notification of findings related to this audit, however we currently do not expect any assessment to have a significant impact on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recognize revenue under the provisions of Staff Accounting Bulletin No. 104, “Revenue Recognition” (“SAB 104”). SAB 104 generally provides that revenue for time-based services be recognized over the average length of the services being provided. For the career transition line of business, we recognize revenue from individual programs on a straight-line basis over the average length of time for candidates to find jobs based on statistically valid data for the specific type of program. If statistically valid data is not available, then we recognize career transition revenue on a straight-line basis over the actual term of the agreements. For group programs and large projects within the career transition line of business, we defer and recognize revenue over the period in which the contracts are completed. The difference between the amount billed for career transition services and the amount recognized as revenue is recorded as Deferred Revenue, which is included in Accrued Liabilities on our consolidated balance sheets.</w:t>
      </w:r>
    </w:p>
    <w:p>
      <w:pPr>
        <w:spacing w:after="0" w:line="99"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Significant factors impacting Deferred Revenue are the type of programs sold, the level of current billings for new programs and projects, and the average length of the programs. Over time, an increasing volume of new billings will generally result in higher amounts of Deferred Revenue, while decreasing levels of new billings will generally result in lower amounts of Deferred Revenue. As of December 31, 2004, we had $43.8 million of Deferred Revenue recorded.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account for income taxes in accordance with SFAS No. 109, “Accounting for Income Taxes.” Deferred tax assets and liabilities are recognized for the future tax consequences attributable to differences between financial statement carrying amounts of existing assets and liabilities and their respective tax bases, net operating loss and tax credit carry-forwards, and tax contingencies.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tax contingencies recorded related to items in various countries. To the extent these items are settled in our favor, a portion of our recorded contingency will be reversed. To the extent items are settled for an amount greater than the amount we have recorded, an additional tax provision will be recorded.</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that actual results differ from these estimates, our estimated annual tax rate may change between quarterly periods and may differ from the actual effective tax rate for the year. For 2005, we expect our effective tax rate will be approximately 36.5%.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 Lived Intangible Asset Impairment</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 of RMC. Our remaining goodwill relates primarily to our acquisitions of Elan and Jefferson Wells.</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this analysis include: expected future revenue growth rates, operating unit profit margins, and working capital levels; a discount rate; and a terminal value multiple.</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completed our annual impairment review for 2004 and determined there to be no impairment of either goodwill, or indefinite-lived intangible assets. We plan to perform our next annual impairment review during the third quarter of 2005.</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lower-than-forecasted earnings levels for various reporting units. In addition, changes to other assumptions could significantly impact our estimate of the fair value of our reporting units. Such a change may result in an impairment charge, which could have a significant impact on the reportable segments that include the related reporting units and our consolidated financial statements.</w:t>
      </w:r>
    </w:p>
    <w:p>
      <w:pPr>
        <w:spacing w:after="0" w:line="124"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MATTERS AFFECTING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152"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Exchange Rates – </w:t>
      </w:r>
      <w:r>
        <w:rPr>
          <w:rFonts w:ascii="Arial" w:cs="Arial" w:eastAsia="Arial" w:hAnsi="Arial"/>
          <w:sz w:val="18"/>
          <w:szCs w:val="18"/>
          <w:color w:val="auto"/>
        </w:rPr>
        <w:t>Our exposure to foreign currency exchange rates relates primarily to our foreign subsidiaries and our Euro-denominated borrowings.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subsidiaries, exchange rates impact the U.S. Dollar value of our reported earnings, our investments in the subsidiaries and the intercompany transactions with the subsidiaries.</w:t>
      </w:r>
    </w:p>
    <w:p>
      <w:pPr>
        <w:spacing w:after="0" w:line="1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Approximately 80% of our revenues and profits are generated outside of the United States, with approximately 50%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weighted-average exchange rate for the year. Consequently, as the value of the U.S. Dollar changes relative to the currencies of our major markets, our reported results vary.</w:t>
      </w:r>
    </w:p>
    <w:p>
      <w:pPr>
        <w:spacing w:after="0" w:line="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2004 and 2003, the U.S. Dollar weakened relative to many of the currencies of our major markets. In constant currency, 2004 Revenues from Services and Operating Profit were approximately 8.5% and 10.5% lower than reported, respectively. If the U.S. Dollar had weakened an additional 10% during 2004, Revenue would have further increased by approximately 8.3% and Operating Profits would have increased by approximately 8.1%.</w:t>
      </w:r>
    </w:p>
    <w:p>
      <w:pPr>
        <w:spacing w:after="0" w:line="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Fluctuations in currency exchange rates also impact the U.S. Dollar amount of our Shareholders’ Equity. The assets and liabilities of our non-U.S. subsidiaries are translated into U.S. Dollars at the exchange rates in effect at year-end. The resulting translation adjustments are recorded in Shareholders’ Equity as a component of Accumulated Other Comprehensive Income. The U.S. Dollar weakened relative to many foreign currencies as of December 31, 2004 compared to December 31, 2003. Consequently, Shareholders’ Equity increased by $86.3 million as a result of the change in Accumulated Other Comprehensive Income during the year. If the U.S. Dollar had weakened an additional 10% during 2004, resulting translation adjustments recorded in Shareholders’ Equity would have increased by approximately $120.0 million.</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 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our EMEA countries and our EMEA headquarters for services provided. To reduce the currency risk related to these transactions, we may borrow funds in the relevant foreign currency under our revolving credit agreement or we may enter into a forward contract to hedge the transfer. Foreign exchange gains and losses recognized on any forward contracts are included in the consolidated statements of operations. As of December 31, 2004, there were no forward contracts outstanding.</w:t>
      </w:r>
    </w:p>
    <w:p>
      <w:pPr>
        <w:spacing w:after="0" w:line="10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As of December 31, 2004, we had $406.6 million of long-term borrowings denominated in Euros (€300.0 million), which have been designated as a hedge of our net investment in subsidiaries with the Euro functional currency. Since our net investment in these subsidiaries exceeds the respective amount of the designated borrowings, all translation gains or losses related to these borrowings are included as a component of Accumulated Other Comprehensive Income. Shareholders’ Equity decreased by $28.8 million due to changes in Accumulated Other Comprehensive Income during the year due to the currency impact on these borrowings.</w:t>
      </w:r>
    </w:p>
    <w:p>
      <w:pPr>
        <w:spacing w:after="0" w:line="78"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a result of certain derivative financial instruments that we entered into during September 2002, all translation gains and losses on the short-term borrowings of €150.0 million ($203.7 million as of December 31, 2004) unsecured notes due March 2005 are recorded in the consolidated statements of operations. These gains and losses are offset by changes in the fair value of the related derivative instruments. (See below and note 13 to the consolidated financial statements for further information.)</w:t>
      </w:r>
    </w:p>
    <w:p>
      <w:pPr>
        <w:spacing w:after="0" w:line="124"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Interest Rates – </w:t>
      </w:r>
      <w:r>
        <w:rPr>
          <w:rFonts w:ascii="Arial" w:cs="Arial" w:eastAsia="Arial" w:hAnsi="Arial"/>
          <w:sz w:val="18"/>
          <w:szCs w:val="18"/>
          <w:color w:val="auto"/>
        </w:rPr>
        <w:t>Our exposure to market risk for changes in interest rates relates primarily to our variable rate long-term debt obligations. We have historically</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interest rates through the use of a combination of fixed- and variable-rate borrowings and interest rate swap agreements. As of December 31, 2004, we had the following fixed- and variable-rate borrowings: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1"/>
              </w:rPr>
              <w:t>Fixed</w:t>
            </w:r>
          </w:p>
        </w:tc>
        <w:tc>
          <w:tcPr>
            <w:tcW w:w="140" w:type="dxa"/>
            <w:vAlign w:val="bottom"/>
          </w:tcPr>
          <w:p>
            <w:pPr>
              <w:spacing w:after="0"/>
              <w:rPr>
                <w:sz w:val="15"/>
                <w:szCs w:val="15"/>
                <w:color w:val="auto"/>
              </w:rPr>
            </w:pPr>
          </w:p>
        </w:tc>
        <w:tc>
          <w:tcPr>
            <w:tcW w:w="16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Variable</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4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74"/>
        </w:trPr>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95"/>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Average Interest Rate</w:t>
            </w:r>
          </w:p>
        </w:tc>
        <w:tc>
          <w:tcPr>
            <w:tcW w:w="1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8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Excluding interest rate swap agreements</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$756.2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$145.6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$901.8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Including impact of swap agreements</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688.0</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4.7%</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213.8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901.8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We have various interest rate swap agreements in order to fix our interest costs on a portion of our Euro-denominated variable rate borrowings. The Euro interest rate swap agreements, with a notional value of €100.0 million ($135.5 million) fix the interest rate, on a weighted-average basis, at 5.7% and expire in 2010.</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September 2002, we entered into derivative financial instruments (“€150 million Swaps”) to swap our €150.0 million ($203.7 million) unsecured notes, at 6.25%, due March 2005, to floating U.S. LIBOR, yielding an initial effective interest rate of 4.39% (currently yielding 4.64%). These instruments expire in March 2005.</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we had not entered into the €150.0 million Swaps and our interest rate swap agreements, interest expense would have been higher by $0.1 million in 2004 and $1.1 million in 2003.</w:t>
      </w:r>
    </w:p>
    <w:p>
      <w:pPr>
        <w:spacing w:after="0" w:line="112"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Sensitivity Analysis – </w:t>
      </w:r>
      <w:r>
        <w:rPr>
          <w:rFonts w:ascii="Arial" w:cs="Arial" w:eastAsia="Arial" w:hAnsi="Arial"/>
          <w:sz w:val="16"/>
          <w:szCs w:val="16"/>
          <w:color w:val="auto"/>
        </w:rPr>
        <w:t>The following table summarizes our debt and derivative instruments that are sensitive to foreign currency exchange rate and interest rate</w:t>
      </w:r>
      <w:r>
        <w:rPr>
          <w:rFonts w:ascii="Arial" w:cs="Arial" w:eastAsia="Arial" w:hAnsi="Arial"/>
          <w:sz w:val="16"/>
          <w:szCs w:val="16"/>
          <w:b w:val="1"/>
          <w:bCs w:val="1"/>
          <w:color w:val="auto"/>
        </w:rPr>
        <w:t xml:space="preserve"> </w:t>
      </w:r>
      <w:r>
        <w:rPr>
          <w:rFonts w:ascii="Arial" w:cs="Arial" w:eastAsia="Arial" w:hAnsi="Arial"/>
          <w:sz w:val="16"/>
          <w:szCs w:val="16"/>
          <w:color w:val="auto"/>
        </w:rPr>
        <w:t>movements. All computations below are based on the U.S. Dollar spot rate as of December 31, 2004. The exchange rate computations assume a 10% appreciation or 10% depreciation of the Euro to the U.S. Dollar. The impact on 2004 earnings of the stated change in rates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88"/>
              </w:rPr>
              <w:t>Movements</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Movements</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center"/>
              <w:ind w:left="379"/>
              <w:spacing w:after="0" w:line="149" w:lineRule="exact"/>
              <w:rPr>
                <w:sz w:val="20"/>
                <w:szCs w:val="20"/>
                <w:color w:val="auto"/>
              </w:rPr>
            </w:pPr>
            <w:r>
              <w:rPr>
                <w:rFonts w:ascii="Arial" w:cs="Arial" w:eastAsia="Arial" w:hAnsi="Arial"/>
                <w:sz w:val="14"/>
                <w:szCs w:val="14"/>
                <w:b w:val="1"/>
                <w:bCs w:val="1"/>
                <w:color w:val="auto"/>
                <w:w w:val="87"/>
              </w:rPr>
              <w:t>In Exchange</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 Interest</w:t>
            </w:r>
          </w:p>
        </w:tc>
        <w:tc>
          <w:tcPr>
            <w:tcW w:w="0" w:type="dxa"/>
            <w:vAlign w:val="bottom"/>
          </w:tcPr>
          <w:p>
            <w:pPr>
              <w:spacing w:after="0"/>
              <w:rPr>
                <w:sz w:val="1"/>
                <w:szCs w:val="1"/>
                <w:color w:val="auto"/>
              </w:rPr>
            </w:pPr>
          </w:p>
        </w:tc>
      </w:tr>
      <w:tr>
        <w:trPr>
          <w:trHeight w:val="174"/>
        </w:trPr>
        <w:tc>
          <w:tcPr>
            <w:tcW w:w="5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w w:val="83"/>
              </w:rPr>
              <w:t>Rates</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Rates</w:t>
            </w:r>
          </w:p>
        </w:tc>
        <w:tc>
          <w:tcPr>
            <w:tcW w:w="0" w:type="dxa"/>
            <w:vAlign w:val="bottom"/>
          </w:tcPr>
          <w:p>
            <w:pPr>
              <w:spacing w:after="0"/>
              <w:rPr>
                <w:sz w:val="1"/>
                <w:szCs w:val="1"/>
                <w:color w:val="auto"/>
              </w:rPr>
            </w:pPr>
          </w:p>
        </w:tc>
      </w:tr>
      <w:tr>
        <w:trPr>
          <w:trHeight w:val="95"/>
        </w:trPr>
        <w:tc>
          <w:tcPr>
            <w:tcW w:w="5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10%</w:t>
            </w:r>
          </w:p>
        </w:tc>
        <w:tc>
          <w:tcPr>
            <w:tcW w:w="640" w:type="dxa"/>
            <w:vAlign w:val="bottom"/>
          </w:tcPr>
          <w:p>
            <w:pPr>
              <w:spacing w:after="0"/>
              <w:rPr>
                <w:sz w:val="20"/>
                <w:szCs w:val="20"/>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20"/>
                <w:szCs w:val="20"/>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44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Appreciation</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Decrease</w:t>
            </w:r>
          </w:p>
        </w:tc>
        <w:tc>
          <w:tcPr>
            <w:tcW w:w="44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95"/>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Market Sensitive Instrument</w:t>
            </w:r>
          </w:p>
        </w:tc>
        <w:tc>
          <w:tcPr>
            <w:tcW w:w="2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0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 million, 5.63% Notes due July 2006</w:t>
            </w:r>
          </w:p>
        </w:tc>
        <w:tc>
          <w:tcPr>
            <w:tcW w:w="21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r>
              <w:rPr>
                <w:rFonts w:ascii="Arial" w:cs="Arial" w:eastAsia="Arial" w:hAnsi="Arial"/>
                <w:sz w:val="11"/>
                <w:szCs w:val="11"/>
                <w:color w:val="auto"/>
              </w:rPr>
              <w:t>(1)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line="217" w:lineRule="exact"/>
              <w:rPr>
                <w:sz w:val="20"/>
                <w:szCs w:val="20"/>
                <w:color w:val="auto"/>
              </w:rPr>
            </w:pPr>
            <w:r>
              <w:rPr>
                <w:rFonts w:ascii="Arial" w:cs="Arial" w:eastAsia="Arial" w:hAnsi="Arial"/>
                <w:sz w:val="18"/>
                <w:szCs w:val="18"/>
                <w:color w:val="auto"/>
              </w:rPr>
              <w:t>(27.1)</w:t>
            </w:r>
            <w:r>
              <w:rPr>
                <w:rFonts w:ascii="Arial" w:cs="Arial" w:eastAsia="Arial" w:hAnsi="Arial"/>
                <w:sz w:val="22"/>
                <w:szCs w:val="22"/>
                <w:color w:val="auto"/>
                <w:vertAlign w:val="superscript"/>
              </w:rPr>
              <w:t>(1)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€150 million, 6.25% Notes due March 2005</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(20.4)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€150 million Swaps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Revolving credit agreement: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 million Euro Borrowings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r>
              <w:rPr>
                <w:rFonts w:ascii="Arial" w:cs="Arial" w:eastAsia="Arial" w:hAnsi="Arial"/>
                <w:sz w:val="11"/>
                <w:szCs w:val="11"/>
                <w:color w:val="auto"/>
              </w:rPr>
              <w:t>(1)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line="217" w:lineRule="exact"/>
              <w:rPr>
                <w:sz w:val="20"/>
                <w:szCs w:val="20"/>
                <w:color w:val="auto"/>
              </w:rPr>
            </w:pPr>
            <w:r>
              <w:rPr>
                <w:rFonts w:ascii="Arial" w:cs="Arial" w:eastAsia="Arial" w:hAnsi="Arial"/>
                <w:sz w:val="18"/>
                <w:szCs w:val="18"/>
                <w:color w:val="auto"/>
              </w:rPr>
              <w:t>(13.6)</w:t>
            </w:r>
            <w:r>
              <w:rPr>
                <w:rFonts w:ascii="Arial" w:cs="Arial" w:eastAsia="Arial" w:hAnsi="Arial"/>
                <w:sz w:val="22"/>
                <w:szCs w:val="22"/>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5100" w:type="dxa"/>
            <w:vAlign w:val="bottom"/>
          </w:tcPr>
          <w:p>
            <w:pPr>
              <w:ind w:left="440"/>
              <w:spacing w:after="0"/>
              <w:rPr>
                <w:sz w:val="20"/>
                <w:szCs w:val="20"/>
                <w:color w:val="auto"/>
              </w:rPr>
            </w:pPr>
            <w:r>
              <w:rPr>
                <w:rFonts w:ascii="Arial" w:cs="Arial" w:eastAsia="Arial" w:hAnsi="Arial"/>
                <w:sz w:val="18"/>
                <w:szCs w:val="18"/>
                <w:color w:val="auto"/>
              </w:rPr>
              <w:t>€100 million Interest Rate Swaps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-29210</wp:posOffset>
            </wp:positionV>
            <wp:extent cx="50165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right="340" w:hanging="452"/>
        <w:spacing w:after="0" w:line="228" w:lineRule="auto"/>
        <w:tabs>
          <w:tab w:leader="none" w:pos="460" w:val="left"/>
        </w:tabs>
        <w:numPr>
          <w:ilvl w:val="0"/>
          <w:numId w:val="97"/>
        </w:numPr>
        <w:rPr>
          <w:rFonts w:ascii="Arial" w:cs="Arial" w:eastAsia="Arial" w:hAnsi="Arial"/>
          <w:sz w:val="22"/>
          <w:szCs w:val="22"/>
          <w:color w:val="auto"/>
          <w:vertAlign w:val="superscript"/>
        </w:rPr>
      </w:pPr>
      <w:r>
        <w:rPr>
          <w:rFonts w:ascii="Arial" w:cs="Arial" w:eastAsia="Arial" w:hAnsi="Arial"/>
          <w:sz w:val="18"/>
          <w:szCs w:val="18"/>
          <w:color w:val="auto"/>
        </w:rPr>
        <w:t>Exchange rate movements are recorded through Accumulated Other Comprehensive Income as these instruments have been designated as an economic hedge of our net investment in subsidiaries with a Euro functional currency.</w:t>
      </w:r>
    </w:p>
    <w:p>
      <w:pPr>
        <w:spacing w:after="0" w:line="138"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fair value of our market sensitive instruments due to changes in interest rates, and changes in foreign currency exchange rates for the €150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Swaps,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10% Decrease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10% Increase</w:t>
            </w:r>
          </w:p>
        </w:tc>
        <w:tc>
          <w:tcPr>
            <w:tcW w:w="0" w:type="dxa"/>
            <w:vAlign w:val="bottom"/>
          </w:tcPr>
          <w:p>
            <w:pPr>
              <w:spacing w:after="0"/>
              <w:rPr>
                <w:sz w:val="1"/>
                <w:szCs w:val="1"/>
                <w:color w:val="auto"/>
              </w:rPr>
            </w:pPr>
          </w:p>
        </w:tc>
      </w:tr>
      <w:tr>
        <w:trPr>
          <w:trHeight w:val="95"/>
        </w:trPr>
        <w:tc>
          <w:tcPr>
            <w:tcW w:w="8700" w:type="dxa"/>
            <w:vAlign w:val="bottom"/>
            <w:vMerge w:val="restart"/>
          </w:tcPr>
          <w:p>
            <w:pPr>
              <w:spacing w:after="0"/>
              <w:rPr>
                <w:sz w:val="20"/>
                <w:szCs w:val="20"/>
                <w:color w:val="auto"/>
              </w:rPr>
            </w:pPr>
            <w:r>
              <w:rPr>
                <w:rFonts w:ascii="Arial" w:cs="Arial" w:eastAsia="Arial" w:hAnsi="Arial"/>
                <w:sz w:val="14"/>
                <w:szCs w:val="14"/>
                <w:b w:val="1"/>
                <w:bCs w:val="1"/>
                <w:color w:val="auto"/>
              </w:rPr>
              <w:t>Market Sensitive Instrument</w:t>
            </w: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Zero-coupon convertible debentures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30.0</w:t>
            </w:r>
            <w:r>
              <w:rPr>
                <w:rFonts w:ascii="Arial" w:cs="Arial" w:eastAsia="Arial" w:hAnsi="Arial"/>
                <w:sz w:val="11"/>
                <w:szCs w:val="11"/>
                <w:color w:val="auto"/>
              </w:rPr>
              <w:t>(1)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line="217" w:lineRule="exact"/>
              <w:rPr>
                <w:sz w:val="20"/>
                <w:szCs w:val="20"/>
                <w:color w:val="auto"/>
              </w:rPr>
            </w:pPr>
            <w:r>
              <w:rPr>
                <w:rFonts w:ascii="Arial" w:cs="Arial" w:eastAsia="Arial" w:hAnsi="Arial"/>
                <w:sz w:val="18"/>
                <w:szCs w:val="18"/>
                <w:color w:val="auto"/>
              </w:rPr>
              <w:t>(30.0)</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 million, 5.63% Notes due July 2006</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28.2</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8"/>
                <w:szCs w:val="18"/>
                <w:color w:val="auto"/>
              </w:rPr>
              <w:t>(28.2)</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€150 million, 6.25% Notes due March 2005</w:t>
            </w:r>
          </w:p>
        </w:tc>
        <w:tc>
          <w:tcPr>
            <w:tcW w:w="26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€150 million Swaps</w:t>
            </w:r>
          </w:p>
        </w:tc>
        <w:tc>
          <w:tcPr>
            <w:tcW w:w="260" w:type="dxa"/>
            <w:vAlign w:val="bottom"/>
          </w:tcPr>
          <w:p>
            <w:pPr>
              <w:spacing w:after="0"/>
              <w:rPr>
                <w:sz w:val="18"/>
                <w:szCs w:val="18"/>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 million Interest Rate Swaps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right="140" w:hanging="452"/>
        <w:spacing w:after="0" w:line="228" w:lineRule="auto"/>
        <w:tabs>
          <w:tab w:leader="none" w:pos="460" w:val="left"/>
        </w:tabs>
        <w:numPr>
          <w:ilvl w:val="0"/>
          <w:numId w:val="98"/>
        </w:numPr>
        <w:rPr>
          <w:rFonts w:ascii="Arial" w:cs="Arial" w:eastAsia="Arial" w:hAnsi="Arial"/>
          <w:sz w:val="22"/>
          <w:szCs w:val="22"/>
          <w:color w:val="auto"/>
          <w:vertAlign w:val="superscript"/>
        </w:rPr>
      </w:pPr>
      <w:r>
        <w:rPr>
          <w:rFonts w:ascii="Arial" w:cs="Arial" w:eastAsia="Arial" w:hAnsi="Arial"/>
          <w:sz w:val="18"/>
          <w:szCs w:val="18"/>
          <w:color w:val="auto"/>
        </w:rPr>
        <w:t>This change in fair value is not recorded in the financial statements, however disclosure of the fair value is included in note 7 to the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Economic Conditions</w:t>
      </w:r>
    </w:p>
    <w:p>
      <w:pPr>
        <w:spacing w:after="0" w:line="8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One of the principal attractions of using temporary staffing solutions is to maintain a flexible supply of labor to meet changing economic conditions. Therefore, the industry has been and remains sensitive to economic cycles. To help minimize the effects of these economic cycles, we offer customers a continuum of services to meet their needs throughout the employment and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Regulations</w:t>
      </w:r>
    </w:p>
    <w:p>
      <w:pPr>
        <w:spacing w:after="0" w:line="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temporary employment services industry is closely regulated in all of the major markets in which we operate except the United States and Canada. Many countries impose licensing or registration requirements, substantive restrictions on temporary employment services, either on the temporary staffing company or the ultimate client company, or minimum benefits to be paid to the temporary employee either during or following the temporary assignment. Regulations also may restrict the length of temporary assignments, the type of work permitted for temporary workers or the occasions on which temporary workers may be used. Changes in applicable laws or regulations have occurred in the past and are expected in the future to affect the extent to which temporary employment services firms may operate. These changes could impose additional costs, taxes, record keeping or reporting requirements; restrict the tasks to which temporaries may be assigned; limit the duration of or otherwise impose restrictions on the nature of the temporary relationship (with us or the customer); or otherwise adversely affect the industry. Our career transition and organizational consulting services are currently not regulated.</w:t>
      </w:r>
    </w:p>
    <w:p>
      <w:pPr>
        <w:spacing w:after="0" w:line="10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customers to utilize our services. In some markets, labor agreements are structured on a national or industry-wide (rather than a company) basis. Changes in these collective labor agreements have occurred in the past, are expected to occur in the future, and may have a material impact on the operations of temporary staffing firms, including us.</w:t>
      </w:r>
    </w:p>
    <w:p>
      <w:pPr>
        <w:spacing w:after="0" w:line="124"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search warrant was executed on November 30, 2004, at our French headquarters authorizing the French Regional Director on Inquiries of Competition to enter the office and review and obtain documents that may be pertinent to the investigation. According to the search warrant, the investigation stems from a complaint submitted during 2003 to the European Commission and subsequently transferred to France’s Direction Generale de la Concurrence, de la Consommation et de la Repression des Fraudes. We understand that the purpose of the investigation is to search for evidence of price fixing and allocation of market share within the French market. The investigation is continuing and we currently are not able to predict the outcome.</w:t>
      </w:r>
    </w:p>
    <w:p>
      <w:pPr>
        <w:spacing w:after="0" w:line="1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2002, the European Commission released proposed legislation, the Agency Workers Directive (“AWD”), aimed at improving the quality of temporary staffing work through a principle of non-discrimination between temporary staff and permanent employees. The AWD has been returned to a consultation and revision phase by the Commission and is the subject of strong debate and suggested amendment by a number of member states. The AWD will be discussed in the future, but given the uncertainty surrounding the AWD, we cannot currently estimate the impact, if any, on the future results of our European operations or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May 2004, the FASB (Financial Accounting Standards Board) issued FASB Staff Position (“FSP”) No. 106-2, “Accounting and Disclosure Requirements Related to the Medicare Prescription Drug, Improvement and Modernization Act of 2003” (“FSP 106-2”), which provides guidance on accounting for the effects of the new Medicare prescription drug legislation (“the Act”). The Act, which was signed into law on December 8, 2003, introduces a prescription drug benefit under Medicare (Medicare Part D) as well as a federal subsidy to sponsors of retiree health care benefit plans that provide a benefit that is at least actuarially equivalent to Medicare Part D. FSP 106-2 was adopted by us in the third quarter of 2004 and did not have a material impact on our consolidated financial statements.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September 2004, the Emerging Issues Task Force (“EITF”) issued Issue No. 04-8, “The Effect of Contingently Convertible Debt on Diluted Earnings Per Share” (“EITF 04-8”), which requires the effect of contingently convertible debt securities with a market price trigger to be included in the calculation of diluted earnings per share, using the “if-converted” method, regardless of whether the market price trigger has been met. EITF 04-8 also requires that previously reported diluted earnings per share be restated. We adopted EITF 04-8 in the fourth quarter of 2004. (See note 3 to our consolidated financial statements for further information.)</w:t>
      </w:r>
    </w:p>
    <w:p>
      <w:pPr>
        <w:spacing w:after="0" w:line="1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December 2004, the FASB issued SFAS No. 123R “Share-Based Payment” (“SFAS 123R”), which replaces SFAS No. 123, “Accounting for Stock-Based Compensation,” (“SFAS 123”) and supercedes APB Opinion No. 25, “Accounting for Stock Issued to Employees.” SFAS 123R requires all share-based payments to employees, including grants of employee stock options, to be recognized as expense in the financial statements based on their fair values beginning with the first interim or annual period after June 15, 2005, with early adoption encouraged. The pro forma disclosures previously permitted under SFAS 123 will no longer be an alternative to expense recognition. We will adopt SFAS 123R using the modified-prospective method in the third quarter of 2005. We expect SFAS 123R will have approximately a $0.06 per share impact on Net Earnings Per Share – Diluted in the second half of 2005.</w:t>
      </w:r>
    </w:p>
    <w:p>
      <w:pPr>
        <w:spacing w:after="0" w:line="10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During December 2004, the FASB issued FSP No. 109-2, “Accounting and Disclosure Guidance for the Foreign Earnings Repatriation Provision within the American Jobs Creation Act of 2004” (“FSP 109-2”), which provides guidance on accounting for the potential impact of the repatriation provisions of the American Jobs Creation Act of 2004 (the “Jobs Act”) on enterprises’ income tax expense and deferred tax liability.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109. Based on our analysis to date, we are not yet in a position to decide on whether, or to what extent, we might repatriate foreign earnings under the provisions of the Jobs Act. However, we expect to be in a position to finalize our assessment by June 2005.</w:t>
      </w:r>
    </w:p>
    <w:p>
      <w:pPr>
        <w:spacing w:after="0" w:line="128"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2004,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“will,”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w:t>
      </w:r>
      <w:r>
        <w:rPr>
          <w:rFonts w:ascii="Arial" w:cs="Arial" w:eastAsia="Arial" w:hAnsi="Arial"/>
          <w:sz w:val="16"/>
          <w:szCs w:val="16"/>
          <w:i w:val="1"/>
          <w:iCs w:val="1"/>
          <w:color w:val="auto"/>
        </w:rPr>
        <w:t xml:space="preserve"> Integrated Framework </w:t>
      </w:r>
      <w:r>
        <w:rPr>
          <w:rFonts w:ascii="Arial" w:cs="Arial" w:eastAsia="Arial" w:hAnsi="Arial"/>
          <w:sz w:val="16"/>
          <w:szCs w:val="16"/>
          <w:color w:val="auto"/>
        </w:rPr>
        <w:t>issued by the Committee of Sponsoring Organizations of the Treadway Commission. This evaluation included review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2004.</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assessment of the effectiveness of our internal control over financial reporting as of December 31, 2004 has been audited by PricewaterhouseCoopers LLP, an independent registered public accounting firm, as stated in their report which is included herein.</w:t>
      </w:r>
    </w:p>
    <w:p>
      <w:pPr>
        <w:spacing w:after="0" w:line="112"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 .</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 THE BOARD OF DIRECTORS AND SHAREHOLDERS OF MANPOWER INC . :</w:t>
      </w:r>
    </w:p>
    <w:p>
      <w:pPr>
        <w:spacing w:after="0" w:line="83"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We have completed an integrated audit of Manpower Inc.’s 2004 consolidated financial statements and of its internal control over financial reporting as of December 31, 2004 and audits of its 2003 and 2002 consolidated financial statements in accordance with the standards of the Public Company Accounting Oversight Board (United States). Our opinions, based on our audits, are presented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8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cash flows and shareholders’ equity present fairly, in all material respects, the financial position of Manpower Inc. and its subsidiaries at December 31, 2004 and 2003, and the results of their operations and their cash flows for each of the three years in the period ended December 31,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 disclosed in Note 3 to the consolidated financial statements, effective in the fourth quarter of 2004, the Company retroactively changed for each of the three years in the period ended December 31, 2004 the manner in which it calculates diluted earnings per share upon the adoption of Emerging Issues Task Force Issue No. 04-8, </w:t>
      </w:r>
      <w:r>
        <w:rPr>
          <w:rFonts w:ascii="Arial" w:cs="Arial" w:eastAsia="Arial" w:hAnsi="Arial"/>
          <w:sz w:val="18"/>
          <w:szCs w:val="18"/>
          <w:i w:val="1"/>
          <w:iCs w:val="1"/>
          <w:color w:val="auto"/>
        </w:rPr>
        <w:t>The Effect of Contingently Convertible Debt on Diluted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Also, in our opinion, management’s assessment, included in the accompanying Management Report on Internal Control over Financial Reporting, that the Company maintained effective internal control over financial reporting as of December 31, 2004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December 31, 2004,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35150" cy="394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351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145"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0" w:type="dxa"/>
            <w:vAlign w:val="bottom"/>
            <w:gridSpan w:val="2"/>
            <w:vMerge w:val="continue"/>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14,930.0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12,184.5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services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12,141.9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10,047.7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8,700.5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2,788.1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2,392.3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1,878.9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1,675.6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0" w:type="dxa"/>
            <w:vAlign w:val="bottom"/>
            <w:gridSpan w:val="2"/>
          </w:tcPr>
          <w:p>
            <w:pPr>
              <w:spacing w:after="0"/>
              <w:rPr>
                <w:sz w:val="20"/>
                <w:szCs w:val="20"/>
                <w:color w:val="auto"/>
              </w:rPr>
            </w:pPr>
            <w:r>
              <w:rPr>
                <w:rFonts w:ascii="Arial" w:cs="Arial" w:eastAsia="Arial" w:hAnsi="Arial"/>
                <w:sz w:val="18"/>
                <w:szCs w:val="18"/>
                <w:color w:val="auto"/>
              </w:rPr>
              <w:t>MANPOWER INC.</w:t>
            </w:r>
          </w:p>
        </w:tc>
        <w:tc>
          <w:tcPr>
            <w:tcW w:w="4640" w:type="dxa"/>
            <w:vAlign w:val="bottom"/>
          </w:tcPr>
          <w:p>
            <w:pPr>
              <w:jc w:val="right"/>
              <w:ind w:right="27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ind w:left="40"/>
              <w:spacing w:after="0"/>
              <w:rPr>
                <w:sz w:val="20"/>
                <w:szCs w:val="20"/>
                <w:color w:val="auto"/>
              </w:rPr>
            </w:pPr>
            <w:r>
              <w:rPr>
                <w:rFonts w:ascii="Arial" w:cs="Arial" w:eastAsia="Arial" w:hAnsi="Arial"/>
                <w:sz w:val="18"/>
                <w:szCs w:val="18"/>
                <w:b w:val="1"/>
                <w:bCs w:val="1"/>
                <w:color w:val="auto"/>
                <w:w w:val="89"/>
              </w:rPr>
              <w:t>2004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-1157605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-1157605</wp:posOffset>
            </wp:positionV>
            <wp:extent cx="15906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9067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-857885</wp:posOffset>
            </wp:positionV>
            <wp:extent cx="164211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4211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-557530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-557530</wp:posOffset>
            </wp:positionV>
            <wp:extent cx="15906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9067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40" w:type="dxa"/>
            <w:vAlign w:val="bottom"/>
            <w:gridSpan w:val="2"/>
            <w:vMerge w:val="continue"/>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Accounts receivable, less allowance for doubtful accounts of $91.4 and $79.1, respectively</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3,227.8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2,600.9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Future income tax benefits</w:t>
            </w: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4,017.5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Goodwill and other intangible assets, less accumulated amortization of</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$65.0 and $53.6, respectively</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1,297.0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1,602.5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5,843.1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 LIABILITIES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Current liablities</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687.1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156.0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569.6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2,601.9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Othert Liabilities</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liabilities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1,067.2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1"/>
              </w:rPr>
              <w:t>Preferred stock, $.01 par value, authorized 25,000,000 shares, none issued</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Common stock, $.01 par value, authorized 125,000,000 shares, issued 100,236,635 and 88,604,575 shares, respectively</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2,296.4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109.4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9"/>
              </w:rPr>
              <w:t>Treasury stock at cost, 9,946,475 and 9,945,200 shares, respectively</w:t>
            </w: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(283.8)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2,174.0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5,843.1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2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8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2004 Annual Report</w:t>
            </w:r>
          </w:p>
        </w:tc>
        <w:tc>
          <w:tcPr>
            <w:tcW w:w="4280" w:type="dxa"/>
            <w:vAlign w:val="bottom"/>
          </w:tcPr>
          <w:p>
            <w:pPr>
              <w:jc w:val="right"/>
              <w:ind w:right="3692"/>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ind w:left="80"/>
              <w:spacing w:after="0"/>
              <w:rPr>
                <w:sz w:val="20"/>
                <w:szCs w:val="20"/>
                <w:color w:val="auto"/>
              </w:rPr>
            </w:pPr>
            <w:r>
              <w:rPr>
                <w:rFonts w:ascii="Arial" w:cs="Arial" w:eastAsia="Arial" w:hAnsi="Arial"/>
                <w:sz w:val="18"/>
                <w:szCs w:val="18"/>
                <w:color w:val="auto"/>
                <w:w w:val="93"/>
              </w:rPr>
              <w:t>MANPOWER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-4528185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-4528185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-4528185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-4528185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-4528185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-4528185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-557530</wp:posOffset>
            </wp:positionV>
            <wp:extent cx="64706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3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20" w:type="dxa"/>
            <w:vAlign w:val="bottom"/>
            <w:gridSpan w:val="2"/>
            <w:vMerge w:val="continue"/>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earnings</w:t>
            </w:r>
          </w:p>
        </w:tc>
        <w:tc>
          <w:tcPr>
            <w:tcW w:w="3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245.7</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88"/>
              </w:rPr>
              <w:t>Adjustments to reconcile net earnings to net cash provided by operating activities: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discount on convertible debentures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Other non-operating gains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Change in operating assets and liabilities, excluding the impact of acquisitions: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(363.9)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0" w:type="dxa"/>
            <w:vAlign w:val="bottom"/>
          </w:tcPr>
          <w:p>
            <w:pPr>
              <w:ind w:left="1280"/>
              <w:spacing w:after="0"/>
              <w:rPr>
                <w:sz w:val="20"/>
                <w:szCs w:val="20"/>
                <w:color w:val="auto"/>
              </w:rPr>
            </w:pPr>
            <w:r>
              <w:rPr>
                <w:rFonts w:ascii="Arial" w:cs="Arial" w:eastAsia="Arial" w:hAnsi="Arial"/>
                <w:sz w:val="18"/>
                <w:szCs w:val="18"/>
                <w:color w:val="auto"/>
              </w:rPr>
              <w:t>Other liabilities</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165.5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operating activities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Capital expenditures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(117.3)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Proceeds from the sale of an equity interest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property and equipment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by investing activities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(149.8)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(104.3)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and purchase plans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(used) by financing activities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increase in cash and cash equivalents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426.2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531.8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paid</w:t>
            </w:r>
          </w:p>
        </w:tc>
        <w:tc>
          <w:tcPr>
            <w:tcW w:w="3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1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The accompanying notes to financial statements are an integral part of these statements.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20" w:type="dxa"/>
            <w:vAlign w:val="bottom"/>
            <w:gridSpan w:val="2"/>
          </w:tcPr>
          <w:p>
            <w:pPr>
              <w:spacing w:after="0"/>
              <w:rPr>
                <w:sz w:val="20"/>
                <w:szCs w:val="20"/>
                <w:color w:val="auto"/>
              </w:rPr>
            </w:pPr>
            <w:r>
              <w:rPr>
                <w:rFonts w:ascii="Arial" w:cs="Arial" w:eastAsia="Arial" w:hAnsi="Arial"/>
                <w:sz w:val="18"/>
                <w:szCs w:val="18"/>
                <w:color w:val="auto"/>
              </w:rPr>
              <w:t>MANPOWER INC.</w:t>
            </w:r>
          </w:p>
        </w:tc>
        <w:tc>
          <w:tcPr>
            <w:tcW w:w="3300" w:type="dxa"/>
            <w:vAlign w:val="bottom"/>
          </w:tcPr>
          <w:p>
            <w:pPr>
              <w:jc w:val="right"/>
              <w:ind w:right="2992"/>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7"/>
          </w:tcPr>
          <w:p>
            <w:pPr>
              <w:jc w:val="right"/>
              <w:spacing w:after="0"/>
              <w:rPr>
                <w:sz w:val="20"/>
                <w:szCs w:val="20"/>
                <w:color w:val="auto"/>
              </w:rPr>
            </w:pPr>
            <w:r>
              <w:rPr>
                <w:rFonts w:ascii="Arial" w:cs="Arial" w:eastAsia="Arial" w:hAnsi="Arial"/>
                <w:sz w:val="18"/>
                <w:szCs w:val="18"/>
                <w:b w:val="1"/>
                <w:bCs w:val="1"/>
                <w:color w:val="auto"/>
                <w:w w:val="93"/>
              </w:rPr>
              <w:t>2004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-1295400</wp:posOffset>
            </wp:positionV>
            <wp:extent cx="3816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-1295400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-1295400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-1295400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-1295400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-1295400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-1295400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-857885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-857885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-857885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-857885</wp:posOffset>
            </wp:positionV>
            <wp:extent cx="3816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-857885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-857885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-557530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-557530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-557530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-557530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-557530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-557530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-557530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SHAREHOLDERS’ EQUITY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Retained</w:t>
            </w:r>
          </w:p>
        </w:tc>
        <w:tc>
          <w:tcPr>
            <w:tcW w:w="12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Capital in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2"/>
                <w:szCs w:val="12"/>
                <w:color w:val="auto"/>
              </w:rPr>
            </w:pPr>
          </w:p>
        </w:tc>
        <w:tc>
          <w:tcPr>
            <w:tcW w:w="10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28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Excess of Par</w:t>
            </w:r>
          </w:p>
        </w:tc>
        <w:tc>
          <w:tcPr>
            <w:tcW w:w="2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12"/>
                <w:szCs w:val="12"/>
                <w:color w:val="auto"/>
              </w:rPr>
            </w:pPr>
          </w:p>
        </w:tc>
        <w:tc>
          <w:tcPr>
            <w:tcW w:w="9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 Deficit)</w:t>
            </w: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5"/>
                <w:szCs w:val="15"/>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(387.6)</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9"/>
              </w:rPr>
              <w:t>$(253.1)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Unrealized loss on investments,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Reclassification adjustment for losses included in net earnings,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Issuances for franchise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equity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Dividends ($.20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December 31, 2002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(289.7)</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(123.7)</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146.8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derivatives,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Unrealized gain on investments,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Reclassification adjustment for losses included in net earnings,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Issuances for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equity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Dividends ($.20 per share)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December 31, 2003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Unrealized gain on investments,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Issuances for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Issuances under equity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Dividends ($.30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December 31, 2004</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9"/>
              </w:rPr>
              <w:t>$(283.8)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2"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423"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8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Manpower Inc. is a world leading provider of contemporary work services to the world’s labor markets. Our worldwide network of over 4,300 offices in 67 countries and territories enables us to meet the needs of our customers in all industry segments. Our largest operations, based on revenues, are located in the United States, France and the United Kingdom. We specialize in permanent, temporary and contract recruitment; employee assessment; training; internal audit, accounting, technology and tax services; career transition and organizational consulting services. We provide services to a wide variety of customers, none of which individually comprises a significant portion of revenues for us as a whole.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9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have used estimates to establish liability balances for various items, including amounts related to social program remittances in France and payroll tax audit exposures. The liabilities are determined at each entity, based on our historical experience and related trends, and will be adjusted to the extent that our actual experience differs from our current estimates. In France, we are currently under audit for payroll tax remittances made during 2001 and for remittances made during 2002 and 2003. We have received a preliminary notification related to 2001 and have responded to the notification with additional information. We currently do not expect a significant adjustment to our December 31, 2004 estimate of additional remittances as a result of this notification. In the fourth quarter of 2003, we reduced our estimated liability related to the social program remittances in France by $16.1 due to recent historical trends in the amounts remitted to customers. During 2004, we increased our liability for payroll tax remittances by $12.8.</w:t>
      </w:r>
    </w:p>
    <w:p>
      <w:pPr>
        <w:spacing w:after="0" w:line="1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Netherlands, we are currently under audit for compliance with regulations related to the collection and maintenance of payroll-related documents for our temporary employees. We have not received any notification of findings related to this audit, however we currently do not expect an assessment to have a significant impact on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2003 and 2002 notes to consolidated financial statements have been reclassified to be consistent with the current year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8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FASB (Financial Accounting Standards Board) Interpretation No. 46R, “Consolidation of Variable Interest Entities.” These investments were $82.7 and $95.7 as of December 31, 2004 and 2003, respectively, and are included as Other Assets in the consolidated balance sheets. Included in Shareholders’ Equity as of December 31, 2004 are $45.7 of unremitted earnings from investments accounted for using the equity method. All significant intercompany accounts and transactions have been eliminated in consolidation.</w:t>
      </w:r>
    </w:p>
    <w:p>
      <w:pPr>
        <w:spacing w:after="0" w:line="85"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Receivables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generate revenues from sales of services by our company-owned branch operations and from fees earned on sales of services by our franchise operations. Revenues are recognized on the accrual basis. The majority of our revenues are generated by our staffing business, where billings are generally negotiated and invoiced on a per-hour basis. Accordingly, as the temporary employees are placed, we record revenue based on the hours worked. 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$34.5, $26.5, and $25.8 for the years ended December 31, 2004, 2003 and 2002, respectively.</w:t>
      </w:r>
    </w:p>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our career transition business, we recognize revenue from individual programs on a straight-line basis over the average length of time for candidates to find jobs based on statistically valid data for the specific type of program. For group programs and large projects within the career transition business, we defer and recognize revenue over the period within which the contracts are completed. The difference between the amount billed for career transition services and the amount recognized as revenue is recorded as Deferred Revenue and included in Accrued Liabilities on our consolidated balance sheet. We had $43.8 recorded as Deferred Revenue as of December 31, 2004.</w:t>
      </w:r>
    </w:p>
    <w:p>
      <w:pPr>
        <w:spacing w:after="0" w:line="129" w:lineRule="exact"/>
        <w:rPr>
          <w:sz w:val="20"/>
          <w:szCs w:val="20"/>
          <w:color w:val="auto"/>
        </w:rPr>
      </w:pPr>
    </w:p>
    <w:p>
      <w:pPr>
        <w:ind w:right="1380"/>
        <w:spacing w:after="0" w:line="375" w:lineRule="auto"/>
        <w:rPr>
          <w:sz w:val="20"/>
          <w:szCs w:val="20"/>
          <w:color w:val="auto"/>
        </w:rPr>
      </w:pPr>
      <w:r>
        <w:rPr>
          <w:rFonts w:ascii="Arial" w:cs="Arial" w:eastAsia="Arial" w:hAnsi="Arial"/>
          <w:sz w:val="18"/>
          <w:szCs w:val="18"/>
          <w:color w:val="auto"/>
        </w:rPr>
        <w:t xml:space="preserve">In our organizational consulting business, revenue is recognized upon the performance of the obligations under the consulting service contract. </w:t>
      </w:r>
      <w:r>
        <w:rPr>
          <w:rFonts w:ascii="Arial" w:cs="Arial" w:eastAsia="Arial" w:hAnsi="Arial"/>
          <w:sz w:val="18"/>
          <w:szCs w:val="18"/>
          <w:b w:val="1"/>
          <w:bCs w:val="1"/>
          <w:color w:val="auto"/>
        </w:rPr>
        <w:t>Allowance for Doubtful Accounts</w:t>
      </w:r>
    </w:p>
    <w:p>
      <w:pPr>
        <w:spacing w:after="0" w:line="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a Selling and Administrative Expense in our consolidated statements of operations and was $27.3, $16.7, and $18.2 in 2004, 2003, and 2002,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$21.9, $19.5, and $18.4, for 2004,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generally expense production costs of advertising as they are incurred. Advertising expenses were $43.2, $28.1, and $30.8 in 2004,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account for income taxes in accordance with Statement of Financial Accounting Standards (“SFAS”) No. 109, “Accounting for Income Taxes” (“SFAS 109”). Deferred tax assets and liabilities are recognized for the future tax consequences attributable to differences between financial statement carrying amounts of existing assets and liabilities and their respective tax bases, net operating loss and tax credit carryforwards, and tax contingencies.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96"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account for the securitization of accounts receivable in accordance with SFAS No. 140, “Accounting for Transfers and Servicing of Financial Assets and Extinguishments of Liabilities” (“SFAS 140”). Accordingly, transfers of receivables are evaluated for sale accounting treatment and if such a transfer qualifies as a sale under SFAS 140, the related receivable balance is removed from our consolidated balance sheets and the loss related to the transfer is recorded as other expense. If the transfer of receivables does not qualify for sale accounting, the related receivable balance remains on our consolidated balance sheets, the corresponding advance is recorded as debt and the related cost of the transaction is recorded as interest expense. (See note 5 for further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indefinite-lived intangible assets,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16"/>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5"/>
                <w:szCs w:val="15"/>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40" w:type="dxa"/>
            <w:vAlign w:val="bottom"/>
            <w:gridSpan w:val="2"/>
            <w:vMerge w:val="continue"/>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999.0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949.9</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Intangible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Amortizable intangible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155.4</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Indefinite-lived intangible assets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191.7</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1,362.0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1,297.0</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-29210</wp:posOffset>
            </wp:positionV>
            <wp:extent cx="322008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20085" cy="29845"/>
                    </a:xfrm>
                    <a:prstGeom prst="rect">
                      <a:avLst/>
                    </a:prstGeom>
                    <a:noFill/>
                  </pic:spPr>
                </pic:pic>
              </a:graphicData>
            </a:graphic>
          </wp:anchor>
        </w:drawing>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increase in Goodwill and Intangible Assets from 2003 to 2004 is primarily a result of the acquisition of Right Management Consultants, Inc. (“RMC”). (See note 2 for further information.)</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Amortization expense related to intangibles was $12.3 in 2004 and immaterial in 2003 and 2002. Amortization expense expected in each of the next five years is as follows: 2005 – $14.1, 2006 – $14.1, 2007 – $14.1, 2008 – $14.1, and 2009 – $10.0.</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 of RMC. Our remaining Goodwill relates primarily to our acquisitions of Elan and Jefferson Wells.</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our discounted cash flow analysis include: expected future revenue growth rates, operating unit profit margins, and working capital levels; a discount rate; and a terminal value multiple.</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completed our annual impairment review for 2004 and determined there to be no impairment of either goodwill or indefinite-lived intangible assets. We plan to perform our next annual impairment review during the third quarter of 2005.</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lower-than-forecasted earnings levels for various reporting units. In addition, changes to other assumptions could significantly impact our estimate of the fair value of our reporting units. Such a change may result in an impairment charge, which could have a significant impact on the reportable segments that include the related reporting units and our consolidated financial statements.</w:t>
      </w:r>
    </w:p>
    <w:p>
      <w:pPr>
        <w:spacing w:after="0" w:line="124"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account for our security investments under SFAS No. 115, “Accounting for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which is a separate component of Shareholders’ Equity. Realized gains and losses, and unrealized losses determined to be other-than-temporary, are recorded in our consolidated statements of operations. As of December 31, 2004 and 2003, our available-for-sale investments had a market value of $8.8 and $6.4, respectively, and an adjusted cost basis of $6.3 in 2004 and 2003. As of December 31, 2004, none of these available-for-sale investments had unrealized losses.</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hold a 49% interest in our Swiss franchise, which maintains an investment portfolio with a market value of $115.2 as of December 31, 2004. This portfolio is comprised of a wide variety of European and U.S. debt and equity securities as well as various professionally-managed funds, all of which are classified as available-for-sale. Our net share of realized gains and losses, and declines in value determined to be other-than-temporary, are included in our consolidated statements of operations. Our share of net unrealized gains and unrealized losses that are determined to be temporary related to these investments are included in Accumulated Other Comprehensive Income, with the offsetting amount increasing or decreasing our investment in the franchise. In this portfolio, there were no unrealized losses by investment type as of December 31, 2004.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The net capitalized software balance of $47.2 and $46.7 as of December 31, 2004 and 2003, respectively, is included in Other Assets in the consolidated balance sheets. Amortization expense related to the capitalized software costs was $9.3, $5.5, and $4.7 for 2004, 2003, and 2002,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20" w:type="dxa"/>
            <w:vAlign w:val="bottom"/>
          </w:tcPr>
          <w:p>
            <w:pPr>
              <w:spacing w:after="0"/>
              <w:rPr>
                <w:sz w:val="15"/>
                <w:szCs w:val="15"/>
                <w:color w:val="auto"/>
              </w:rPr>
            </w:pPr>
          </w:p>
        </w:tc>
        <w:tc>
          <w:tcPr>
            <w:tcW w:w="6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autos</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221.2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169.8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243.9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669.8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Property and equipment are stated at cost and are depreciated using primarily the straight-line method over the following estimated useful lives: buildings – up to 40 years; leasehold improvements – lesser of life of asset or lease term; furniture and equipment – 3 to 15 years.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w:t>
      </w:r>
    </w:p>
    <w:p>
      <w:pPr>
        <w:spacing w:after="0" w:line="93"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8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account for our derivative instruments in accordance with SFAS Nos. 133, 137, and 149 related to “Accounting for Derivative Instruments and Hedging Activities” (“SFAS 133, as amended”).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and recognized in the consolidated statements of operations when the hedged item affects earnings. Ineffective portions of changes in the fair value of hedges are recognized in earnings.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financial statements of our non-U.S. subsidiaries have been translated in accordance with SFAS No. 52, “Foreign Currency Translation” (“SFAS 52”). Under SFAS 52, asset and liability accounts are translated at the current exchange rate and income statement items are translated at the weighted-average exchange rate for the year. The resulting translation adjustments are recorded as a component of Accumulated Other Comprehensive Income, which is included in Shareholders’ Equity. In accordance with SFAS 109, no deferred taxes have been recorded related to the cumulative translation adjustments.</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Certain foreign currency 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October 2004, the Board of Directors authorized the repurchase of 5 million shares of our common stock, not to exceed a total purchase price of $250.0. Share repurchases may be made from time to time and may be implemented through a variety of methods, including open market purchases, block transactions, privately negotiated transactions, accelerated share repurchase programs, forward repurchase agreements or similar facilities. This repurchase authorization replaces all previous authorizations. As of December 31, 2004, there were no shares repurchased under this authorization. There were no share repurchases in 2003 and a total of 900,000 shares at a cost of $30.7 were repurchased in 2002 under a previous authorization.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 maturity of three months or less when purchased to be cash equivalents.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account for all of our fixed stock option plans and our 1990 Employee Stock Purchase Plan in accordance with APB Opinion No. 25, “Accounting for Stock Issued to Employees,” and related Interpretations (“APB 25”). No compensation expense for employee stock options is reflected in Net Earnings as all options granted under those plans had an exercise price equal to the market value of the underlying common stock on the date of grant. The following table (page 68) illustrates the effect on Net Earnings and Net Earnings Per Share if we had applied the fair value recognition provisions of SFAS No. 123, “Accounting for Stock-Based Compensation,” (“SFAS 123”) to stock-based employee compensation.</w:t>
      </w:r>
    </w:p>
    <w:p>
      <w:pPr>
        <w:spacing w:after="0" w:line="96"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67</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Net earnings, as reported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245.7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Less: Total stock-based employee compensation expense determined under the fair value method for all awards, net of related tax</w:t>
            </w:r>
          </w:p>
        </w:tc>
        <w:tc>
          <w:tcPr>
            <w:tcW w:w="8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effects</w:t>
            </w: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236.2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 Per Share</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Basic – as reported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 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line="217" w:lineRule="exact"/>
              <w:rPr>
                <w:sz w:val="20"/>
                <w:szCs w:val="20"/>
                <w:color w:val="auto"/>
              </w:rPr>
            </w:pPr>
            <w:r>
              <w:rPr>
                <w:rFonts w:ascii="Arial" w:cs="Arial" w:eastAsia="Arial" w:hAnsi="Arial"/>
                <w:sz w:val="18"/>
                <w:szCs w:val="18"/>
                <w:color w:val="auto"/>
              </w:rPr>
              <w:t>Diluted – as reported</w:t>
            </w:r>
            <w:r>
              <w:rPr>
                <w:rFonts w:ascii="Arial" w:cs="Arial" w:eastAsia="Arial" w:hAnsi="Arial"/>
                <w:sz w:val="22"/>
                <w:szCs w:val="22"/>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Diluted – pro forma</w:t>
            </w:r>
            <w:r>
              <w:rPr>
                <w:rFonts w:ascii="Arial" w:cs="Arial" w:eastAsia="Arial" w:hAnsi="Arial"/>
                <w:sz w:val="22"/>
                <w:szCs w:val="22"/>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-850265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-850265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-850265</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-850265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-850265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-850265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-850265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-850265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-850265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39" w:lineRule="exact"/>
        <w:rPr>
          <w:sz w:val="20"/>
          <w:szCs w:val="20"/>
          <w:color w:val="auto"/>
        </w:rPr>
      </w:pPr>
    </w:p>
    <w:p>
      <w:pPr>
        <w:ind w:left="460" w:right="620" w:hanging="452"/>
        <w:spacing w:after="0" w:line="228" w:lineRule="auto"/>
        <w:tabs>
          <w:tab w:leader="none" w:pos="460" w:val="left"/>
        </w:tabs>
        <w:numPr>
          <w:ilvl w:val="0"/>
          <w:numId w:val="99"/>
        </w:numPr>
        <w:rPr>
          <w:rFonts w:ascii="Arial" w:cs="Arial" w:eastAsia="Arial" w:hAnsi="Arial"/>
          <w:sz w:val="22"/>
          <w:szCs w:val="22"/>
          <w:color w:val="auto"/>
          <w:vertAlign w:val="superscript"/>
        </w:rPr>
      </w:pPr>
      <w:r>
        <w:rPr>
          <w:rFonts w:ascii="Arial" w:cs="Arial" w:eastAsia="Arial" w:hAnsi="Arial"/>
          <w:sz w:val="18"/>
          <w:szCs w:val="18"/>
          <w:color w:val="auto"/>
        </w:rPr>
        <w:t>2003 and 2002 amounts have been restated to include the convertible debentures using the “if-converted” method. See Recently Issued Accounting Standards below.</w:t>
      </w:r>
    </w:p>
    <w:p>
      <w:pPr>
        <w:spacing w:after="0" w:line="144"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with the following weighted-average assumptions used for grants in 2004, 2003 and 2002, respectively: risk-free interest rates of 3.2%, 3.3%, and 4.6%; expected volatility of 39.8%, 40.1%, and 40.9%; dividend yield of .5% in all years; and expected lives of 6.0 years, 7.4 years, and 6.4 years. The weighted-average fair value of options granted was $17.76, $10.32, and $10.86 per share in 2004, 2003 and 2002,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During May 2004, the FASB issued FASB Staff Position (“FSP”) No. 106-2, “Accounting and Disclosure Requirements Related to the Medicare Prescription Drug, Improvement and Modernization Act of 2003” (“FSP 106-2”), which provides guidance on accounting for the effects of the new Medicare prescription drug legislation (“the Act”). The Act, which was signed into law on December 8, 2003, introduces a prescription drug benefit under Medicare (Medicare Part D) as well as a federal subsidy to sponsors of retiree health care benefit plans that provide a benefit that is at least actuarially equivalent to Medicare Part D. FSP 106-2 was adopted by us in the third quarter of 2004 and did not have a material impact on our consolidated financial statements.</w:t>
      </w:r>
    </w:p>
    <w:p>
      <w:pPr>
        <w:spacing w:after="0" w:line="102"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During September 2004, the Emerging Issues Task Force (“EITF”) issued Issue No. 04-8, “The Effect of Contingently Convertible Debt on Diluted Earnings Per Share” (“EITF 04-8”), which requires the effect of contingently convertible debt securities with a market price trigger to be included in the calculation of diluted earnings per share, using the “if-converted” method, regardless of whether the market price trigger has been met. EITF 04-8 also requires that previously reported diluted earnings per share be restated. We adopted EITF 04-8 in the fourth quarter of 2004. (See note 3 for the impact of the adoption of EITF 04-8.)</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December 2004, the FASB issued SFAS No. 123(R) “Share-Based Payment” (“SFAS 123R”), which revises SFAS 123 and supercedes APB 25. SFAS 123R requires all share-based payments to employees, including grants of employee stock options, to be recognized as expense based on their fair values beginning with the first interim or annual period after June 15, 2005, with early adoption encouraged. The pro forma disclosures previously permitted under SFAS 123 will no longer be an alternative to expense recognition. We will adopt SFAS 123R using the modified-prospective method in the third quarter of 2005.</w:t>
      </w:r>
    </w:p>
    <w:p>
      <w:pPr>
        <w:spacing w:after="0" w:line="99"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During December 2004, the FASB issued FSP No. 109-2, “Accounting and Disclosure Guidance for the Foreign Earnings Repatriation Provision within the American Jobs Creation Act of 2004” (“FSP 109-2”), which provides guidance on the accounting for the potential impact of the repatriation provisions of the American Jobs Creation Act of 2004 (the “Jobs Act”) on enterprises’ income tax expense and deferred tax liability. The Jobs Act, which was signed into law on October 22, 2004, introduces relief on the potential income tax impact of repatriating foreign earnings and certain other provisions. FSP 109-2 states that an enterprise is allowed time beyond the financial reporting period of enactment to</w:t>
      </w:r>
    </w:p>
    <w:p>
      <w:pPr>
        <w:spacing w:after="0" w:line="96"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evaluate the effect of the Jobs Act on its plan for reinvestment or repatriation of foreign earnings for purposes of applying SFAS 109. Based on our analysis to date, we are not yet in a position to decide on whether, or to what extent, we might repatriate foreign earnings under the provision of the Jobs Act. However, we expect to be in a position to finalize our assessment by June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OF BUSINESSES</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From time to time, we acquire and invest in companies throughout the world, including U.S. franchises. The total cash consideration for acquisitions was $117.3, $6.7, and $33.5 in 2004, 2003 and 2002, respectively. The 2004 amount includes acquisition-related costs and the $123.8 repayment of RMC’s long-term debt that we were required to make due to change of control provisions contained in the agreements. We financed the acquisition-related costs and this repayment with excess cash and borrowings under our Receivables Facility, which was repaid in 2004. Cash acquired of approximately $39.5 offsets these payments.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Acquisition</w:t>
      </w:r>
    </w:p>
    <w:p>
      <w:pPr>
        <w:spacing w:after="0" w:line="83"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On January 22, 2004, we completed our exchange offer to acquire RMC, the world’s largest career transition and organizational consulting services firm, operating through over 300 offices in 35 countries. The results of RMC’s operations are included in our consolidated financial statements since that date. The acquisition of RMC expands the range of services that we offer to customers as a strategic partner throughout every stage of the employment cycle. We have merged our Empower operations into RMC, and the results of the combined entity are reported as the Right segment.</w:t>
      </w:r>
    </w:p>
    <w:p>
      <w:pPr>
        <w:spacing w:after="0" w:line="9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Substantially all of RMC’s outstanding shares were tendered and exchanged at a rate of 0.3874 of a share of our common stock and cash was paid for fractional shares. The remaining outstanding shares were converted into the right to acquire our common stock at the same exchange rate.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The purchase price comprised of the following items: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our common stock issued</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$ 428.4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Fair value of RMC stock options assumed</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repaid upon change of control</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Severance and additional SERP liabilities, net of deferred tax assets</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 net of deferred tax assets</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purchase price</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$ 630.6</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-27305</wp:posOffset>
            </wp:positionV>
            <wp:extent cx="34734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issued 8,852,000 shares of our common stock in the exchange. The value of these shares was calculated based on an average share price over a two-day period prior to the completion of the transaction.</w:t>
      </w:r>
    </w:p>
    <w:p>
      <w:pPr>
        <w:spacing w:after="0" w:line="118"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We assumed both of RMC’s stock option plans, converting outstanding options to purchase shares of RMC common stock into options to purchase 1,962,000 shares of our common stock. The fair value of these options was based on an independent valuation using the Black-Scholes option-pricing model.</w:t>
      </w:r>
    </w:p>
    <w:p>
      <w:pPr>
        <w:spacing w:after="0" w:line="4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were required to repay certain of RMC’s long-term debt due to change of control provisions contained in these agreements. We financed this repayment with excess cash and borrowings under our Receivables Facility which were subsequently repaid.</w:t>
      </w:r>
    </w:p>
    <w:p>
      <w:pPr>
        <w:spacing w:after="0" w:line="11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purchase price also includes amounts paid or accrued for a severance agreement and the liability resulting from the accelerated vesting of RMC’s Supplemental Executive Retirement Plan (“SERP”). The liability resulting from the accelerated vesting of the SERP was based on an independent valuation. Deferred tax assets of $3.8 were recorded related to these items.</w:t>
      </w:r>
    </w:p>
    <w:p>
      <w:pPr>
        <w:spacing w:after="0" w:line="121"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69</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acquisition-related costs consist primarily of investment banking, legal and accounting fees, printing costs and other external costs directly related to the acquisition.</w:t>
      </w:r>
    </w:p>
    <w:p>
      <w:pPr>
        <w:spacing w:after="0" w:line="118"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In connection with this acquisition, we have also established reserves for severances and other office closure costs related to streamlining RMC’s worldwide operations that total $24.5. We have recorded a net deferred tax asset of $6.5 related to these items. During 2004, approximately $7.8 was paid from these reserves. Of the remaining balance, approximately $15.1 will be paid during 2005, with the remaining $1.6 to be paid thereafter.</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Based on an independent valuation, we have identified $162.5 of amortizable intangible assets related to RMC’s customer list, technology and franchise agreements. These items were assigned a weighted-average useful life of approximately 15 years. We have also identified $191.3 as an indefinite-lived intangible asset related to RMC’s tradename. A deferred tax liability of $136.3 was established for the difference between book and tax basis related to RMC’s intangible assets. Based on the independent valuation and the fair value of tangible assets acquired, $389.6 was recorded as Goodwill. Approximately $8.0 of Goodwill, related to the acquisition fees, will be deductible for tax purposes. Therefore we’ve recorded a deferred tax asset of $2.9.</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represents the assets acquired and liabilities assumed to arrive at net cash paid and equity issued for the acquisition of RMC as of January 22, 2004.</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current assets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Intangible assets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payable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Long-term debt</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liability</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assumed</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(290.4)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and value of equity issued</w:t>
            </w:r>
          </w:p>
        </w:tc>
        <w:tc>
          <w:tcPr>
            <w:tcW w:w="2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pro forma consolidated results below combine the historical results of our operations and RMC’s operations for the years ended December 31, 2004 and 2003 and have been prepared to reflect the acquisition as if it had been consummated as of the beginning of each period.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4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340" w:type="dxa"/>
            <w:vAlign w:val="bottom"/>
            <w:gridSpan w:val="2"/>
            <w:vMerge w:val="continue"/>
          </w:tcPr>
          <w:p>
            <w:pPr>
              <w:spacing w:after="0"/>
              <w:rPr>
                <w:sz w:val="8"/>
                <w:szCs w:val="8"/>
                <w:color w:val="auto"/>
              </w:rPr>
            </w:pPr>
          </w:p>
        </w:tc>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14,954.0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12,636.1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earnings</w:t>
            </w: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earnings per share – diluted</w:t>
            </w:r>
          </w:p>
        </w:tc>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2004 Annual Report</w:t>
            </w:r>
          </w:p>
        </w:tc>
        <w:tc>
          <w:tcPr>
            <w:tcW w:w="4760" w:type="dxa"/>
            <w:vAlign w:val="bottom"/>
          </w:tcPr>
          <w:p>
            <w:pPr>
              <w:jc w:val="right"/>
              <w:ind w:right="2972"/>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gridSpan w:val="4"/>
          </w:tcPr>
          <w:p>
            <w:pPr>
              <w:ind w:left="180"/>
              <w:spacing w:after="0"/>
              <w:rPr>
                <w:sz w:val="20"/>
                <w:szCs w:val="20"/>
                <w:color w:val="auto"/>
              </w:rPr>
            </w:pPr>
            <w:r>
              <w:rPr>
                <w:rFonts w:ascii="Arial" w:cs="Arial" w:eastAsia="Arial" w:hAnsi="Arial"/>
                <w:sz w:val="18"/>
                <w:szCs w:val="18"/>
                <w:color w:val="auto"/>
                <w:w w:val="93"/>
              </w:rPr>
              <w:t>MANPOWER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total cash consideration net of cash acquired, for acquisitions other than RMC was $(14.7), $6.7, and $33.5 in 2004, 2003 and 2002, respectively. The 2004 amount includes cash acquired of $28.7. In addition to the cash consideration, in 2003 and 2002 we acquired ownership interests in certain U.S. franchises in exchange for approximately 13,000 and 592,000 shares, respectively, of our common stock, which had an aggregate market value of $0.7 and $21.9, respectively, at the dates of acquisition.</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a European acquisition completed during the first quarter of 2004, we established a reserve of $16.7 for severance and other exit costs related to the acquired company. These expenses are being funded by the inflow of cash that resulted from the acquisition. Since the date of the acquisition, there has been $15.9 paid from this reserve.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September 2004, the EITF issued EITF 04-8, which requires the effect of contingently convertible debt securities with a market price trigger to be included in the calculation of diluted earnings per share, using the “if-converted” method, regardless of whether the market price trigger has been met. EITF 04-8 also requires restatement of previously reported earnings. Our unsecured zero-coupon convertible debentures, issued August 17, 2001 have such a feature, and therefore we have restated Net Earnings Per Share-Diluted for all periods presented.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Net Earnings Per Share – Diluted restated for EITF 04-8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60" w:type="dxa"/>
            <w:vAlign w:val="bottom"/>
            <w:gridSpan w:val="2"/>
            <w:vMerge w:val="continue"/>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As reported</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Restated</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The calculation of Net Earnings Per Share is as follows:</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60" w:type="dxa"/>
            <w:vAlign w:val="bottom"/>
            <w:gridSpan w:val="2"/>
            <w:vMerge w:val="continue"/>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4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245.7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The calculation of Net Earnings Per Share – Diluted is as follows: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60" w:type="dxa"/>
            <w:vAlign w:val="bottom"/>
            <w:gridSpan w:val="2"/>
            <w:vMerge w:val="continue"/>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245.7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Add: Amortization related to convertible debt, net of taxes</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available to common shareholders</w:t>
            </w:r>
          </w:p>
        </w:tc>
        <w:tc>
          <w:tcPr>
            <w:tcW w:w="4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Effect of dilutive securities – stock options (in millions)</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Effect of convertible debentures (in millions)</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60" w:type="dxa"/>
            <w:vAlign w:val="bottom"/>
            <w:gridSpan w:val="2"/>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60" w:type="dxa"/>
            <w:vAlign w:val="bottom"/>
            <w:gridSpan w:val="2"/>
          </w:tcPr>
          <w:p>
            <w:pPr>
              <w:spacing w:after="0"/>
              <w:rPr>
                <w:sz w:val="20"/>
                <w:szCs w:val="20"/>
                <w:color w:val="auto"/>
              </w:rPr>
            </w:pPr>
            <w:r>
              <w:rPr>
                <w:rFonts w:ascii="Arial" w:cs="Arial" w:eastAsia="Arial" w:hAnsi="Arial"/>
                <w:sz w:val="18"/>
                <w:szCs w:val="18"/>
                <w:color w:val="auto"/>
              </w:rPr>
              <w:t>MANPOWER INC.</w:t>
            </w:r>
          </w:p>
        </w:tc>
        <w:tc>
          <w:tcPr>
            <w:tcW w:w="4240" w:type="dxa"/>
            <w:vAlign w:val="bottom"/>
          </w:tcPr>
          <w:p>
            <w:pPr>
              <w:jc w:val="right"/>
              <w:ind w:right="337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840" w:type="dxa"/>
            <w:vAlign w:val="bottom"/>
            <w:gridSpan w:val="9"/>
          </w:tcPr>
          <w:p>
            <w:pPr>
              <w:ind w:left="300"/>
              <w:spacing w:after="0"/>
              <w:rPr>
                <w:sz w:val="20"/>
                <w:szCs w:val="20"/>
                <w:color w:val="auto"/>
              </w:rPr>
            </w:pPr>
            <w:r>
              <w:rPr>
                <w:rFonts w:ascii="Arial" w:cs="Arial" w:eastAsia="Arial" w:hAnsi="Arial"/>
                <w:sz w:val="18"/>
                <w:szCs w:val="18"/>
                <w:b w:val="1"/>
                <w:bCs w:val="1"/>
                <w:color w:val="auto"/>
                <w:w w:val="89"/>
              </w:rPr>
              <w:t>2004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-2684145</wp:posOffset>
            </wp:positionV>
            <wp:extent cx="122174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2174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-325755</wp:posOffset>
            </wp:positionV>
            <wp:extent cx="31305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calculation of Net Earnings Per Share – Diluted for the years ended December 31, 2004, 2003 and 2002 does not include certain stock option grants because the exercise price for these options is greater than the average market price of the common shares during that year. The number, exercise prices and weighted-average remaining life of these antidilutive options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(in thousands)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Exercise price ranges</w:t>
            </w:r>
          </w:p>
        </w:tc>
        <w:tc>
          <w:tcPr>
            <w:tcW w:w="4860" w:type="dxa"/>
            <w:vAlign w:val="bottom"/>
            <w:gridSpan w:val="3"/>
          </w:tcPr>
          <w:p>
            <w:pPr>
              <w:jc w:val="right"/>
              <w:spacing w:after="0"/>
              <w:rPr>
                <w:sz w:val="20"/>
                <w:szCs w:val="20"/>
                <w:color w:val="auto"/>
              </w:rPr>
            </w:pPr>
            <w:r>
              <w:rPr>
                <w:rFonts w:ascii="Arial" w:cs="Arial" w:eastAsia="Arial" w:hAnsi="Arial"/>
                <w:sz w:val="18"/>
                <w:szCs w:val="18"/>
                <w:b w:val="1"/>
                <w:bCs w:val="1"/>
                <w:color w:val="auto"/>
              </w:rPr>
              <w:t>$ 48 - $49</w:t>
            </w: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8"/>
              </w:rPr>
              <w:t>$ 37 - $44</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8"/>
              </w:rPr>
              <w:t>$ 36 - $41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life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2"/>
              </w:rPr>
              <w:t>9.1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7.3 years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5.6 years</w:t>
            </w:r>
          </w:p>
        </w:tc>
        <w:tc>
          <w:tcPr>
            <w:tcW w:w="0" w:type="dxa"/>
            <w:vAlign w:val="bottom"/>
          </w:tcPr>
          <w:p>
            <w:pPr>
              <w:spacing w:after="0"/>
              <w:rPr>
                <w:sz w:val="1"/>
                <w:szCs w:val="1"/>
                <w:color w:val="auto"/>
              </w:rPr>
            </w:pPr>
          </w:p>
        </w:tc>
      </w:tr>
      <w:tr>
        <w:trPr>
          <w:trHeight w:val="363"/>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04.</w:t>
            </w:r>
          </w:p>
        </w:tc>
        <w:tc>
          <w:tcPr>
            <w:tcW w:w="3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460" w:type="dxa"/>
            <w:vAlign w:val="bottom"/>
            <w:gridSpan w:val="3"/>
          </w:tcPr>
          <w:p>
            <w:pPr>
              <w:spacing w:after="0"/>
              <w:rPr>
                <w:sz w:val="20"/>
                <w:szCs w:val="20"/>
                <w:color w:val="auto"/>
              </w:rPr>
            </w:pPr>
            <w:r>
              <w:rPr>
                <w:rFonts w:ascii="Arial" w:cs="Arial" w:eastAsia="Arial" w:hAnsi="Arial"/>
                <w:sz w:val="18"/>
                <w:szCs w:val="18"/>
                <w:color w:val="auto"/>
              </w:rPr>
              <w:t>The provision for income taxes consists of:</w:t>
            </w: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60" w:type="dxa"/>
            <w:vAlign w:val="bottom"/>
            <w:gridSpan w:val="3"/>
            <w:vMerge w:val="continue"/>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State</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State</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deferred</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provision</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360" w:type="dxa"/>
            <w:vAlign w:val="bottom"/>
            <w:gridSpan w:val="2"/>
          </w:tcPr>
          <w:p>
            <w:pPr>
              <w:spacing w:after="0"/>
              <w:rPr>
                <w:sz w:val="11"/>
                <w:szCs w:val="11"/>
                <w:color w:val="auto"/>
              </w:rPr>
            </w:pPr>
          </w:p>
        </w:tc>
        <w:tc>
          <w:tcPr>
            <w:tcW w:w="72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9600" w:type="dxa"/>
            <w:vAlign w:val="bottom"/>
            <w:gridSpan w:val="7"/>
          </w:tcPr>
          <w:p>
            <w:pPr>
              <w:spacing w:after="0"/>
              <w:rPr>
                <w:sz w:val="20"/>
                <w:szCs w:val="20"/>
                <w:color w:val="auto"/>
              </w:rPr>
            </w:pPr>
            <w:r>
              <w:rPr>
                <w:rFonts w:ascii="Arial" w:cs="Arial" w:eastAsia="Arial" w:hAnsi="Arial"/>
                <w:sz w:val="18"/>
                <w:szCs w:val="18"/>
                <w:color w:val="auto"/>
                <w:w w:val="89"/>
              </w:rPr>
              <w:t>A reconciliation between taxes computed at the United States Federal statutory tax rate of 35% and the consolidated effective tax rate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60" w:type="dxa"/>
            <w:vAlign w:val="bottom"/>
            <w:gridSpan w:val="3"/>
          </w:tcPr>
          <w:p>
            <w:pPr>
              <w:spacing w:after="0"/>
              <w:rPr>
                <w:sz w:val="20"/>
                <w:szCs w:val="20"/>
                <w:color w:val="auto"/>
              </w:rPr>
            </w:pPr>
            <w:r>
              <w:rPr>
                <w:rFonts w:ascii="Arial" w:cs="Arial" w:eastAsia="Arial" w:hAnsi="Arial"/>
                <w:sz w:val="18"/>
                <w:szCs w:val="18"/>
                <w:color w:val="auto"/>
              </w:rPr>
              <w:t>is as follows:</w:t>
            </w: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60" w:type="dxa"/>
            <w:vAlign w:val="bottom"/>
            <w:gridSpan w:val="3"/>
            <w:vMerge w:val="continue"/>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based on statutory rate</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129.3</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Increase (decrease) resulting from:</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tax rate differences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Tax effect of foreign earnings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valuation reserve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Reversal of tax contingency reserve</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2004 Annual Report</w:t>
            </w:r>
          </w:p>
        </w:tc>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460" w:type="dxa"/>
            <w:vAlign w:val="bottom"/>
            <w:gridSpan w:val="3"/>
            <w:vMerge w:val="continue"/>
          </w:tcPr>
          <w:p>
            <w:pPr>
              <w:spacing w:after="0"/>
              <w:rPr>
                <w:sz w:val="24"/>
                <w:szCs w:val="24"/>
                <w:color w:val="auto"/>
              </w:rPr>
            </w:pPr>
          </w:p>
        </w:tc>
        <w:tc>
          <w:tcPr>
            <w:tcW w:w="4100" w:type="dxa"/>
            <w:vAlign w:val="bottom"/>
          </w:tcPr>
          <w:p>
            <w:pPr>
              <w:jc w:val="right"/>
              <w:ind w:right="24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color w:val="auto"/>
              </w:rPr>
              <w:t>MANPOWER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-2444115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-2444115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-2444115</wp:posOffset>
            </wp:positionV>
            <wp:extent cx="9048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0487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-2444115</wp:posOffset>
            </wp:positionV>
            <wp:extent cx="387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-325755</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Deferred income taxes are recorded on temporary differences at the tax rate expected to be in effect when the temporary differences reverse. Temporary differences, which gave rise to the deferred tax assets,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Future Income Tax Benefits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Future Income Tax Benefits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line="217"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2"/>
                <w:szCs w:val="22"/>
                <w:color w:val="auto"/>
                <w:vertAlign w:val="superscript"/>
              </w:rPr>
              <w:t>(a)</w:t>
            </w:r>
          </w:p>
        </w:tc>
        <w:tc>
          <w:tcPr>
            <w:tcW w:w="8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(131.5)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and other</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174.2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(28.9)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future tax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156.6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020" w:type="dxa"/>
            <w:vAlign w:val="bottom"/>
            <w:gridSpan w:val="2"/>
            <w:vMerge w:val="restart"/>
          </w:tcPr>
          <w:p>
            <w:pPr>
              <w:spacing w:after="0"/>
              <w:rPr>
                <w:sz w:val="20"/>
                <w:szCs w:val="20"/>
                <w:color w:val="auto"/>
              </w:rPr>
            </w:pPr>
            <w:r>
              <w:rPr>
                <w:rFonts w:ascii="Arial" w:cs="Arial" w:eastAsia="Arial" w:hAnsi="Arial"/>
                <w:sz w:val="18"/>
                <w:szCs w:val="18"/>
                <w:color w:val="auto"/>
              </w:rPr>
              <w:t>(a)   See note 2 for further information.</w:t>
            </w: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100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20" w:type="dxa"/>
            <w:vAlign w:val="bottom"/>
            <w:gridSpan w:val="2"/>
          </w:tcPr>
          <w:p>
            <w:pPr>
              <w:spacing w:after="0"/>
              <w:rPr>
                <w:sz w:val="20"/>
                <w:szCs w:val="20"/>
                <w:color w:val="auto"/>
              </w:rPr>
            </w:pPr>
            <w:r>
              <w:rPr>
                <w:rFonts w:ascii="Arial" w:cs="Arial" w:eastAsia="Arial" w:hAnsi="Arial"/>
                <w:sz w:val="18"/>
                <w:szCs w:val="18"/>
                <w:color w:val="auto"/>
              </w:rPr>
              <w:t>The noncurrent future income tax benefits have been classified as Other Assets in the consolidated balance sheets.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6357620</wp:posOffset>
            </wp:positionH>
            <wp:positionV relativeFrom="paragraph">
              <wp:posOffset>-506095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-506095</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-506095</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-506095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-506095</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-506095</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We have U.S. Federal and foreign net operating loss carryforwards and U.S. state net operating loss carryforwards totaling $291.6 and $176.0, respectively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The net operating loss carryforwards expire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U.S. Federal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174"/>
        </w:trPr>
        <w:tc>
          <w:tcPr>
            <w:tcW w:w="9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4"/>
              </w:rPr>
              <w:t>and Foreign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State</w:t>
            </w:r>
          </w:p>
        </w:tc>
        <w:tc>
          <w:tcPr>
            <w:tcW w:w="0" w:type="dxa"/>
            <w:vAlign w:val="bottom"/>
          </w:tcPr>
          <w:p>
            <w:pPr>
              <w:spacing w:after="0"/>
              <w:rPr>
                <w:sz w:val="1"/>
                <w:szCs w:val="1"/>
                <w:color w:val="auto"/>
              </w:rPr>
            </w:pPr>
          </w:p>
        </w:tc>
      </w:tr>
      <w:tr>
        <w:trPr>
          <w:trHeight w:val="95"/>
        </w:trPr>
        <w:tc>
          <w:tcPr>
            <w:tcW w:w="9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expiration</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net operating loss carryforwards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recorded a deferred tax asset of $108.3 as of December 31, 2004, for the benefit of these net operating losses. Realization of this asset is dependent on generating sufficient taxable income prior to the expiration of the loss carryforwards. A valuation allowance of $53.3 has been recorded as of December 31, 2004, as management believes that realization of certain loss carryforwards and other deferred tax assets is unlikely. During 2004, we reversed a $16.7 valuation allowance on certain loss carryforwards that are expected to be utilized as a result of certain internal corporate restructurings and transactions.</w:t>
      </w:r>
    </w:p>
    <w:p>
      <w:pPr>
        <w:spacing w:after="0" w:line="93"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Pretax income of foreign operations was $170.9, $169.5, and $162.9 in 2004, 2003 and 2002, respectively. We have not provided United States income taxes and foreign withholding taxes on $339.5 of unremitted earnings of foreign subsidiaries that is considered to be reinvested indefinitely. Deferred taxes are provided on unremitted earnings of foreign subsidiaries when we determine that we may remit the earnings. As of December 31, 2004, we have recorded a deferred tax liability of $9.5 related to foreign earnings that may be remitted.</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October 22, 2004, the President signed the American Jobs Creation Act of 2004, (the “Jobs Act”). The Jobs Act creates a temporary incentive for United States corporations to repatriate accumulated earnings from foreign subsidiaries by providing an 85% dividends received deduction for certain dividends from controlled foreign corporations. The deduction is subject to a number of limitations and, as of today, uncertainty remains as to how to interpret numerous provisions of the Jobs Act. Based on our analysis to date, we are not yet in a position to decide on whether, or to what extent, we might repatriate foreign earnings under the provisions of the Jobs Act. However, we expect to be in a position to finalize our assessment by June 2005.</w:t>
      </w:r>
    </w:p>
    <w:p>
      <w:pPr>
        <w:spacing w:after="0" w:line="1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have tax contingencies recorded related to items in various countries, which are included in Other Long-Term Liabilities. These reserve balances will be adjusted to the extent that these items are settled for amounts different than the amounts we have recorded. In 2004, we received notification that income tax audits for certain years have been completed. Based on the results of these audits, we reversed a tax contingency of $8.0 to income in the third quarter of 2004 ($0.08 per diluted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ACCOUNTS RECEIVABLE SECURITIZATION</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and certain of our U.S. subsidiaries have an agreement (the “Receivables Facility”) with a financial institution whereby we may transfer on a continuous basis an interest in all eligible trade accounts receivable. Pursuant to the Receivables Facility, we formed Ironwood Capital Corporation, a wholly owned, special purpose, bankruptcy-remote subsidiary (“ICC”) that is fully consolidated in our financial statements. ICC was formed for the sole purpose of transferring receivables that we and certain of our subsidiaries generate. Under the Receivables Facility, we and certain of our subsidiaries, irrevocably and without recourse, may transfer all of our accounts receivable to ICC. ICC, in turn, subject to certain conditions, may from time to time transfer an undivided interest in these receivables and is permitted to receive advances of up to $200.0 for the transfer of such undivided interest. The agreement was amended in July 2004 to extend the expiration to July 2005 and it may be extended further with the financial institution’s consent.</w:t>
      </w:r>
    </w:p>
    <w:p>
      <w:pPr>
        <w:spacing w:after="0" w:line="10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Under the Receivables Facility, ICC has the ability to repurchase, in full or in part, the accounts receivable it transferred to the third party. Therefore, transfers made do not qualify for sale accounting, and accordingly, the receivables transferred to the third party remain on our consolidated balance sheet with the corresponding advance being recorded as debt. No amounts were advanced under this facility as of December 31, 2004 and 2003.</w:t>
      </w:r>
    </w:p>
    <w:p>
      <w:pPr>
        <w:spacing w:after="0" w:line="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Costs associated with the transfer of receivables primarily relate to the discount and fees associated with the amounts advanced. Such costs were $0.4 in each of 2004, 2003, and 2002 respectively, and were recorded as other expenses in the consolidated statements of operations.</w:t>
      </w:r>
    </w:p>
    <w:p>
      <w:pPr>
        <w:spacing w:after="0" w:line="112"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United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2"/>
              </w:rPr>
              <w:t>Jefferson</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1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0"/>
              </w:rPr>
              <w:t>States</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EMEA</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Wells</w:t>
            </w:r>
          </w:p>
        </w:tc>
        <w:tc>
          <w:tcPr>
            <w:tcW w:w="10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Right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83"/>
              </w:rPr>
              <w:t>Operations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25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$177.2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25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Goodwill acquired throughout the year</w:t>
            </w: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1.3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51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 and 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25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25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December 31, 2003</w:t>
            </w: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Goodwill acquired throughout the year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51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393.8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 and 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25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25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December 31, 2004</w:t>
            </w: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$215.2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450.9</w:t>
            </w:r>
          </w:p>
        </w:tc>
        <w:tc>
          <w:tcPr>
            <w:tcW w:w="160" w:type="dxa"/>
            <w:vAlign w:val="bottom"/>
            <w:shd w:val="clear" w:color="auto" w:fill="CCEEFF"/>
          </w:tcPr>
          <w:p>
            <w:pPr>
              <w:spacing w:after="0"/>
              <w:rPr>
                <w:sz w:val="18"/>
                <w:szCs w:val="18"/>
                <w:color w:val="auto"/>
              </w:rPr>
            </w:pPr>
          </w:p>
        </w:tc>
        <w:tc>
          <w:tcPr>
            <w:tcW w:w="25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w w:val="91"/>
              </w:rPr>
              <w:t>There were no significant reductions to goodwill as a result of dispositions during 2004 or 2003.</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25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0" w:type="dxa"/>
            <w:vAlign w:val="bottom"/>
            <w:gridSpan w:val="2"/>
          </w:tcPr>
          <w:p>
            <w:pPr>
              <w:spacing w:after="0"/>
              <w:rPr>
                <w:sz w:val="20"/>
                <w:szCs w:val="20"/>
                <w:color w:val="auto"/>
              </w:rPr>
            </w:pPr>
            <w:r>
              <w:rPr>
                <w:rFonts w:ascii="Arial" w:cs="Arial" w:eastAsia="Arial" w:hAnsi="Arial"/>
                <w:sz w:val="18"/>
                <w:szCs w:val="18"/>
                <w:b w:val="1"/>
                <w:bCs w:val="1"/>
                <w:color w:val="auto"/>
              </w:rPr>
              <w:t>07.</w:t>
            </w:r>
          </w:p>
        </w:tc>
        <w:tc>
          <w:tcPr>
            <w:tcW w:w="6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5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980" w:type="dxa"/>
            <w:vAlign w:val="bottom"/>
            <w:gridSpan w:val="3"/>
          </w:tcPr>
          <w:p>
            <w:pPr>
              <w:spacing w:after="0"/>
              <w:rPr>
                <w:sz w:val="20"/>
                <w:szCs w:val="20"/>
                <w:color w:val="auto"/>
              </w:rPr>
            </w:pPr>
            <w:r>
              <w:rPr>
                <w:rFonts w:ascii="Arial" w:cs="Arial" w:eastAsia="Arial" w:hAnsi="Arial"/>
                <w:sz w:val="18"/>
                <w:szCs w:val="18"/>
                <w:color w:val="auto"/>
              </w:rPr>
              <w:t>Information concerning Short-Term Borrowings is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9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25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w:t>
            </w:r>
          </w:p>
        </w:tc>
        <w:tc>
          <w:tcPr>
            <w:tcW w:w="7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Weighted-average interest rates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51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7.0%</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-1536065</wp:posOffset>
            </wp:positionV>
            <wp:extent cx="2705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05735" cy="29845"/>
                    </a:xfrm>
                    <a:prstGeom prst="rect">
                      <a:avLst/>
                    </a:prstGeom>
                    <a:noFill/>
                  </pic:spPr>
                </pic:pic>
              </a:graphicData>
            </a:graphic>
          </wp:anchor>
        </w:drawing>
      </w:r>
    </w:p>
    <w:p>
      <w:pPr>
        <w:spacing w:after="0" w:line="10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maintain separate bank facilities with foreign financial institutions to meet working capital needs of our foreign operations. As of December 31, 2004, such facilities totaled $295.0, of which $284.9 was unused. We have no significant compensating balance requirements or commitment fees related to these lines.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70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Zero-coupon convertible debentures</w:t>
            </w:r>
          </w:p>
        </w:tc>
        <w:tc>
          <w:tcPr>
            <w:tcW w:w="22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Euro-denominated notes due July 2006</w:t>
            </w:r>
          </w:p>
        </w:tc>
        <w:tc>
          <w:tcPr>
            <w:tcW w:w="2280" w:type="dxa"/>
            <w:vAlign w:val="bottom"/>
          </w:tcPr>
          <w:p>
            <w:pPr>
              <w:spacing w:after="0"/>
              <w:rPr>
                <w:sz w:val="18"/>
                <w:szCs w:val="18"/>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Euro-denominated notes due March 2005</w:t>
            </w:r>
          </w:p>
        </w:tc>
        <w:tc>
          <w:tcPr>
            <w:tcW w:w="22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Revolving credit agreement:</w:t>
            </w:r>
          </w:p>
        </w:tc>
        <w:tc>
          <w:tcPr>
            <w:tcW w:w="2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Euro-denominated borrowings, at a rate of 3.0%, and 3.3%, respectively</w:t>
            </w:r>
          </w:p>
        </w:tc>
        <w:tc>
          <w:tcPr>
            <w:tcW w:w="22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9"/>
                <w:szCs w:val="19"/>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7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7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00" w:type="dxa"/>
            <w:vAlign w:val="bottom"/>
          </w:tcPr>
          <w:p>
            <w:pPr>
              <w:spacing w:after="0"/>
              <w:rPr>
                <w:sz w:val="20"/>
                <w:szCs w:val="20"/>
                <w:color w:val="auto"/>
              </w:rPr>
            </w:pPr>
            <w:r>
              <w:rPr>
                <w:rFonts w:ascii="Arial" w:cs="Arial" w:eastAsia="Arial" w:hAnsi="Arial"/>
                <w:sz w:val="18"/>
                <w:szCs w:val="18"/>
                <w:color w:val="auto"/>
              </w:rPr>
              <w:t>Less – current maturities</w:t>
            </w:r>
          </w:p>
        </w:tc>
        <w:tc>
          <w:tcPr>
            <w:tcW w:w="2280" w:type="dxa"/>
            <w:vAlign w:val="bottom"/>
          </w:tcPr>
          <w:p>
            <w:pPr>
              <w:spacing w:after="0"/>
              <w:rPr>
                <w:sz w:val="19"/>
                <w:szCs w:val="19"/>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215.6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7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7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22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700" w:type="dxa"/>
            <w:vAlign w:val="bottom"/>
          </w:tcPr>
          <w:p>
            <w:pPr>
              <w:spacing w:after="0"/>
              <w:rPr>
                <w:sz w:val="20"/>
                <w:szCs w:val="20"/>
                <w:color w:val="auto"/>
              </w:rPr>
            </w:pPr>
            <w:r>
              <w:rPr>
                <w:rFonts w:ascii="Arial" w:cs="Arial" w:eastAsia="Arial" w:hAnsi="Arial"/>
                <w:sz w:val="18"/>
                <w:szCs w:val="18"/>
                <w:color w:val="auto"/>
              </w:rPr>
              <w:t>MANPOWER INC.</w:t>
            </w:r>
          </w:p>
        </w:tc>
        <w:tc>
          <w:tcPr>
            <w:tcW w:w="2280" w:type="dxa"/>
            <w:vAlign w:val="bottom"/>
          </w:tcPr>
          <w:p>
            <w:pPr>
              <w:jc w:val="right"/>
              <w:ind w:right="1852"/>
              <w:spacing w:after="0"/>
              <w:rPr>
                <w:sz w:val="20"/>
                <w:szCs w:val="20"/>
                <w:color w:val="auto"/>
              </w:rPr>
            </w:pPr>
            <w:r>
              <w:rPr>
                <w:rFonts w:ascii="Arial" w:cs="Arial" w:eastAsia="Arial" w:hAnsi="Arial"/>
                <w:sz w:val="18"/>
                <w:szCs w:val="18"/>
                <w:color w:val="auto"/>
              </w:rPr>
              <w:t>75</w:t>
            </w:r>
          </w:p>
        </w:tc>
        <w:tc>
          <w:tcPr>
            <w:tcW w:w="3460" w:type="dxa"/>
            <w:vAlign w:val="bottom"/>
            <w:gridSpan w:val="5"/>
          </w:tcPr>
          <w:p>
            <w:pPr>
              <w:ind w:left="1920"/>
              <w:spacing w:after="0"/>
              <w:rPr>
                <w:sz w:val="20"/>
                <w:szCs w:val="20"/>
                <w:color w:val="auto"/>
              </w:rPr>
            </w:pPr>
            <w:r>
              <w:rPr>
                <w:rFonts w:ascii="Arial" w:cs="Arial" w:eastAsia="Arial" w:hAnsi="Arial"/>
                <w:sz w:val="18"/>
                <w:szCs w:val="18"/>
                <w:b w:val="1"/>
                <w:bCs w:val="1"/>
                <w:color w:val="auto"/>
                <w:w w:val="89"/>
              </w:rPr>
              <w:t>2004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-325755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-325755</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Debentures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$435.4 in aggregate principal amount at maturity of unsecured zero-coupon convertible debentures, due August 17, 2021 (the “Debentures”). The Debentures were issued in August 2001 at a discount to yield an effective interest rate of 3% per year, and they rank equally with all of our existing and future senior unsecured indebtedness. The unamortized discount was $170.0, and $177.8 as of December 31, 2004 and 2003, respectively. During 2004, 2003, and 2002, $7.8, $7.6, and $7.3, respectively, of the discount was amortized to Interest Expense in the consolidated statements of operations. There are no scheduled cash interest payments associated with the Debentures.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Debentures, which are convertible into 6.1 million shares of our common stock at an accreted price of approximately $43.68 per share (initially $39.50),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become convertible from the thirtieth trading day in a quarter through the twenty-ninth trading day in the following quarter when our share price for at least 20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30 trading days of a quarter is more than 110% of the accreted value per convertible share on the thirtieth trading day of that quarter. Given the accreted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per convertible share on the thirtieth trading day of the first, second, third and fourth quarters of 2005, our share price will have to exceed $48.20, $48.56,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$48.93, and $49.29, respectively, during the relevant measurement periods to be convertible. The Debentures are also convertible in certain other circumstances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set forth in the indenture.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Holders of the Debentures may require us to purchase these Debentures at the issue price, plus accreted original issue discount, on the first, third, fifth, tenth and fifteenth anniversary dates. We have the option to settle this obligation in cash, common stock, or a combination thereof. There were no Debentures “put” to us on the first anniversary date. On the third anniversary date, $0.1 of principal amount at maturity of the Debentures was tendered for repurchase, resulting in a payment of approximately $0.1. Our intent is to settle any future “put” in cash. In the event of a significant change in the economic environment, we may choose to settle a future “put” with common stock, which would have a dilutive effect on existing shareholders. As of August 17, 2004, we may also now “call” the Debentures.</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second quarter of 2004, the Debentures became convertible because our share price exceeded certain thresholds defined in the indenture. Based on the terms of the indenture, the Debentures remained convertible until August 11,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 Notes</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two Euro-denominated unsecured notes with face values of €200.0 and €150.0. The €200.0 notes are due July 2006 and have scheduled annual interest payments at a rate of 5.63%. The €150.0 notes are due March 2005 and have scheduled annual interest payments at a rate of 6.25%. (See note 13 for further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Agreements</w:t>
      </w:r>
    </w:p>
    <w:p>
      <w:pPr>
        <w:spacing w:after="0" w:line="8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In October 2004, we entered into a new $625.0 revolving credit agreement with a syndicate of commercial banks that expires in October 2009. The new agreement replaces our $450.0 five-year revolving credit facility and $200.0 364-day revolving credit facility.</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new revolving credit agreement allows for borrowings in various currencies and up to $150.0 may be used for the issuance of stand-by letters of credit. Outstanding letters of credit totaled $77.7 and $66.7 as of December 31, 2004 and 2003, respectively. Additional borrowings of $411.8 were available to us under the new revolving credit agreement as of December 31, 2004.</w:t>
      </w:r>
    </w:p>
    <w:p>
      <w:pPr>
        <w:spacing w:after="0" w:line="12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interest rate and facility fee on the new agreement, as well as the fee paid for the issuance of letters of credit on the facility, vary based on our public debt ratings and borrowing level. The current interest rate is LIBOR plus .675% and the facility and issuance fees are .20% and .675%, respectively.</w:t>
      </w:r>
    </w:p>
    <w:p>
      <w:pPr>
        <w:spacing w:after="0" w:line="66"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new agreement requires, among other things, that we comply with a Debt-to-EBITDA ratio of less than 3.25 to 1 and a fixed charge ratio of greater than 2.00 to 1. As defined in the agreement, we had a Debt-to-EBITDA ratio of 1.84 to 1 and a Fixed Charge Ratio of 2.69 to 1 as of December 31, 2004.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our commercial paper program at December 31, 2004 and 2003,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Swap Agreements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entered into various interest rate swap agreements to manage the interest rate and currency risk associated with our debt instruments. (See note 13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carrying value of Long-Term Debt approximates fair value, except for the Euro-denominated notes and the Debentures, which had a fair value, as determined by quoted market prices, as of December 31,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Euro-denominated notes</w:t>
            </w:r>
          </w:p>
        </w:tc>
        <w:tc>
          <w:tcPr>
            <w:tcW w:w="4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Zero-coupon convertible debentures</w:t>
            </w:r>
          </w:p>
        </w:tc>
        <w:tc>
          <w:tcPr>
            <w:tcW w:w="44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299.8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maturities of Long-Term Debt payable within each of the four years subsequent to December 31, 2005 are as follows: 2006 – $539.0, 2007 – $0.6, 2008 – $1.0, 2009 – $135.5, and none thereafter.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our shareholders approved the 2003 Equity Incentive Plan of Manpower Inc. (“2003 Plan”) which authorized 4,500,000 shares for grant. Under this plan, all of our full-time employees and non-employee directors are eligible to receive stock options, stock appreciation rights, restricted stock and deferred stock. As of December 31, 2004, we had approximately 3,353,000 shares of common stock remaining available for grant under this plan. As a result of the adoption of this plan, we no longer make any grants under our 1994 Executive Stock Option and Restricted Stock Plan.</w:t>
      </w:r>
    </w:p>
    <w:p>
      <w:pPr>
        <w:spacing w:after="0" w:line="9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Awards may be granted under the plan to eligible employees at the discretion of the plan administrator, which may be the Board of Directors or a committee of the Board of Directors. All options and stock appreciation rights are granted at a price determined by the administrator, not less than 100% of the fair market value of the common stock at the date of grant. The administrator also determines the period during which options and stock appreciation rights are exercisable and when restricted stock vests. Generally, options are granted with a vesting period of up to four years and expire ten years from the date of grant. As of December 31, 2004, no stock appreciation rights had been granted or were outstanding.</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current compensation arrangement, all of our non-employee directors may elect to receive deferred stock in lieu of the portion of the annual cash retainer as to which there was not an election in effect as of July 29, 2003 under the prior compensation arrangement. Non-employee directors who were in office prior to July 29, 2003 for whom an election was not in effect through November 4, 2006 will continue to have the right to elect to receive an option to purchase shares of our common stock under the prior compensation arrangement, with respect to a portion of the annual cash retainer through November 2006. The number of shares of deferred stock is determined pursuant to a formula set forth in the terms and conditions adopted under the 2003 Plan and the number of shares covered by the option are determined in accordance with the terms of the prior compensation arrangement. Deferred stock is settled in shares of common stock following the directors’ termination from the board. Non-employee directors also receive an annual option grant as additional compensation for board service. The per share purchase price for each option awarded is equal to the fair market value of our common stock at the date of grant. Options are exercisable for the vested portion during the director’s tenure and a limited period thereafter.</w:t>
      </w:r>
    </w:p>
    <w:p>
      <w:pPr>
        <w:spacing w:after="0" w:line="100"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value of restricted stock granted is charged to equity and amortized to expense over the restriction period. There were 41,000 and 66,500 restricted shares granted during 2004 and 2003, respectively. During 2004, 2003, and 2002 we recognized $0.9, $0.5, and $0.1, respectively, of expense, net of tax, related to restricted stock grants. As of December 31, 2004 there were 97,000 restricted shares that had not vested.</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the stock option plan discussed above, we have the Savings Related Share Option Scheme for United Kingdom employees with at least one year of service. As of December 31, 2004, there were approximately 918,000 shares of common stock remaining available for grant under this plan.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options outstanding under our plans, and the related weighted-average exercise prices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5"/>
          </w:tcPr>
          <w:p>
            <w:pPr>
              <w:jc w:val="right"/>
              <w:ind w:right="17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5"/>
          </w:tcPr>
          <w:p>
            <w:pPr>
              <w:jc w:val="right"/>
              <w:ind w:right="4"/>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Shares (000)</w:t>
            </w:r>
          </w:p>
        </w:tc>
        <w:tc>
          <w:tcPr>
            <w:tcW w:w="280" w:type="dxa"/>
            <w:vAlign w:val="bottom"/>
          </w:tcPr>
          <w:p>
            <w:pPr>
              <w:spacing w:after="0"/>
              <w:rPr>
                <w:sz w:val="22"/>
                <w:szCs w:val="22"/>
                <w:color w:val="auto"/>
              </w:rPr>
            </w:pPr>
          </w:p>
        </w:tc>
        <w:tc>
          <w:tcPr>
            <w:tcW w:w="620" w:type="dxa"/>
            <w:vAlign w:val="bottom"/>
            <w:gridSpan w:val="5"/>
          </w:tcPr>
          <w:p>
            <w:pPr>
              <w:spacing w:after="0"/>
              <w:rPr>
                <w:sz w:val="20"/>
                <w:szCs w:val="20"/>
                <w:color w:val="auto"/>
              </w:rPr>
            </w:pPr>
            <w:r>
              <w:rPr>
                <w:rFonts w:ascii="Arial" w:cs="Arial" w:eastAsia="Arial" w:hAnsi="Arial"/>
                <w:sz w:val="14"/>
                <w:szCs w:val="14"/>
                <w:b w:val="1"/>
                <w:bCs w:val="1"/>
                <w:color w:val="auto"/>
              </w:rPr>
              <w:t>Price</w:t>
            </w:r>
          </w:p>
        </w:tc>
        <w:tc>
          <w:tcPr>
            <w:tcW w:w="1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4"/>
              </w:rPr>
              <w:t>Shares (000)</w:t>
            </w: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w w:val="81"/>
              </w:rPr>
              <w:t>Price</w:t>
            </w:r>
          </w:p>
        </w:tc>
        <w:tc>
          <w:tcPr>
            <w:tcW w:w="32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Shares (000)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beginning of period</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5,064</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5,641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79"/>
              </w:rPr>
              <w:t>$ 29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5,437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$ 26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1,243</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Assumed in RMC acquisition(a)</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1,962</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(2,542)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(1,345)</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Expired or cancelled</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(470)</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(214)</w:t>
            </w:r>
          </w:p>
        </w:tc>
        <w:tc>
          <w:tcPr>
            <w:tcW w:w="2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end of period</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5,257</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$ 31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end of period</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2,925</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$ 31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(a)   See note 2 for further information.</w:t>
            </w:r>
          </w:p>
        </w:tc>
        <w:tc>
          <w:tcPr>
            <w:tcW w:w="3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62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20" w:type="dxa"/>
            <w:vAlign w:val="bottom"/>
            <w:gridSpan w:val="3"/>
          </w:tcPr>
          <w:p>
            <w:pPr>
              <w:spacing w:after="0"/>
              <w:rPr>
                <w:sz w:val="20"/>
                <w:szCs w:val="20"/>
                <w:color w:val="auto"/>
              </w:rPr>
            </w:pPr>
            <w:r>
              <w:rPr>
                <w:rFonts w:ascii="Arial" w:cs="Arial" w:eastAsia="Arial" w:hAnsi="Arial"/>
                <w:sz w:val="18"/>
                <w:szCs w:val="18"/>
                <w:color w:val="auto"/>
              </w:rPr>
              <w:t>Options outstanding and exercisable as of December 31, 2004 are as follows: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8"/>
          </w:tcPr>
          <w:p>
            <w:pPr>
              <w:ind w:left="160"/>
              <w:spacing w:after="0"/>
              <w:rPr>
                <w:sz w:val="20"/>
                <w:szCs w:val="20"/>
                <w:color w:val="auto"/>
              </w:rPr>
            </w:pPr>
            <w:r>
              <w:rPr>
                <w:rFonts w:ascii="Arial" w:cs="Arial" w:eastAsia="Arial" w:hAnsi="Arial"/>
                <w:sz w:val="14"/>
                <w:szCs w:val="14"/>
                <w:b w:val="1"/>
                <w:bCs w:val="1"/>
                <w:color w:val="auto"/>
                <w:w w:val="86"/>
              </w:rPr>
              <w:t>Options Outstanding</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9"/>
          </w:tcPr>
          <w:p>
            <w:pPr>
              <w:ind w:left="2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5"/>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6"/>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1"/>
              </w:rPr>
              <w:t>Shares (000)</w:t>
            </w:r>
          </w:p>
        </w:tc>
        <w:tc>
          <w:tcPr>
            <w:tcW w:w="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Life</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4"/>
              </w:rPr>
              <w:t>Shares (000)</w:t>
            </w:r>
          </w:p>
        </w:tc>
        <w:tc>
          <w:tcPr>
            <w:tcW w:w="120" w:type="dxa"/>
            <w:vAlign w:val="bottom"/>
          </w:tcPr>
          <w:p>
            <w:pPr>
              <w:spacing w:after="0"/>
              <w:rPr>
                <w:sz w:val="15"/>
                <w:szCs w:val="15"/>
                <w:color w:val="auto"/>
              </w:rPr>
            </w:pPr>
          </w:p>
        </w:tc>
        <w:tc>
          <w:tcPr>
            <w:tcW w:w="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jc w:val="right"/>
              <w:ind w:right="5600"/>
              <w:spacing w:after="0"/>
              <w:rPr>
                <w:sz w:val="20"/>
                <w:szCs w:val="20"/>
                <w:color w:val="auto"/>
              </w:rPr>
            </w:pPr>
            <w:r>
              <w:rPr>
                <w:rFonts w:ascii="Arial" w:cs="Arial" w:eastAsia="Arial" w:hAnsi="Arial"/>
                <w:sz w:val="18"/>
                <w:szCs w:val="18"/>
                <w:color w:val="auto"/>
                <w:w w:val="82"/>
              </w:rPr>
              <w:t>$7 – $29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jc w:val="right"/>
              <w:ind w:right="5600"/>
              <w:spacing w:after="0"/>
              <w:rPr>
                <w:sz w:val="20"/>
                <w:szCs w:val="20"/>
                <w:color w:val="auto"/>
              </w:rPr>
            </w:pPr>
            <w:r>
              <w:rPr>
                <w:rFonts w:ascii="Arial" w:cs="Arial" w:eastAsia="Arial" w:hAnsi="Arial"/>
                <w:sz w:val="18"/>
                <w:szCs w:val="18"/>
                <w:color w:val="auto"/>
                <w:w w:val="96"/>
              </w:rPr>
              <w:t>30 – 33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jc w:val="right"/>
              <w:ind w:right="5832"/>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2"/>
          </w:tcPr>
          <w:p>
            <w:pPr>
              <w:jc w:val="right"/>
              <w:ind w:right="5600"/>
              <w:spacing w:after="0"/>
              <w:rPr>
                <w:sz w:val="20"/>
                <w:szCs w:val="20"/>
                <w:color w:val="auto"/>
              </w:rPr>
            </w:pPr>
            <w:r>
              <w:rPr>
                <w:rFonts w:ascii="Arial" w:cs="Arial" w:eastAsia="Arial" w:hAnsi="Arial"/>
                <w:sz w:val="18"/>
                <w:szCs w:val="18"/>
                <w:color w:val="auto"/>
                <w:w w:val="96"/>
              </w:rPr>
              <w:t>35 – 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auto"/>
            </w:tcBorders>
            <w:gridSpan w:val="5"/>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-2687955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-2687955</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-2687955</wp:posOffset>
            </wp:positionV>
            <wp:extent cx="20129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-2687955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-2687955</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-2687955</wp:posOffset>
            </wp:positionV>
            <wp:extent cx="20129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-2687955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-2687955</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-2687955</wp:posOffset>
            </wp:positionV>
            <wp:extent cx="20129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-2387600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-2387600</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-2387600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-2387600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-2387600</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-2387600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-2387600</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-2387600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-2387600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-2387600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-2387600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-2387600</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-2387600</wp:posOffset>
            </wp:positionV>
            <wp:extent cx="20129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 Plans</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reserved 2,250,000 shares of common stock for issuance under the 1990 Employee Stock Purchase Plan, of which 340,000 shares remained available for future issuance as of December 31, 2004. Under the plan, designated Manpower employees meeting certain service requirements may purchase shares of our common stock through payroll deductions. These shares may be purchased at the lesser of 85% of their fair market value at the beginning or end of each year. During 2004, 2003, and 2002, employees purchased 92,000, 193,000, and 136,000 shares, respectively, under the plan.</w:t>
      </w:r>
    </w:p>
    <w:p>
      <w:pPr>
        <w:spacing w:after="0" w:line="93"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AND DEFERRED COMPENSATION PLANS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Plans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sponsor several qualified and nonqualified pension plans covering permanent employees. The reconciliation of the changes in the plans’ benefit obligations and the fair value of plan assets and the statement of the funded status of the plans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U.S. Plans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5"/>
              </w:rPr>
              <w:t>Non-U.S.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456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60" w:type="dxa"/>
            <w:vAlign w:val="bottom"/>
            <w:gridSpan w:val="2"/>
            <w:vMerge w:val="continue"/>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45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$ 43.3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151.3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4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45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4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Plan participant contributions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48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Acquisitions</w:t>
            </w:r>
          </w:p>
        </w:tc>
        <w:tc>
          <w:tcPr>
            <w:tcW w:w="45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exchange rate changes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4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$ 52.3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203.9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45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$ 35.0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Actual return on plan assets</w:t>
            </w:r>
          </w:p>
        </w:tc>
        <w:tc>
          <w:tcPr>
            <w:tcW w:w="4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Plan participant contributions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Company contributions</w:t>
            </w:r>
          </w:p>
        </w:tc>
        <w:tc>
          <w:tcPr>
            <w:tcW w:w="4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48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exchange rate changes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4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$ 37.5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126.5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Funded status of plan</w:t>
            </w:r>
          </w:p>
        </w:tc>
        <w:tc>
          <w:tcPr>
            <w:tcW w:w="48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(77.4)</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(gain) loss</w:t>
            </w:r>
          </w:p>
        </w:tc>
        <w:tc>
          <w:tcPr>
            <w:tcW w:w="48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45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transitional asset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amount recognized</w:t>
            </w:r>
          </w:p>
        </w:tc>
        <w:tc>
          <w:tcPr>
            <w:tcW w:w="48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(33.3)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48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$(22.8)</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(17.3)</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(60.2)</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4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5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amount recognized</w:t>
            </w:r>
          </w:p>
        </w:tc>
        <w:tc>
          <w:tcPr>
            <w:tcW w:w="48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(33.3)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(15.9)</w:t>
            </w:r>
          </w:p>
        </w:tc>
        <w:tc>
          <w:tcPr>
            <w:tcW w:w="0" w:type="dxa"/>
            <w:vAlign w:val="bottom"/>
          </w:tcPr>
          <w:p>
            <w:pPr>
              <w:spacing w:after="0"/>
              <w:rPr>
                <w:sz w:val="1"/>
                <w:szCs w:val="1"/>
                <w:color w:val="auto"/>
              </w:rPr>
            </w:pPr>
          </w:p>
        </w:tc>
      </w:tr>
      <w:tr>
        <w:trPr>
          <w:trHeight w:val="132"/>
        </w:trPr>
        <w:tc>
          <w:tcPr>
            <w:tcW w:w="4460" w:type="dxa"/>
            <w:vAlign w:val="bottom"/>
            <w:gridSpan w:val="2"/>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gridSpan w:val="3"/>
          </w:tcPr>
          <w:p>
            <w:pPr>
              <w:spacing w:after="0"/>
              <w:rPr>
                <w:sz w:val="11"/>
                <w:szCs w:val="11"/>
                <w:color w:val="auto"/>
              </w:rPr>
            </w:pPr>
          </w:p>
        </w:tc>
        <w:tc>
          <w:tcPr>
            <w:tcW w:w="520" w:type="dxa"/>
            <w:vAlign w:val="bottom"/>
            <w:tcBorders>
              <w:bottom w:val="single" w:sz="8" w:color="auto"/>
            </w:tcBorders>
            <w:gridSpan w:val="3"/>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460" w:type="dxa"/>
            <w:vAlign w:val="bottom"/>
            <w:gridSpan w:val="2"/>
          </w:tcPr>
          <w:p>
            <w:pPr>
              <w:spacing w:after="0"/>
              <w:rPr>
                <w:sz w:val="20"/>
                <w:szCs w:val="20"/>
                <w:color w:val="auto"/>
              </w:rPr>
            </w:pPr>
            <w:r>
              <w:rPr>
                <w:rFonts w:ascii="Arial" w:cs="Arial" w:eastAsia="Arial" w:hAnsi="Arial"/>
                <w:sz w:val="18"/>
                <w:szCs w:val="18"/>
                <w:color w:val="auto"/>
              </w:rPr>
              <w:t>MANPOWER INC.</w:t>
            </w:r>
          </w:p>
        </w:tc>
        <w:tc>
          <w:tcPr>
            <w:tcW w:w="4100" w:type="dxa"/>
            <w:vAlign w:val="bottom"/>
          </w:tcPr>
          <w:p>
            <w:pPr>
              <w:jc w:val="right"/>
              <w:ind w:right="24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10"/>
          </w:tcPr>
          <w:p>
            <w:pPr>
              <w:jc w:val="right"/>
              <w:spacing w:after="0"/>
              <w:rPr>
                <w:sz w:val="20"/>
                <w:szCs w:val="20"/>
                <w:color w:val="auto"/>
              </w:rPr>
            </w:pPr>
            <w:r>
              <w:rPr>
                <w:rFonts w:ascii="Arial" w:cs="Arial" w:eastAsia="Arial" w:hAnsi="Arial"/>
                <w:sz w:val="18"/>
                <w:szCs w:val="18"/>
                <w:b w:val="1"/>
                <w:bCs w:val="1"/>
                <w:color w:val="auto"/>
                <w:w w:val="89"/>
              </w:rPr>
              <w:t>2004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-4065270</wp:posOffset>
            </wp:positionV>
            <wp:extent cx="3302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-4065270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-4065270</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-4065270</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-4065270</wp:posOffset>
            </wp:positionV>
            <wp:extent cx="34734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-4065270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-4065270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-4065270</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-2590165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-2590165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-2590165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-2590165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-2590165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-2590165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-2590165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-2590165</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-2590165</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-2590165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-2590165</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-2590165</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-1389380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-1389380</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-1389380</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-1389380</wp:posOffset>
            </wp:positionV>
            <wp:extent cx="3302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-1389380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-1389380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-1389380</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-1389380</wp:posOffset>
            </wp:positionV>
            <wp:extent cx="34734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3873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4734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-325755</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measurement dates for our U.S. plans are primarily September 30 and for our non-U.S. plans are December 31.</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accumulated benefit obligation for our plans that have plan assets was $181.8 and $145.6 as of December 31, 2004 and 2003, respectively. The accumulated benefit obligation for certain of these plans exceeded the fair value of plan assets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2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10220" w:type="dxa"/>
            <w:vAlign w:val="bottom"/>
            <w:vMerge w:val="restart"/>
          </w:tcPr>
          <w:p>
            <w:pPr>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$147.1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Plan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$42.8 and $20.0 as of December 31, 2004 and 2003,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all plans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9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11.5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1"/>
              </w:rPr>
              <w:t>(7.5)</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unrecognized prior service cost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transitional asset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1"/>
              </w:rPr>
              <w:t>(0.1)</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12.3</w:t>
            </w:r>
          </w:p>
        </w:tc>
        <w:tc>
          <w:tcPr>
            <w:tcW w:w="2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w w:val="97"/>
              </w:rPr>
              <w:t>The weighted-average assumptions used in the measurement of the benefit obligation are as follows: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9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4"/>
              </w:rPr>
              <w:t>U.S. Plans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11"/>
          </w:tcPr>
          <w:p>
            <w:pPr>
              <w:jc w:val="right"/>
              <w:ind w:right="280"/>
              <w:spacing w:after="0"/>
              <w:rPr>
                <w:sz w:val="20"/>
                <w:szCs w:val="20"/>
                <w:color w:val="auto"/>
              </w:rPr>
            </w:pPr>
            <w:r>
              <w:rPr>
                <w:rFonts w:ascii="Arial" w:cs="Arial" w:eastAsia="Arial" w:hAnsi="Arial"/>
                <w:sz w:val="14"/>
                <w:szCs w:val="14"/>
                <w:b w:val="1"/>
                <w:bCs w:val="1"/>
                <w:color w:val="auto"/>
                <w:w w:val="97"/>
              </w:rPr>
              <w:t>Non - U.S.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6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9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w:t>
            </w:r>
          </w:p>
        </w:tc>
        <w:tc>
          <w:tcPr>
            <w:tcW w:w="90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4.5%</w:t>
            </w:r>
          </w:p>
        </w:tc>
        <w:tc>
          <w:tcPr>
            <w:tcW w:w="900" w:type="dxa"/>
            <w:vAlign w:val="bottom"/>
            <w:gridSpan w:val="7"/>
          </w:tcPr>
          <w:p>
            <w:pPr>
              <w:jc w:val="right"/>
              <w:ind w:right="2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b w:val="1"/>
                <w:bCs w:val="1"/>
                <w:color w:val="auto"/>
              </w:rPr>
              <w:t>3.7%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50"/>
        </w:trPr>
        <w:tc>
          <w:tcPr>
            <w:tcW w:w="7900" w:type="dxa"/>
            <w:vAlign w:val="bottom"/>
            <w:gridSpan w:val="2"/>
          </w:tcPr>
          <w:p>
            <w:pPr>
              <w:spacing w:after="0"/>
              <w:rPr>
                <w:sz w:val="20"/>
                <w:szCs w:val="20"/>
                <w:color w:val="auto"/>
              </w:rPr>
            </w:pPr>
            <w:r>
              <w:rPr>
                <w:rFonts w:ascii="Arial" w:cs="Arial" w:eastAsia="Arial" w:hAnsi="Arial"/>
                <w:sz w:val="18"/>
                <w:szCs w:val="18"/>
                <w:color w:val="auto"/>
                <w:w w:val="91"/>
              </w:rPr>
              <w:t>The weighted-average assumptions used in the measurement of the net periodic benefit cost are as follows: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4"/>
              </w:rPr>
              <w:t>U.S. Plans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12"/>
          </w:tcPr>
          <w:p>
            <w:pPr>
              <w:jc w:val="right"/>
              <w:ind w:right="440"/>
              <w:spacing w:after="0"/>
              <w:rPr>
                <w:sz w:val="20"/>
                <w:szCs w:val="20"/>
                <w:color w:val="auto"/>
              </w:rPr>
            </w:pPr>
            <w:r>
              <w:rPr>
                <w:rFonts w:ascii="Arial" w:cs="Arial" w:eastAsia="Arial" w:hAnsi="Arial"/>
                <w:sz w:val="14"/>
                <w:szCs w:val="14"/>
                <w:b w:val="1"/>
                <w:bCs w:val="1"/>
                <w:color w:val="auto"/>
                <w:w w:val="86"/>
              </w:rPr>
              <w:t>Non - U.S.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2004</w:t>
            </w: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6"/>
              </w:rPr>
              <w:t>2002</w:t>
            </w:r>
          </w:p>
        </w:tc>
        <w:tc>
          <w:tcPr>
            <w:tcW w:w="4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9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7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680" w:type="dxa"/>
            <w:vAlign w:val="bottom"/>
            <w:gridSpan w:val="6"/>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740" w:type="dxa"/>
            <w:vAlign w:val="bottom"/>
            <w:gridSpan w:val="5"/>
          </w:tcPr>
          <w:p>
            <w:pPr>
              <w:jc w:val="right"/>
              <w:ind w:right="140"/>
              <w:spacing w:after="0"/>
              <w:rPr>
                <w:sz w:val="20"/>
                <w:szCs w:val="20"/>
                <w:color w:val="auto"/>
              </w:rPr>
            </w:pPr>
            <w:r>
              <w:rPr>
                <w:rFonts w:ascii="Arial" w:cs="Arial" w:eastAsia="Arial" w:hAnsi="Arial"/>
                <w:sz w:val="18"/>
                <w:szCs w:val="18"/>
                <w:color w:val="auto"/>
              </w:rPr>
              <w:t>8.5%</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8.5%</w:t>
            </w:r>
          </w:p>
        </w:tc>
        <w:tc>
          <w:tcPr>
            <w:tcW w:w="680" w:type="dxa"/>
            <w:vAlign w:val="bottom"/>
            <w:gridSpan w:val="6"/>
          </w:tcPr>
          <w:p>
            <w:pPr>
              <w:jc w:val="right"/>
              <w:ind w:right="1"/>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8"/>
                <w:szCs w:val="18"/>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8"/>
                <w:szCs w:val="18"/>
                <w:color w:val="auto"/>
              </w:rPr>
              <w:t>6.1%</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7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680" w:type="dxa"/>
            <w:vAlign w:val="bottom"/>
            <w:gridSpan w:val="6"/>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-2393950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-2393950</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-2393950</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-2393950</wp:posOffset>
            </wp:positionV>
            <wp:extent cx="28702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-2393950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-2393950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-2393950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overall expected long-term rate of return on U.S. plan assets is 8.5%. Our overall expected long-term rate of return on our non-U.S. plans varies by country and ranges from 1.3% to 7.0%.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via a building block approach with proper consideration of diversification and rebalancing. We also use guaranteed insurance contracts for one of our foreign plans. Peer data and historical returns are reviewed to check for reasonableness and appropriateness of our expected rate of return.</w:t>
      </w:r>
    </w:p>
    <w:p>
      <w:pPr>
        <w:spacing w:after="0" w:line="99"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80</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Projected salary levels utilized in the determination of the projected benefit obligation for the pension plans are based upon historical experience. The unrecognized transitional assets are being amortized over the estimated remaining service lives of the employees.</w:t>
      </w:r>
    </w:p>
    <w:p>
      <w:pPr>
        <w:spacing w:after="0" w:line="7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generally use an external investment manager to assist us in establishing our investment strategies and policies.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2004 allocations, are determined based on the favorable risk tolerance characteristics of the plan and, at times, may be adjusted within a specified range to advance our overall objective.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allocations of our plans as of December 31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1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Category</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Equity securities</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40.3%</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Fixed-income securities</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43.2%</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Cash and other</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16.5%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Plan assets are primarily comprised of domestic and foreign equity securities, professionally-managed equity and bond funds, government and agency securities, and guaranteed insurance contracts. None of our plan assets include any of our debt or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Retiree Health Care Plan</w:t>
      </w:r>
    </w:p>
    <w:p>
      <w:pPr>
        <w:spacing w:after="0" w:line="8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37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40" w:type="dxa"/>
            <w:vAlign w:val="bottom"/>
            <w:gridSpan w:val="2"/>
            <w:vMerge w:val="continue"/>
          </w:tcPr>
          <w:p>
            <w:pPr>
              <w:spacing w:after="0"/>
              <w:rPr>
                <w:sz w:val="8"/>
                <w:szCs w:val="8"/>
                <w:color w:val="auto"/>
              </w:rPr>
            </w:pPr>
          </w:p>
        </w:tc>
        <w:tc>
          <w:tcPr>
            <w:tcW w:w="37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beginning of year</w:t>
            </w:r>
          </w:p>
        </w:tc>
        <w:tc>
          <w:tcPr>
            <w:tcW w:w="374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3740" w:type="dxa"/>
            <w:vAlign w:val="bottom"/>
          </w:tcPr>
          <w:p>
            <w:pPr>
              <w:spacing w:after="0"/>
              <w:rPr>
                <w:sz w:val="18"/>
                <w:szCs w:val="18"/>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1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374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Actuarial loss</w:t>
            </w:r>
          </w:p>
        </w:tc>
        <w:tc>
          <w:tcPr>
            <w:tcW w:w="3740" w:type="dxa"/>
            <w:vAlign w:val="bottom"/>
          </w:tcPr>
          <w:p>
            <w:pPr>
              <w:spacing w:after="0"/>
              <w:rPr>
                <w:sz w:val="18"/>
                <w:szCs w:val="18"/>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37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374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Unrecognized net gain</w:t>
            </w:r>
          </w:p>
        </w:tc>
        <w:tc>
          <w:tcPr>
            <w:tcW w:w="3740" w:type="dxa"/>
            <w:vAlign w:val="bottom"/>
          </w:tcPr>
          <w:p>
            <w:pPr>
              <w:spacing w:after="0"/>
              <w:rPr>
                <w:sz w:val="19"/>
                <w:szCs w:val="19"/>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1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recognized</w:t>
            </w:r>
          </w:p>
        </w:tc>
        <w:tc>
          <w:tcPr>
            <w:tcW w:w="374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spacing w:after="0"/>
              <w:rPr>
                <w:sz w:val="11"/>
                <w:szCs w:val="11"/>
                <w:color w:val="auto"/>
              </w:rPr>
            </w:pPr>
          </w:p>
        </w:tc>
        <w:tc>
          <w:tcPr>
            <w:tcW w:w="37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240" w:type="dxa"/>
            <w:vAlign w:val="bottom"/>
            <w:gridSpan w:val="2"/>
          </w:tcPr>
          <w:p>
            <w:pPr>
              <w:spacing w:after="0"/>
              <w:rPr>
                <w:sz w:val="20"/>
                <w:szCs w:val="20"/>
                <w:color w:val="auto"/>
              </w:rPr>
            </w:pPr>
            <w:r>
              <w:rPr>
                <w:rFonts w:ascii="Arial" w:cs="Arial" w:eastAsia="Arial" w:hAnsi="Arial"/>
                <w:sz w:val="18"/>
                <w:szCs w:val="18"/>
                <w:color w:val="auto"/>
              </w:rPr>
              <w:t>MANPOWER INC.</w:t>
            </w:r>
          </w:p>
        </w:tc>
        <w:tc>
          <w:tcPr>
            <w:tcW w:w="3740" w:type="dxa"/>
            <w:vAlign w:val="bottom"/>
          </w:tcPr>
          <w:p>
            <w:pPr>
              <w:jc w:val="right"/>
              <w:ind w:right="1852"/>
              <w:spacing w:after="0"/>
              <w:rPr>
                <w:sz w:val="20"/>
                <w:szCs w:val="20"/>
                <w:color w:val="auto"/>
              </w:rPr>
            </w:pPr>
            <w:r>
              <w:rPr>
                <w:rFonts w:ascii="Arial" w:cs="Arial" w:eastAsia="Arial" w:hAnsi="Arial"/>
                <w:sz w:val="18"/>
                <w:szCs w:val="18"/>
                <w:color w:val="auto"/>
              </w:rPr>
              <w:t>81</w:t>
            </w:r>
          </w:p>
        </w:tc>
        <w:tc>
          <w:tcPr>
            <w:tcW w:w="3440" w:type="dxa"/>
            <w:vAlign w:val="bottom"/>
            <w:gridSpan w:val="7"/>
          </w:tcPr>
          <w:p>
            <w:pPr>
              <w:jc w:val="right"/>
              <w:spacing w:after="0"/>
              <w:rPr>
                <w:sz w:val="20"/>
                <w:szCs w:val="20"/>
                <w:color w:val="auto"/>
              </w:rPr>
            </w:pPr>
            <w:r>
              <w:rPr>
                <w:rFonts w:ascii="Arial" w:cs="Arial" w:eastAsia="Arial" w:hAnsi="Arial"/>
                <w:sz w:val="18"/>
                <w:szCs w:val="18"/>
                <w:b w:val="1"/>
                <w:bCs w:val="1"/>
                <w:color w:val="auto"/>
              </w:rPr>
              <w:t>2004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-325755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-325755</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-325755</wp:posOffset>
            </wp:positionV>
            <wp:extent cx="28702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use a December 31 measurement date for this plan. The discount rate used in the measurement of the benefit obligation was 5.8% and 6.3% in 2004 and 2003, respectively. The discount rate used in the measurement of net periodic benefit cost was 6.3%, 6.5%, and 7.5% in 2004, 2003 and 2002, respectively. The components of net periodic benefit cost for this plan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44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$ 0.4</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Interest cost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gain</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(0.5)</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94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$ 1.2</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3873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health care cost trend rate was assumed to be 10.0% for 2004, decreasing gradually to 5.5% for the years 2009 and beyond. Assumed health care cost trend rates have a significant effect on the amounts reported. A one-percentage point change in the assumed health care cost trend rate would have the following effects: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6"/>
              </w:rPr>
              <w:t>1% Increase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2"/>
              </w:rPr>
              <w:t>1%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Contributions and Benefit Payments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contribute $17.9 to our defined benefit plans and $1.2 to our retiree health care plan in 2005. Projected benefit payments from the plans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are estimated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0"/>
              </w:rPr>
              <w:t>Pension</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Retiree</w:t>
            </w:r>
          </w:p>
        </w:tc>
        <w:tc>
          <w:tcPr>
            <w:tcW w:w="0" w:type="dxa"/>
            <w:vAlign w:val="bottom"/>
          </w:tcPr>
          <w:p>
            <w:pPr>
              <w:spacing w:after="0"/>
              <w:rPr>
                <w:sz w:val="1"/>
                <w:szCs w:val="1"/>
                <w:color w:val="auto"/>
              </w:rPr>
            </w:pPr>
          </w:p>
        </w:tc>
      </w:tr>
      <w:tr>
        <w:trPr>
          <w:trHeight w:val="174"/>
        </w:trPr>
        <w:tc>
          <w:tcPr>
            <w:tcW w:w="1010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8"/>
              </w:rPr>
              <w:t>Health</w:t>
            </w:r>
          </w:p>
        </w:tc>
        <w:tc>
          <w:tcPr>
            <w:tcW w:w="0" w:type="dxa"/>
            <w:vAlign w:val="bottom"/>
          </w:tcPr>
          <w:p>
            <w:pPr>
              <w:spacing w:after="0"/>
              <w:rPr>
                <w:sz w:val="1"/>
                <w:szCs w:val="1"/>
                <w:color w:val="auto"/>
              </w:rPr>
            </w:pPr>
          </w:p>
        </w:tc>
      </w:tr>
      <w:tr>
        <w:trPr>
          <w:trHeight w:val="95"/>
        </w:trPr>
        <w:tc>
          <w:tcPr>
            <w:tcW w:w="101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1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  7.4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2006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2008</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10100" w:type="dxa"/>
            <w:vAlign w:val="bottom"/>
          </w:tcPr>
          <w:p>
            <w:pPr>
              <w:spacing w:after="0"/>
              <w:rPr>
                <w:sz w:val="20"/>
                <w:szCs w:val="20"/>
                <w:color w:val="auto"/>
              </w:rPr>
            </w:pPr>
            <w:r>
              <w:rPr>
                <w:rFonts w:ascii="Arial" w:cs="Arial" w:eastAsia="Arial" w:hAnsi="Arial"/>
                <w:sz w:val="18"/>
                <w:szCs w:val="18"/>
                <w:color w:val="auto"/>
              </w:rPr>
              <w:t>2010-2014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83"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We have defined contribution plans covering substantially all permanent United States employees and various other employees throughout the world. Employees may generally elect to contribute a portion of their salary to the plans and we match a portion of their contribution up to a maximum percentage of the employee’s salary. In addition, profit sharing contributions are made to certain U.S. plans if a targeted earnings level is reached in the United States. The total expense for our match and any profit sharing contributions was $14.2, $7.9, and $6.9 for 2004, 2003, and 2002,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83"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In February 2004, we established the Senior Management Performance-Based Deferred Compensation Plan. The plan is intended to focus our corporate executives on the achievement of certain annual operating goals, shareholder value creation, and execution of our business strategies over the longer term by aligning company executives’ interests with shareholders’ interests. Under the plan, incentives are focused on improving our Net Earnings Per Share – Diluted and economic profit. Participation in the plan is determined annually by a Committee of the Board of Directors. Deferred compensation benefits are earned by participants for the plan year based on our attainment of certain established goals</w:t>
      </w:r>
    </w:p>
    <w:p>
      <w:pPr>
        <w:spacing w:after="0" w:line="96"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and any deferred benefits earn interest based on the effective yield on a fixed 10-year U.S. Treasury note at the beginning of each year. Participants become vested in the deferred benefits if they are still employed by Manpower when they reach age 50 with 15 years of service, when they reach age 62, or in certain other circumstances. As of December 31, approximately $1.2 million has been earned under this plan.</w:t>
      </w:r>
    </w:p>
    <w:p>
      <w:pPr>
        <w:spacing w:after="0" w:line="9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also maintain a non-qualified deferred compensation plan for certain employees at RMC. Under the plan, participants may defer from their pre-tax income, payments of up to a maximum of 15% of their total compensation. A matching contribution is made of 25% of the participating employees’ contributions to the plan. Additional contributions are made to the plan if certain internal financial targets are met. In 2004, no additional contributions were made to the plan. Contributions vest at 33.3% over a three-year period from the employee’s date of hire. Our contributions were $0.2 for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ACCUMULATED OTHER COMPREHENSIVE INCOME (LOSS)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$133.6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Unrealized gain (loss) on investments</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on derivatives</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8"/>
        </w:trPr>
        <w:tc>
          <w:tcPr>
            <w:tcW w:w="9260" w:type="dxa"/>
            <w:vAlign w:val="bottom"/>
            <w:gridSpan w:val="2"/>
          </w:tcPr>
          <w:p>
            <w:pPr>
              <w:spacing w:after="0"/>
              <w:rPr>
                <w:sz w:val="20"/>
                <w:szCs w:val="20"/>
                <w:color w:val="auto"/>
              </w:rPr>
            </w:pPr>
            <w:r>
              <w:rPr>
                <w:rFonts w:ascii="Arial" w:cs="Arial" w:eastAsia="Arial" w:hAnsi="Arial"/>
                <w:sz w:val="18"/>
                <w:szCs w:val="18"/>
                <w:color w:val="auto"/>
              </w:rPr>
              <w:t>Minimum pension liability adjustment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96"/>
        </w:trPr>
        <w:tc>
          <w:tcPr>
            <w:tcW w:w="68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$109.4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(123.7)</w:t>
            </w:r>
          </w:p>
        </w:tc>
        <w:tc>
          <w:tcPr>
            <w:tcW w:w="0" w:type="dxa"/>
            <w:vAlign w:val="bottom"/>
          </w:tcPr>
          <w:p>
            <w:pPr>
              <w:spacing w:after="0"/>
              <w:rPr>
                <w:sz w:val="1"/>
                <w:szCs w:val="1"/>
                <w:color w:val="auto"/>
              </w:rPr>
            </w:pPr>
          </w:p>
        </w:tc>
      </w:tr>
      <w:tr>
        <w:trPr>
          <w:trHeight w:val="132"/>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8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80" w:type="dxa"/>
            <w:vAlign w:val="bottom"/>
            <w:vMerge w:val="continue"/>
          </w:tcPr>
          <w:p>
            <w:pPr>
              <w:spacing w:after="0"/>
              <w:rPr>
                <w:sz w:val="24"/>
                <w:szCs w:val="24"/>
                <w:color w:val="auto"/>
              </w:rPr>
            </w:pPr>
          </w:p>
        </w:tc>
        <w:tc>
          <w:tcPr>
            <w:tcW w:w="8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LEASES</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-490220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-490220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-490220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-490220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-490220</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-490220</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-490220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-490220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-490220</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6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lease property and equipment primarily under operating leases. Renewal options exist for substantially all leases. Future minimum payments, by year and in the aggregate, under noncancelable operating leases with any remaining term consist of the following as of December 31, 2004: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2006</w:t>
            </w:r>
          </w:p>
        </w:tc>
        <w:tc>
          <w:tcPr>
            <w:tcW w:w="4640" w:type="dxa"/>
            <w:vAlign w:val="bottom"/>
            <w:gridSpan w:val="3"/>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2008</w:t>
            </w:r>
          </w:p>
        </w:tc>
        <w:tc>
          <w:tcPr>
            <w:tcW w:w="4640" w:type="dxa"/>
            <w:vAlign w:val="bottom"/>
            <w:gridSpan w:val="3"/>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gridSpan w:val="3"/>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minimum lease payments</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7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-27305</wp:posOffset>
            </wp:positionV>
            <wp:extent cx="32131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all operating leases was $215.7, $167.2, and $148.3 for the years ended December 31, 2004, 2003, and 2002, respectively.</w:t>
      </w:r>
    </w:p>
    <w:p>
      <w:pPr>
        <w:spacing w:after="0" w:line="152"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8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$45.4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$41.4</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Fees and loss on sale of accounts receivable</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(income) expense, net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and other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$26.3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$35.8</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3873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28702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Miscellaneous (Income) Expense, Net in 2004, includes non-operating gains of $14.2, primarily related to the sale of our equity interest in a European internet job board. In 2002, Miscellaneous Expenses included a charge of $5.1 related to a writedown of equity security investments where the decline in market value was determined to be other-than-temporary, as defined by SFAS 115.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FINANCIAL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6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certain circumstances, we enter into foreign currency forward exchange contracts to reduce the effects of fluctuating foreign currency exchange rates on cash flows with foreign subsidiaries. All such contracts entered into during 2004 and 2003 were designated as cash flow hedges and were considered highly effective, as defined by SFAS 133, as amended. As of December 31, 2004, there were no forward contracts outstanding. As of December 31, 2003, there were two forward contracts outstanding totaling $24.7 relating to cash flows to be received from our foreign subsidiaries, both of which were designated as cash flow hedges and were considered highly effective as of December 31, 2003.</w:t>
      </w:r>
    </w:p>
    <w:p>
      <w:pPr>
        <w:spacing w:after="0" w:line="1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revolving credit agreement borrowings of €100.0 ($135.5) and the €200.0 ($271.1) unsecured notes, have been designated and are effective as economic hedges of our net investment in our foreign subsidiaries with a Euro-functional currency. Therefore, all translation gains or losses related to these borrowings are recorded as a component of Accumulated Other Comprehensive Income.</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September 2002, we entered into derivative financial instruments to swap our €150.0 ($203.7) unsecured notes, at 6.25% due March 2005, to floating U.S. LIBOR, with a current effective interest rate of 4.64%. These instruments expire in March 2005. Gains and losses arising from foreign exchange fluctuations throughout the contract term on the derivative instruments are recorded in the consolidated statements of operations, offsetting the foreign exchange gain or loss recorded on the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previously mentioned, we entered into derivative instruments to swap our €150.0 ($203.7) unsecured notes, at 6.25% due March 2005, to floating U.S. LIBOR, with a current effective interest rate of 4.64%. We designated these interest rate swaps as a fair value hedge, offsetting changes in the fair value of the notes that are due to interest rate</w:t>
      </w:r>
    </w:p>
    <w:p>
      <w:pPr>
        <w:spacing w:after="0" w:line="121"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fluctuations. Changes in the fair value hedge and the fair value of the notes throughout the contract term will be reflected in the consolidated statements of operations. These instruments had a $4.7 favorable impact on interest expense in 2004, a $5.0 favorable impact in 2003, and an immaterial impact in 2002. Any ineffectiveness on the swaps is recorded in the consolidated statements of operations and was immaterial for 2004, 2003, and 2002.</w:t>
      </w:r>
    </w:p>
    <w:p>
      <w:pPr>
        <w:spacing w:after="0" w:line="9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We have various interest rate swap agreements to fix our interest costs on a portion of our Euro-denominated variable rate borrowings. The Euro interest rate swap agreements have a notional value of €100.0 ($135.5), which fix the interest rate, on a weighted-average basis, at 5.7% and expire in 2010. Such contracts have been designated as cash flow hedges and were considered highly effective, as defined by SFAS 133, as amended, as of December 31, 2004. For the years ended December 31, 2004, 2003 and 2002 these instruments increased interest expense by $4.6, $3.9, and $2.3, respectively.</w:t>
      </w:r>
    </w:p>
    <w:p>
      <w:pPr>
        <w:spacing w:after="0" w:line="9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During March 2003, we terminated our interest rate swap agreement with a notional value of ¥4,000.0 ($34.0), which was scheduled to expire in June 2003 for $0.1. In September 2003, we terminated our interest rate swap agreement with a notional value of ¥4,150.0 ($36.1), which was scheduled to expire in 2006 for $0.5.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Financial Instruments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financial instruments are reflected in the consolidated balance sheets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December 31</w:t>
            </w:r>
          </w:p>
        </w:tc>
        <w:tc>
          <w:tcPr>
            <w:tcW w:w="90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9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85"/>
              </w:rPr>
              <w:t>Other assets:</w:t>
            </w:r>
          </w:p>
        </w:tc>
        <w:tc>
          <w:tcPr>
            <w:tcW w:w="9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w w:val="87"/>
              </w:rPr>
              <w:t>€150.0</w:t>
            </w:r>
          </w:p>
        </w:tc>
        <w:tc>
          <w:tcPr>
            <w:tcW w:w="9060" w:type="dxa"/>
            <w:vAlign w:val="bottom"/>
          </w:tcPr>
          <w:p>
            <w:pPr>
              <w:ind w:left="20"/>
              <w:spacing w:after="0"/>
              <w:rPr>
                <w:sz w:val="20"/>
                <w:szCs w:val="20"/>
                <w:color w:val="auto"/>
              </w:rPr>
            </w:pPr>
            <w:r>
              <w:rPr>
                <w:rFonts w:ascii="Arial" w:cs="Arial" w:eastAsia="Arial" w:hAnsi="Arial"/>
                <w:sz w:val="18"/>
                <w:szCs w:val="18"/>
                <w:color w:val="auto"/>
              </w:rPr>
              <w:t>Swaps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1"/>
              </w:rPr>
              <w:t>$ 64.5</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1"/>
              </w:rPr>
              <w:t>$ 52.0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w w:val="87"/>
              </w:rPr>
              <w:t>€100.0</w:t>
            </w:r>
          </w:p>
        </w:tc>
        <w:tc>
          <w:tcPr>
            <w:tcW w:w="906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(18.4)</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Forward contracts</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90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9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$ 46.1</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302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are involved in a number of lawsuits arising in the ordinary course of business which will not, in the opinion of management, have a material effect on our consolidated financial statements.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search warrant was executed on November 30, 2004, at our French headquarters authorizing the French Regional Director on Inquiries of Competition to enter the office and review and obtain documents that may be pertinent to the investigation. According to the search warrant, the investigation stems from a complaint submitted during 2003 to the European Commission and subsequently transferred to France’s Direction Generale de la Concurrence, de la Consommation et de la Repression des Fraudes. We understand that the purpose of the investigation is to search for evidence of price fixing and allocation of market share within the French market. The investigation is continuing, and we currently are not able to predict the outcome.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entered into certain guarantee contracts and stand-by letters of credit that total $115.3 ($37.6 for guarantees and $77.7 for stand-by letters of credit). The guarantees primarily relate to indebtedness, bank accounts and leases.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93"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DATA</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organized and managed primarily on a geographic basis, with the exception of Jefferson Wells and Right, which are operated as separate global business units. Each country and business unit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Jefferson Wells; Right (including the Empower Group); and Other Operations.</w:t>
      </w:r>
    </w:p>
    <w:p>
      <w:pPr>
        <w:spacing w:after="0" w:line="1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Historically, the results of Jefferson Wells and the Empower Group have been included in the Other Operations segment. Prior year results have been reclassified to conform to the current year presentation.</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United States, France, EMEA, and Other Operations segments derive a significant majority of their revenues from the placement of temporary workers. The remaining revenues within these segments are derived from other human resource services, including permanent employee recruitment, temporary and permanent employee testing, selection, and training and development. Jefferson Wells’ revenues are derived from internal audit and controls, technology risk management, tax, financial and accounting services. The Right segment revenues are derived from career transition (outplacement) services and organizational consulting services. Segment revenues represent sales to external customers primarily within a single segment. Due to the nature of our business, we do not have export or intersegment sales. We provide services to a wide variety of customers, none of which individually comprise a significant portion of revenue for us as a whole, however approximately 19% of Jefferson Wells’ revenues for 2004 were generated from providing services to one customer.</w:t>
      </w:r>
    </w:p>
    <w:p>
      <w:pPr>
        <w:spacing w:after="0" w:line="10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interest and other income and expense amounts or income taxes. Total assets for the segments are reported after the elimination of investments in subsidiaries and intercompany accounts. Corporate Assets include the Goodwill and Intangible Assets related to our acquisitions of Jefferson Wells and RMC as this presentation is consistent with how segment assets are evaluated.</w:t>
      </w:r>
    </w:p>
    <w:p>
      <w:pPr>
        <w:spacing w:after="0" w:line="96"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Revenues from Services </w:t>
            </w:r>
            <w:r>
              <w:rPr>
                <w:rFonts w:ascii="Arial" w:cs="Arial" w:eastAsia="Arial" w:hAnsi="Arial"/>
                <w:sz w:val="22"/>
                <w:szCs w:val="22"/>
                <w:b w:val="1"/>
                <w:bCs w:val="1"/>
                <w:color w:val="auto"/>
                <w:vertAlign w:val="superscript"/>
              </w:rPr>
              <w: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line="217"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2"/>
                <w:szCs w:val="22"/>
                <w:color w:val="auto"/>
                <w:vertAlign w:val="superscript"/>
              </w:rPr>
              <w:t>(b)</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2,041.1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1,945.8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5,226.7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4,638.8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5,084.3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3,920.2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3,434.9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line="217" w:lineRule="exact"/>
              <w:rPr>
                <w:sz w:val="20"/>
                <w:szCs w:val="20"/>
                <w:color w:val="auto"/>
              </w:rPr>
            </w:pPr>
            <w:r>
              <w:rPr>
                <w:rFonts w:ascii="Arial" w:cs="Arial" w:eastAsia="Arial" w:hAnsi="Arial"/>
                <w:sz w:val="18"/>
                <w:szCs w:val="18"/>
                <w:color w:val="auto"/>
              </w:rPr>
              <w:t xml:space="preserve">Right </w:t>
            </w:r>
            <w:r>
              <w:rPr>
                <w:rFonts w:ascii="Arial" w:cs="Arial" w:eastAsia="Arial" w:hAnsi="Arial"/>
                <w:sz w:val="22"/>
                <w:szCs w:val="22"/>
                <w:color w:val="auto"/>
                <w:vertAlign w:val="superscript"/>
              </w:rPr>
              <w:t>(c)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431.1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1,806.2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14,930.0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12,184.5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Unit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Right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Right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from Investments in Licensees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-4814570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-4814570</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-4814570</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-4814570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-4814570</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-4814570</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-4814570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-4814570</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-4814570</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-2567940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-2567940</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-2567940</wp:posOffset>
            </wp:positionV>
            <wp:extent cx="130746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0746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-1161415</wp:posOffset>
            </wp:positionV>
            <wp:extent cx="175387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5387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6731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73100"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Supplemental geographic information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8700" w:type="dxa"/>
            <w:vAlign w:val="bottom"/>
            <w:vMerge w:val="restart"/>
          </w:tcPr>
          <w:p>
            <w:pPr>
              <w:spacing w:after="0"/>
              <w:rPr>
                <w:sz w:val="20"/>
                <w:szCs w:val="20"/>
                <w:color w:val="auto"/>
              </w:rPr>
            </w:pPr>
            <w:r>
              <w:rPr>
                <w:rFonts w:ascii="Arial" w:cs="Arial" w:eastAsia="Arial" w:hAnsi="Arial"/>
                <w:sz w:val="14"/>
                <w:szCs w:val="14"/>
                <w:b w:val="1"/>
                <w:bCs w:val="1"/>
                <w:color w:val="auto"/>
              </w:rPr>
              <w:t>Revenues from Services:</w:t>
            </w: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7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$ 2,542.7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$2,063.9</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France</w:t>
            </w:r>
          </w:p>
        </w:tc>
        <w:tc>
          <w:tcPr>
            <w:tcW w:w="700" w:type="dxa"/>
            <w:vAlign w:val="bottom"/>
          </w:tcPr>
          <w:p>
            <w:pPr>
              <w:jc w:val="right"/>
              <w:spacing w:after="0"/>
              <w:rPr>
                <w:sz w:val="20"/>
                <w:szCs w:val="20"/>
                <w:color w:val="auto"/>
              </w:rPr>
            </w:pPr>
            <w:r>
              <w:rPr>
                <w:rFonts w:ascii="Arial" w:cs="Arial" w:eastAsia="Arial" w:hAnsi="Arial"/>
                <w:sz w:val="18"/>
                <w:szCs w:val="18"/>
                <w:color w:val="auto"/>
              </w:rPr>
              <w:t>5,258.4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4,638.8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3,848.2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Kingdom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22"/>
        </w:trPr>
        <w:tc>
          <w:tcPr>
            <w:tcW w:w="8700" w:type="dxa"/>
            <w:vAlign w:val="bottom"/>
          </w:tcPr>
          <w:p>
            <w:pPr>
              <w:ind w:left="440"/>
              <w:spacing w:after="0"/>
              <w:rPr>
                <w:sz w:val="20"/>
                <w:szCs w:val="20"/>
                <w:color w:val="auto"/>
              </w:rPr>
            </w:pPr>
            <w:r>
              <w:rPr>
                <w:rFonts w:ascii="Arial" w:cs="Arial" w:eastAsia="Arial" w:hAnsi="Arial"/>
                <w:sz w:val="18"/>
                <w:szCs w:val="18"/>
                <w:color w:val="auto"/>
              </w:rPr>
              <w:t>Total Foreign</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12,387.3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10,092.1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8,547.0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420" w:hanging="452"/>
        <w:spacing w:after="0" w:line="325"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U.S. revenues above represent revenues from our Company-owned branches and franchise fees received from our franchise operations. These fees are primarily based on revenues generated by our franchise operations, which are discussed further on the financial highlights page.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the operations of Right Management Consultants, Inc., since its acquisition in January 2004, and the Empower Group.</w:t>
      </w:r>
    </w:p>
    <w:p>
      <w:pPr>
        <w:spacing w:after="0" w:line="152"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and For The Year Ended December 31</w:t>
            </w: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687.6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1,829.8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1,563.6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1,362.9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1,134.0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line="217" w:lineRule="exact"/>
              <w:rPr>
                <w:sz w:val="20"/>
                <w:szCs w:val="20"/>
                <w:color w:val="auto"/>
              </w:rPr>
            </w:pPr>
            <w:r>
              <w:rPr>
                <w:rFonts w:ascii="Arial" w:cs="Arial" w:eastAsia="Arial" w:hAnsi="Arial"/>
                <w:sz w:val="18"/>
                <w:szCs w:val="18"/>
                <w:color w:val="auto"/>
              </w:rPr>
              <w:t>Right</w:t>
            </w:r>
            <w:r>
              <w:rPr>
                <w:rFonts w:ascii="Arial" w:cs="Arial" w:eastAsia="Arial" w:hAnsi="Arial"/>
                <w:sz w:val="22"/>
                <w:szCs w:val="22"/>
                <w:color w:val="auto"/>
                <w:vertAlign w:val="superscript"/>
              </w:rPr>
              <w:t>(a)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Corporate</w:t>
            </w:r>
            <w:r>
              <w:rPr>
                <w:rFonts w:ascii="Arial" w:cs="Arial" w:eastAsia="Arial" w:hAnsi="Arial"/>
                <w:sz w:val="22"/>
                <w:szCs w:val="22"/>
                <w:color w:val="auto"/>
                <w:vertAlign w:val="superscript"/>
              </w:rPr>
              <w:t>(b)</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869.2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5,843.1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4,376.4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3,689.9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in Licensees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22"/>
                <w:szCs w:val="22"/>
                <w:b w:val="1"/>
                <w:bCs w:val="1"/>
                <w:color w:val="auto"/>
                <w:vertAlign w:val="superscript"/>
              </w:rPr>
              <w:t>(c)</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Right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 to Long-Lived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Right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-4248785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-4248785</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-4248785</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-4248785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-4248785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-4248785</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-4248785</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-4248785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-4248785</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-3116580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-3116580</wp:posOffset>
            </wp:positionV>
            <wp:extent cx="14103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4103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-1572895</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-1572895</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-1572895</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-1572895</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-1572895</wp:posOffset>
            </wp:positionV>
            <wp:extent cx="87884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7884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41033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the operations of Right Management Consultants, Inc., since its acquisition in January 2004, and the Empower Group.</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Corporate assets include assets that are not used in the operations of any segment or allocated for management reporting.</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Supplemental geographic information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6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Long-Lived Assets</w:t>
            </w:r>
          </w:p>
        </w:tc>
        <w:tc>
          <w:tcPr>
            <w:tcW w:w="5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40" w:type="dxa"/>
            <w:vAlign w:val="bottom"/>
            <w:vMerge w:val="continue"/>
          </w:tcPr>
          <w:p>
            <w:pPr>
              <w:spacing w:after="0"/>
              <w:rPr>
                <w:sz w:val="8"/>
                <w:szCs w:val="8"/>
                <w:color w:val="auto"/>
              </w:rPr>
            </w:pPr>
          </w:p>
        </w:tc>
        <w:tc>
          <w:tcPr>
            <w:tcW w:w="5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6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$ 59.8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w:t>
            </w: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France</w:t>
            </w:r>
          </w:p>
        </w:tc>
        <w:tc>
          <w:tcPr>
            <w:tcW w:w="6140" w:type="dxa"/>
            <w:vAlign w:val="bottom"/>
            <w:gridSpan w:val="3"/>
          </w:tcPr>
          <w:p>
            <w:pPr>
              <w:jc w:val="right"/>
              <w:ind w:right="100"/>
              <w:spacing w:after="0"/>
              <w:rPr>
                <w:sz w:val="20"/>
                <w:szCs w:val="20"/>
                <w:color w:val="auto"/>
              </w:rPr>
            </w:pPr>
            <w:r>
              <w:rPr>
                <w:rFonts w:ascii="Arial" w:cs="Arial" w:eastAsia="Arial" w:hAnsi="Arial"/>
                <w:sz w:val="18"/>
                <w:szCs w:val="18"/>
                <w:color w:val="auto"/>
              </w:rPr>
              <w:t>83.9</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79.2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Kingdom</w:t>
            </w:r>
          </w:p>
        </w:tc>
        <w:tc>
          <w:tcPr>
            <w:tcW w:w="6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2"/>
        </w:trPr>
        <w:tc>
          <w:tcPr>
            <w:tcW w:w="3740" w:type="dxa"/>
            <w:vAlign w:val="bottom"/>
          </w:tcPr>
          <w:p>
            <w:pPr>
              <w:ind w:left="440"/>
              <w:spacing w:after="0"/>
              <w:rPr>
                <w:sz w:val="20"/>
                <w:szCs w:val="20"/>
                <w:color w:val="auto"/>
              </w:rPr>
            </w:pPr>
            <w:r>
              <w:rPr>
                <w:rFonts w:ascii="Arial" w:cs="Arial" w:eastAsia="Arial" w:hAnsi="Arial"/>
                <w:sz w:val="18"/>
                <w:szCs w:val="18"/>
                <w:color w:val="auto"/>
              </w:rPr>
              <w:t>Total Foreign</w:t>
            </w:r>
          </w:p>
        </w:tc>
        <w:tc>
          <w:tcPr>
            <w:tcW w:w="6140" w:type="dxa"/>
            <w:vAlign w:val="bottom"/>
            <w:gridSpan w:val="3"/>
          </w:tcPr>
          <w:p>
            <w:pPr>
              <w:jc w:val="right"/>
              <w:ind w:right="100"/>
              <w:spacing w:after="0"/>
              <w:rPr>
                <w:sz w:val="20"/>
                <w:szCs w:val="20"/>
                <w:color w:val="auto"/>
              </w:rPr>
            </w:pPr>
            <w:r>
              <w:rPr>
                <w:rFonts w:ascii="Arial" w:cs="Arial" w:eastAsia="Arial" w:hAnsi="Arial"/>
                <w:sz w:val="18"/>
                <w:szCs w:val="18"/>
                <w:color w:val="auto"/>
              </w:rPr>
              <w:t>198.8</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175.8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356"/>
        </w:trPr>
        <w:tc>
          <w:tcPr>
            <w:tcW w:w="3740" w:type="dxa"/>
            <w:vAlign w:val="bottom"/>
          </w:tcPr>
          <w:p>
            <w:pPr>
              <w:spacing w:after="0"/>
              <w:rPr>
                <w:sz w:val="20"/>
                <w:szCs w:val="20"/>
                <w:color w:val="auto"/>
              </w:rPr>
            </w:pPr>
            <w:r>
              <w:rPr>
                <w:rFonts w:ascii="Arial" w:cs="Arial" w:eastAsia="Arial" w:hAnsi="Arial"/>
                <w:sz w:val="18"/>
                <w:szCs w:val="18"/>
                <w:b w:val="1"/>
                <w:bCs w:val="1"/>
                <w:color w:val="auto"/>
              </w:rPr>
              <w:t>2004 Annual Report</w:t>
            </w:r>
          </w:p>
        </w:tc>
        <w:tc>
          <w:tcPr>
            <w:tcW w:w="5540" w:type="dxa"/>
            <w:vAlign w:val="bottom"/>
          </w:tcPr>
          <w:p>
            <w:pPr>
              <w:jc w:val="right"/>
              <w:ind w:right="3156"/>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MANPOWER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0" w:name="page181"/>
    <w:bookmarkEnd w:id="180"/>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9"/>
              </w:rPr>
              <w:t>Second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Fourth</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2004</w:t>
            </w:r>
          </w:p>
        </w:tc>
        <w:tc>
          <w:tcPr>
            <w:tcW w:w="2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Revenues from services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3,334.1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3,622.4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3,900.8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4,072.7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5"/>
              </w:rPr>
              <w:t>14,930.0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764.2</w:t>
            </w: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profit</w:t>
            </w: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earnings per share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Net earnings per share – diluted </w:t>
            </w:r>
            <w:r>
              <w:rPr>
                <w:rFonts w:ascii="Arial" w:cs="Arial" w:eastAsia="Arial" w:hAnsi="Arial"/>
                <w:sz w:val="22"/>
                <w:szCs w:val="22"/>
                <w:color w:val="auto"/>
                <w:vertAlign w:val="superscript"/>
              </w:rPr>
              <w:t>(a)</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Dividends per share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Market price:</w:t>
            </w:r>
          </w:p>
        </w:tc>
        <w:tc>
          <w:tcPr>
            <w:tcW w:w="2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High</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49.67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Low</w:t>
            </w:r>
          </w:p>
        </w:tc>
        <w:tc>
          <w:tcPr>
            <w:tcW w:w="2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2003</w:t>
            </w: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2,678.7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3,013.4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3,203.2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3,289.2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12,184.5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Gross profit</w:t>
            </w: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466.0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549.6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599.7</w:t>
            </w: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2,136.8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earnings</w:t>
            </w: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line="217" w:lineRule="exact"/>
              <w:rPr>
                <w:sz w:val="20"/>
                <w:szCs w:val="20"/>
                <w:color w:val="auto"/>
              </w:rPr>
            </w:pPr>
            <w:r>
              <w:rPr>
                <w:rFonts w:ascii="Arial" w:cs="Arial" w:eastAsia="Arial" w:hAnsi="Arial"/>
                <w:sz w:val="18"/>
                <w:szCs w:val="18"/>
                <w:color w:val="auto"/>
              </w:rPr>
              <w:t xml:space="preserve">Net earnings per share – diluted </w:t>
            </w:r>
            <w:r>
              <w:rPr>
                <w:rFonts w:ascii="Arial" w:cs="Arial" w:eastAsia="Arial" w:hAnsi="Arial"/>
                <w:sz w:val="22"/>
                <w:szCs w:val="22"/>
                <w:color w:val="auto"/>
                <w:vertAlign w:val="superscript"/>
              </w:rPr>
              <w: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Market price:</w:t>
            </w:r>
          </w:p>
        </w:tc>
        <w:tc>
          <w:tcPr>
            <w:tcW w:w="2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Low</w:t>
            </w: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37.55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line="228" w:lineRule="auto"/>
        <w:tabs>
          <w:tab w:leader="none" w:pos="460" w:val="left"/>
        </w:tabs>
        <w:numPr>
          <w:ilvl w:val="0"/>
          <w:numId w:val="103"/>
        </w:numPr>
        <w:rPr>
          <w:rFonts w:ascii="Arial" w:cs="Arial" w:eastAsia="Arial" w:hAnsi="Arial"/>
          <w:sz w:val="22"/>
          <w:szCs w:val="22"/>
          <w:color w:val="auto"/>
          <w:vertAlign w:val="superscript"/>
        </w:rPr>
      </w:pPr>
      <w:r>
        <w:rPr>
          <w:rFonts w:ascii="Arial" w:cs="Arial" w:eastAsia="Arial" w:hAnsi="Arial"/>
          <w:sz w:val="18"/>
          <w:szCs w:val="18"/>
          <w:color w:val="auto"/>
        </w:rPr>
        <w:t>In the fourth quarter of 2004, we adopted EITF 04-8. Previously reported Net Earnings Per Share – Diluted amounts have been restated to reflect the impact of applying the “if-converted” method to our Debentures. (See note 3 for further information.)</w:t>
      </w:r>
    </w:p>
    <w:p>
      <w:pPr>
        <w:spacing w:after="0" w:line="138"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MEASURES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and Organic Constant Currency Reconciliation</w:t>
      </w:r>
    </w:p>
    <w:p>
      <w:pPr>
        <w:spacing w:after="0" w:line="15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Certain constant currency and organic constant currency percent variances are discussed throughout this annual report. A reconciliation to the percent variances calculated based on our financial results is provided below. (See Constant Currency on page 40 for further information.)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Impact Of</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Acquisitions/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Variance In</w:t>
            </w: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Dispositions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Reported</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Impact Of</w:t>
            </w: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Constant</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(In Constant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Variance</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Currency</w:t>
            </w: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Currency</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2003</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Revenues from Services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France</w:t>
            </w: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Jefferson Wells</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(3.7)</w:t>
            </w:r>
          </w:p>
        </w:tc>
        <w:tc>
          <w:tcPr>
            <w:tcW w:w="12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(3.7)</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Right </w:t>
            </w:r>
            <w:r>
              <w:rPr>
                <w:rFonts w:ascii="Arial" w:cs="Arial" w:eastAsia="Arial" w:hAnsi="Arial"/>
                <w:sz w:val="22"/>
                <w:szCs w:val="22"/>
                <w:color w:val="auto"/>
                <w:vertAlign w:val="superscript"/>
              </w:rPr>
              <w:t>(a)</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Gross Profit – Manpower Inc.</w:t>
            </w: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Unit Profit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United States</w:t>
            </w: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18"/>
                <w:szCs w:val="18"/>
                <w:color w:val="auto"/>
              </w:rPr>
            </w:pPr>
          </w:p>
        </w:tc>
        <w:tc>
          <w:tcPr>
            <w:tcW w:w="12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EMEA</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(37.7)</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(45.4)</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line="217" w:lineRule="exact"/>
              <w:rPr>
                <w:sz w:val="20"/>
                <w:szCs w:val="20"/>
                <w:color w:val="auto"/>
              </w:rPr>
            </w:pPr>
            <w:r>
              <w:rPr>
                <w:rFonts w:ascii="Arial" w:cs="Arial" w:eastAsia="Arial" w:hAnsi="Arial"/>
                <w:sz w:val="18"/>
                <w:szCs w:val="18"/>
                <w:color w:val="auto"/>
              </w:rPr>
              <w:t xml:space="preserve">Right </w:t>
            </w:r>
            <w:r>
              <w:rPr>
                <w:rFonts w:ascii="Arial" w:cs="Arial" w:eastAsia="Arial" w:hAnsi="Arial"/>
                <w:sz w:val="22"/>
                <w:szCs w:val="22"/>
                <w:color w:val="auto"/>
                <w:vertAlign w:val="superscript"/>
              </w:rPr>
              <w:t>(a)</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Manpower Inc.</w:t>
            </w: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(6.6)</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Net Earnings per Share – Diluted </w:t>
            </w:r>
            <w:r>
              <w:rPr>
                <w:rFonts w:ascii="Arial" w:cs="Arial" w:eastAsia="Arial" w:hAnsi="Arial"/>
                <w:sz w:val="22"/>
                <w:szCs w:val="22"/>
                <w:b w:val="1"/>
                <w:bCs w:val="1"/>
                <w:color w:val="auto"/>
                <w:vertAlign w:val="superscript"/>
              </w:rPr>
              <w:t>(b)</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2004</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Revenues from Services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1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France</w:t>
            </w: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Jefferson Wells</w:t>
            </w:r>
          </w:p>
        </w:tc>
        <w:tc>
          <w:tcPr>
            <w:tcW w:w="540" w:type="dxa"/>
            <w:vAlign w:val="bottom"/>
          </w:tcPr>
          <w:p>
            <w:pPr>
              <w:jc w:val="right"/>
              <w:spacing w:after="0"/>
              <w:rPr>
                <w:sz w:val="20"/>
                <w:szCs w:val="20"/>
                <w:color w:val="auto"/>
              </w:rPr>
            </w:pPr>
            <w:r>
              <w:rPr>
                <w:rFonts w:ascii="Arial" w:cs="Arial" w:eastAsia="Arial" w:hAnsi="Arial"/>
                <w:sz w:val="18"/>
                <w:szCs w:val="18"/>
                <w:color w:val="auto"/>
              </w:rPr>
              <w:t>149.6</w:t>
            </w:r>
          </w:p>
        </w:tc>
        <w:tc>
          <w:tcPr>
            <w:tcW w:w="560" w:type="dxa"/>
            <w:vAlign w:val="bottom"/>
          </w:tcPr>
          <w:p>
            <w:pPr>
              <w:spacing w:after="0"/>
              <w:rPr>
                <w:sz w:val="18"/>
                <w:szCs w:val="18"/>
                <w:color w:val="auto"/>
              </w:rPr>
            </w:pPr>
          </w:p>
        </w:tc>
        <w:tc>
          <w:tcPr>
            <w:tcW w:w="12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149.6</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Right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Gross Profit – Manpower Inc.</w:t>
            </w:r>
          </w:p>
        </w:tc>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Unit Profit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United States</w:t>
            </w:r>
          </w:p>
        </w:tc>
        <w:tc>
          <w:tcPr>
            <w:tcW w:w="540" w:type="dxa"/>
            <w:vAlign w:val="bottom"/>
          </w:tcPr>
          <w:p>
            <w:pPr>
              <w:jc w:val="right"/>
              <w:spacing w:after="0"/>
              <w:rPr>
                <w:sz w:val="20"/>
                <w:szCs w:val="20"/>
                <w:color w:val="auto"/>
              </w:rPr>
            </w:pPr>
            <w:r>
              <w:rPr>
                <w:rFonts w:ascii="Arial" w:cs="Arial" w:eastAsia="Arial" w:hAnsi="Arial"/>
                <w:sz w:val="18"/>
                <w:szCs w:val="18"/>
                <w:color w:val="auto"/>
              </w:rPr>
              <w:t>46.4</w:t>
            </w:r>
          </w:p>
        </w:tc>
        <w:tc>
          <w:tcPr>
            <w:tcW w:w="560" w:type="dxa"/>
            <w:vAlign w:val="bottom"/>
          </w:tcPr>
          <w:p>
            <w:pPr>
              <w:spacing w:after="0"/>
              <w:rPr>
                <w:sz w:val="18"/>
                <w:szCs w:val="18"/>
                <w:color w:val="auto"/>
              </w:rPr>
            </w:pPr>
          </w:p>
        </w:tc>
        <w:tc>
          <w:tcPr>
            <w:tcW w:w="12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46.4</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EMEA</w:t>
            </w:r>
          </w:p>
        </w:tc>
        <w:tc>
          <w:tcPr>
            <w:tcW w:w="540" w:type="dxa"/>
            <w:vAlign w:val="bottom"/>
          </w:tcPr>
          <w:p>
            <w:pPr>
              <w:jc w:val="right"/>
              <w:spacing w:after="0"/>
              <w:rPr>
                <w:sz w:val="20"/>
                <w:szCs w:val="20"/>
                <w:color w:val="auto"/>
              </w:rPr>
            </w:pPr>
            <w:r>
              <w:rPr>
                <w:rFonts w:ascii="Arial" w:cs="Arial" w:eastAsia="Arial" w:hAnsi="Arial"/>
                <w:sz w:val="18"/>
                <w:szCs w:val="18"/>
                <w:color w:val="auto"/>
              </w:rPr>
              <w:t>122.4</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104.1</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Right</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Profit – Manpower Inc.</w:t>
            </w:r>
          </w:p>
        </w:tc>
        <w:tc>
          <w:tcPr>
            <w:tcW w:w="540" w:type="dxa"/>
            <w:vAlign w:val="bottom"/>
          </w:tcPr>
          <w:p>
            <w:pPr>
              <w:jc w:val="right"/>
              <w:spacing w:after="0"/>
              <w:rPr>
                <w:sz w:val="20"/>
                <w:szCs w:val="20"/>
                <w:color w:val="auto"/>
              </w:rPr>
            </w:pPr>
            <w:r>
              <w:rPr>
                <w:rFonts w:ascii="Arial" w:cs="Arial" w:eastAsia="Arial" w:hAnsi="Arial"/>
                <w:sz w:val="18"/>
                <w:szCs w:val="18"/>
                <w:color w:val="auto"/>
              </w:rPr>
              <w:t>53.5</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per Share – Diluted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-3210560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-3210560</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-3210560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-3210560</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-3210560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-3210560</wp:posOffset>
            </wp:positionV>
            <wp:extent cx="3873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-3210560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-3210560</wp:posOffset>
            </wp:positionV>
            <wp:extent cx="387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-3210560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-3210560</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387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right="280" w:hanging="452"/>
        <w:spacing w:after="0" w:line="272" w:lineRule="auto"/>
        <w:tabs>
          <w:tab w:leader="none" w:pos="460" w:val="left"/>
        </w:tabs>
        <w:numPr>
          <w:ilvl w:val="0"/>
          <w:numId w:val="104"/>
        </w:numPr>
        <w:rPr>
          <w:rFonts w:ascii="Arial" w:cs="Arial" w:eastAsia="Arial" w:hAnsi="Arial"/>
          <w:sz w:val="20"/>
          <w:szCs w:val="20"/>
          <w:color w:val="auto"/>
          <w:vertAlign w:val="superscript"/>
        </w:rPr>
      </w:pPr>
      <w:r>
        <w:rPr>
          <w:rFonts w:ascii="Arial" w:cs="Arial" w:eastAsia="Arial" w:hAnsi="Arial"/>
          <w:sz w:val="16"/>
          <w:szCs w:val="16"/>
          <w:color w:val="auto"/>
        </w:rPr>
        <w:t>Represents the operations of Right Management Consultants, Inc. (“RMC”), since its acquisition in January 2004, and the Empower Group. Since RMC comprises most of this segment, the year-over-year variances are not meaningful and have been excluded from the above information.</w:t>
      </w:r>
    </w:p>
    <w:p>
      <w:pPr>
        <w:spacing w:after="0" w:line="30" w:lineRule="exact"/>
        <w:rPr>
          <w:rFonts w:ascii="Arial" w:cs="Arial" w:eastAsia="Arial" w:hAnsi="Arial"/>
          <w:sz w:val="20"/>
          <w:szCs w:val="20"/>
          <w:color w:val="auto"/>
          <w:vertAlign w:val="superscript"/>
        </w:rPr>
      </w:pPr>
    </w:p>
    <w:p>
      <w:pPr>
        <w:ind w:left="460" w:hanging="452"/>
        <w:spacing w:after="0" w:line="241" w:lineRule="auto"/>
        <w:tabs>
          <w:tab w:leader="none" w:pos="460" w:val="left"/>
        </w:tabs>
        <w:numPr>
          <w:ilvl w:val="0"/>
          <w:numId w:val="104"/>
        </w:numPr>
        <w:rPr>
          <w:rFonts w:ascii="Arial" w:cs="Arial" w:eastAsia="Arial" w:hAnsi="Arial"/>
          <w:sz w:val="21"/>
          <w:szCs w:val="21"/>
          <w:color w:val="auto"/>
          <w:vertAlign w:val="superscript"/>
        </w:rPr>
      </w:pPr>
      <w:r>
        <w:rPr>
          <w:rFonts w:ascii="Arial" w:cs="Arial" w:eastAsia="Arial" w:hAnsi="Arial"/>
          <w:sz w:val="17"/>
          <w:szCs w:val="17"/>
          <w:color w:val="auto"/>
        </w:rPr>
        <w:t>In the fourth quarter of 2004, we adopted EITF 04-8. Previously reported Net Earnings Per Share – Diluted amounts have been restated to reflect the impact of applying the “if-converted” method to our Debentures. (See note 3 to the consolidated financial statements for further information.)</w:t>
      </w:r>
    </w:p>
    <w:p>
      <w:pPr>
        <w:spacing w:after="0" w:line="136"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90</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As Of And For The Year Ended December 31</w:t>
            </w: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Data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14,930.0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12,184.5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10,610.9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10,483.8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10,842.8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2,788.1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2,136.8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1,946.7</w:t>
            </w:r>
          </w:p>
        </w:tc>
        <w:tc>
          <w:tcPr>
            <w:tcW w:w="0" w:type="dxa"/>
            <w:vAlign w:val="bottom"/>
          </w:tcPr>
          <w:p>
            <w:pPr>
              <w:spacing w:after="0"/>
              <w:rPr>
                <w:sz w:val="1"/>
                <w:szCs w:val="1"/>
                <w:color w:val="auto"/>
              </w:rPr>
            </w:pPr>
          </w:p>
        </w:tc>
      </w:tr>
      <w:tr>
        <w:trPr>
          <w:trHeight w:val="216"/>
        </w:trPr>
        <w:tc>
          <w:tcPr>
            <w:tcW w:w="6980" w:type="dxa"/>
            <w:vAlign w:val="bottom"/>
          </w:tcPr>
          <w:p>
            <w:pPr>
              <w:spacing w:after="0" w:line="217" w:lineRule="exact"/>
              <w:rPr>
                <w:sz w:val="20"/>
                <w:szCs w:val="20"/>
                <w:color w:val="auto"/>
              </w:rPr>
            </w:pPr>
            <w:r>
              <w:rPr>
                <w:rFonts w:ascii="Arial" w:cs="Arial" w:eastAsia="Arial" w:hAnsi="Arial"/>
                <w:sz w:val="18"/>
                <w:szCs w:val="18"/>
                <w:color w:val="auto"/>
              </w:rPr>
              <w:t>Operating profit</w:t>
            </w:r>
            <w:r>
              <w:rPr>
                <w:rFonts w:ascii="Arial" w:cs="Arial" w:eastAsia="Arial" w:hAnsi="Arial"/>
                <w:sz w:val="22"/>
                <w:szCs w:val="22"/>
                <w:color w:val="auto"/>
                <w:vertAlign w:val="superscript"/>
              </w:rPr>
              <w:t>(a)</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395.8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Net earnings</w:t>
            </w:r>
            <w:r>
              <w:rPr>
                <w:rFonts w:ascii="Arial" w:cs="Arial" w:eastAsia="Arial" w:hAnsi="Arial"/>
                <w:sz w:val="22"/>
                <w:szCs w:val="22"/>
                <w:color w:val="auto"/>
                <w:vertAlign w:val="superscript"/>
              </w:rPr>
              <w:t>(a)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322"/>
        </w:trPr>
        <w:tc>
          <w:tcPr>
            <w:tcW w:w="69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Net earnings</w:t>
            </w:r>
            <w:r>
              <w:rPr>
                <w:rFonts w:ascii="Arial" w:cs="Arial" w:eastAsia="Arial" w:hAnsi="Arial"/>
                <w:sz w:val="22"/>
                <w:szCs w:val="22"/>
                <w:color w:val="auto"/>
                <w:vertAlign w:val="superscript"/>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6980" w:type="dxa"/>
            <w:vAlign w:val="bottom"/>
          </w:tcPr>
          <w:p>
            <w:pPr>
              <w:spacing w:after="0" w:line="217" w:lineRule="exact"/>
              <w:rPr>
                <w:sz w:val="20"/>
                <w:szCs w:val="20"/>
                <w:color w:val="auto"/>
              </w:rPr>
            </w:pPr>
            <w:r>
              <w:rPr>
                <w:rFonts w:ascii="Arial" w:cs="Arial" w:eastAsia="Arial" w:hAnsi="Arial"/>
                <w:sz w:val="18"/>
                <w:szCs w:val="18"/>
                <w:color w:val="auto"/>
              </w:rPr>
              <w:t>Net earnings – diluted</w:t>
            </w:r>
            <w:r>
              <w:rPr>
                <w:rFonts w:ascii="Arial" w:cs="Arial" w:eastAsia="Arial" w:hAnsi="Arial"/>
                <w:sz w:val="22"/>
                <w:szCs w:val="22"/>
                <w:color w:val="auto"/>
                <w:vertAlign w:val="superscript"/>
              </w:rPr>
              <w:t>(a)(b)</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22"/>
        </w:trPr>
        <w:tc>
          <w:tcPr>
            <w:tcW w:w="69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5,843.1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4,376.4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3,228.0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3,033.9</w:t>
            </w:r>
          </w:p>
        </w:tc>
        <w:tc>
          <w:tcPr>
            <w:tcW w:w="0" w:type="dxa"/>
            <w:vAlign w:val="bottom"/>
          </w:tcPr>
          <w:p>
            <w:pPr>
              <w:spacing w:after="0"/>
              <w:rPr>
                <w:sz w:val="1"/>
                <w:szCs w:val="1"/>
                <w:color w:val="auto"/>
              </w:rPr>
            </w:pPr>
          </w:p>
        </w:tc>
      </w:tr>
      <w:tr>
        <w:trPr>
          <w:trHeight w:val="228"/>
        </w:trPr>
        <w:tc>
          <w:tcPr>
            <w:tcW w:w="69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676.1</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829.6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should be read in conjunction with the above summary.</w:t>
      </w:r>
    </w:p>
    <w:p>
      <w:pPr>
        <w:spacing w:after="0" w:line="77" w:lineRule="exact"/>
        <w:rPr>
          <w:sz w:val="20"/>
          <w:szCs w:val="20"/>
          <w:color w:val="auto"/>
        </w:rPr>
      </w:pPr>
    </w:p>
    <w:p>
      <w:pPr>
        <w:ind w:left="460" w:right="360" w:hanging="452"/>
        <w:spacing w:after="0" w:line="228" w:lineRule="auto"/>
        <w:tabs>
          <w:tab w:leader="none" w:pos="460" w:val="left"/>
        </w:tabs>
        <w:numPr>
          <w:ilvl w:val="0"/>
          <w:numId w:val="105"/>
        </w:numPr>
        <w:rPr>
          <w:rFonts w:ascii="Arial" w:cs="Arial" w:eastAsia="Arial" w:hAnsi="Arial"/>
          <w:sz w:val="22"/>
          <w:szCs w:val="22"/>
          <w:color w:val="auto"/>
          <w:vertAlign w:val="superscript"/>
        </w:rPr>
      </w:pPr>
      <w:r>
        <w:rPr>
          <w:rFonts w:ascii="Arial" w:cs="Arial" w:eastAsia="Arial" w:hAnsi="Arial"/>
          <w:sz w:val="18"/>
          <w:szCs w:val="18"/>
          <w:color w:val="auto"/>
        </w:rPr>
        <w:t>On January 1, 2002, we adopted SFAS No. 142, “Goodwill and Other Intangible Assets,” which prohibits the amortization of goodwill and identifiable intangible assets with an indefinite life. (See note 1 to the consolidated financial statements for further information.)</w:t>
      </w:r>
    </w:p>
    <w:p>
      <w:pPr>
        <w:spacing w:after="0" w:line="62" w:lineRule="exact"/>
        <w:rPr>
          <w:rFonts w:ascii="Arial" w:cs="Arial" w:eastAsia="Arial" w:hAnsi="Arial"/>
          <w:sz w:val="22"/>
          <w:szCs w:val="22"/>
          <w:color w:val="auto"/>
          <w:vertAlign w:val="superscript"/>
        </w:rPr>
      </w:pPr>
    </w:p>
    <w:p>
      <w:pPr>
        <w:ind w:left="460" w:right="20" w:hanging="452"/>
        <w:spacing w:after="0" w:line="252" w:lineRule="auto"/>
        <w:tabs>
          <w:tab w:leader="none" w:pos="460" w:val="left"/>
        </w:tabs>
        <w:numPr>
          <w:ilvl w:val="0"/>
          <w:numId w:val="105"/>
        </w:numPr>
        <w:rPr>
          <w:rFonts w:ascii="Arial" w:cs="Arial" w:eastAsia="Arial" w:hAnsi="Arial"/>
          <w:sz w:val="21"/>
          <w:szCs w:val="21"/>
          <w:color w:val="auto"/>
          <w:vertAlign w:val="superscript"/>
        </w:rPr>
      </w:pPr>
      <w:r>
        <w:rPr>
          <w:rFonts w:ascii="Arial" w:cs="Arial" w:eastAsia="Arial" w:hAnsi="Arial"/>
          <w:sz w:val="17"/>
          <w:szCs w:val="17"/>
          <w:color w:val="auto"/>
        </w:rPr>
        <w:t>In the fourth quarter of 2004, we adopted EITF 04-8. Previously reported Net Earnings Per Share - Diluted amounts have been restated to reflect the impact of applying the “if-converted” method to our Debentures. (See note 3 to the consolidated financial statements for further information.) As the 2001 and 2000 amounts were previously audited by Arthur Andersen LLP, these restated figures are unaudited.</w:t>
      </w:r>
    </w:p>
    <w:p>
      <w:pPr>
        <w:spacing w:after="0" w:line="127"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274"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HEADQUARTERS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53201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+1.414.961.1000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www.manpower.com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AGENT AND REGISTRAR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Mellon Investor Services,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3315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Hackensack, NJ 07606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www.mellon-investor.com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EXCHANGE LISTING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NYSE Symbol: MAN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10 - 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copy of Form 10-K filed with the Securities and Exchange Commission for the year ended December 31, 2004 is available without charge after February 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2005 and can be obtained online at </w:t>
      </w:r>
      <w:r>
        <w:rPr>
          <w:rFonts w:ascii="Arial" w:cs="Arial" w:eastAsia="Arial" w:hAnsi="Arial"/>
          <w:sz w:val="18"/>
          <w:szCs w:val="18"/>
          <w:b w:val="1"/>
          <w:bCs w:val="1"/>
          <w:color w:val="auto"/>
        </w:rPr>
        <w:t>www.investor.manpower.com</w:t>
      </w:r>
      <w:r>
        <w:rPr>
          <w:rFonts w:ascii="Arial" w:cs="Arial" w:eastAsia="Arial" w:hAnsi="Arial"/>
          <w:sz w:val="18"/>
          <w:szCs w:val="18"/>
          <w:color w:val="auto"/>
        </w:rPr>
        <w:t xml:space="preserve"> or by writing 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53201 USA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15, 2005, Manpower Inc. common stock was held by approximately 6,900 record 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ANNULMEETING OF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April 26, 2005 at 9 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 International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WEBSITE</w:t>
      </w:r>
    </w:p>
    <w:p>
      <w:pPr>
        <w:spacing w:after="0" w:line="77" w:lineRule="exact"/>
        <w:rPr>
          <w:sz w:val="20"/>
          <w:szCs w:val="20"/>
          <w:color w:val="auto"/>
        </w:rPr>
      </w:pPr>
    </w:p>
    <w:p>
      <w:pPr>
        <w:ind w:right="180"/>
        <w:spacing w:after="0" w:line="378" w:lineRule="auto"/>
        <w:rPr>
          <w:sz w:val="20"/>
          <w:szCs w:val="20"/>
          <w:color w:val="auto"/>
        </w:rPr>
      </w:pPr>
      <w:r>
        <w:rPr>
          <w:rFonts w:ascii="Arial" w:cs="Arial" w:eastAsia="Arial" w:hAnsi="Arial"/>
          <w:sz w:val="15"/>
          <w:szCs w:val="15"/>
          <w:color w:val="auto"/>
        </w:rPr>
        <w:t xml:space="preserve">The most current corporate and investor information can be found on the Manpower Inc. corporate website at </w:t>
      </w:r>
      <w:r>
        <w:rPr>
          <w:rFonts w:ascii="Arial" w:cs="Arial" w:eastAsia="Arial" w:hAnsi="Arial"/>
          <w:sz w:val="15"/>
          <w:szCs w:val="15"/>
          <w:b w:val="1"/>
          <w:bCs w:val="1"/>
          <w:color w:val="auto"/>
        </w:rPr>
        <w:t>www.manpower.com</w:t>
      </w:r>
      <w:r>
        <w:rPr>
          <w:rFonts w:ascii="Arial" w:cs="Arial" w:eastAsia="Arial" w:hAnsi="Arial"/>
          <w:sz w:val="15"/>
          <w:szCs w:val="15"/>
          <w:color w:val="auto"/>
        </w:rPr>
        <w:t xml:space="preserve">. Interested individuals may also choose to receive Manpower press releases and other information via e-mail by subscribing to our E-mail Alert service at </w:t>
      </w:r>
      <w:r>
        <w:rPr>
          <w:rFonts w:ascii="Arial" w:cs="Arial" w:eastAsia="Arial" w:hAnsi="Arial"/>
          <w:sz w:val="15"/>
          <w:szCs w:val="15"/>
          <w:b w:val="1"/>
          <w:bCs w:val="1"/>
          <w:color w:val="auto"/>
        </w:rPr>
        <w:t>www.investor.manpower.com</w:t>
      </w:r>
      <w:r>
        <w:rPr>
          <w:rFonts w:ascii="Arial" w:cs="Arial" w:eastAsia="Arial" w:hAnsi="Arial"/>
          <w:sz w:val="15"/>
          <w:szCs w:val="1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GOVERNANCE</w:t>
      </w:r>
    </w:p>
    <w:p>
      <w:pPr>
        <w:spacing w:after="0" w:line="8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Manpower’s governance structure is designed to ensure transparency in our operations and adherence to the regulations set forth by the U.S. Securities and Exchange Commission (SEC). Information on Manpower’s corporate governance structure and policies can be found at </w:t>
      </w:r>
      <w:r>
        <w:rPr>
          <w:rFonts w:ascii="Arial" w:cs="Arial" w:eastAsia="Arial" w:hAnsi="Arial"/>
          <w:sz w:val="18"/>
          <w:szCs w:val="18"/>
          <w:b w:val="1"/>
          <w:bCs w:val="1"/>
          <w:color w:val="auto"/>
        </w:rPr>
        <w:t>www.manpower.com</w:t>
      </w:r>
      <w:r>
        <w:rPr>
          <w:rFonts w:ascii="Arial" w:cs="Arial" w:eastAsia="Arial" w:hAnsi="Arial"/>
          <w:sz w:val="18"/>
          <w:szCs w:val="18"/>
          <w:color w:val="auto"/>
        </w:rPr>
        <w:t xml:space="preserve"> in the section titled, “About Manpower.”</w:t>
      </w:r>
    </w:p>
    <w:p>
      <w:pPr>
        <w:spacing w:after="0" w:line="1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of November 3, 2004, the Corporate Governance Quotient indicated that Manpower outperformed 91.9% of the companies in the S&amp;P 400 and 96.3% of the companies in the Commercial Services &amp; Supplies group. The Corporate Governance Quotient index is issued by Institutional Shareholder Services, a respected authority on proxy voting and corporate governance.</w:t>
      </w:r>
    </w:p>
    <w:p>
      <w:pPr>
        <w:spacing w:after="0" w:line="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Governance Metrics International, an independent corporate governance rating agency, rated Manpower a 7 on a scale of 1 to 10, with 10 being the highest ranking, in August 2004. The average score of all companies rated by GMI is 6.5.</w:t>
      </w:r>
    </w:p>
    <w:p>
      <w:pPr>
        <w:spacing w:after="0" w:line="369"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 J. Bolland</w:t>
      </w:r>
      <w:r>
        <w:rPr>
          <w:rFonts w:ascii="Arial" w:cs="Arial" w:eastAsia="Arial" w:hAnsi="Arial"/>
          <w:sz w:val="22"/>
          <w:szCs w:val="22"/>
          <w:b w:val="1"/>
          <w:bCs w:val="1"/>
          <w:color w:val="auto"/>
          <w:vertAlign w:val="superscript"/>
        </w:rPr>
        <w:t>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Executive Board Member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Heineken N.V.</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Thomas Bouchard</w:t>
      </w:r>
      <w:r>
        <w:rPr>
          <w:rFonts w:ascii="Arial" w:cs="Arial" w:eastAsia="Arial" w:hAnsi="Arial"/>
          <w:sz w:val="22"/>
          <w:szCs w:val="22"/>
          <w:b w:val="1"/>
          <w:bCs w:val="1"/>
          <w:color w:val="auto"/>
          <w:vertAlign w:val="superscript"/>
        </w:rPr>
        <w:t>1,2*</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Retired Senior Vice President, Human Resources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IBM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Stephanie A. Burns</w:t>
      </w:r>
      <w:r>
        <w:rPr>
          <w:rFonts w:ascii="Arial" w:cs="Arial" w:eastAsia="Arial" w:hAnsi="Arial"/>
          <w:sz w:val="22"/>
          <w:szCs w:val="22"/>
          <w:b w:val="1"/>
          <w:bCs w:val="1"/>
          <w:color w:val="auto"/>
          <w:vertAlign w:val="superscript"/>
        </w:rPr>
        <w:t>1,3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Dow Corning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Willie D. Davis</w:t>
      </w:r>
      <w:r>
        <w:rPr>
          <w:rFonts w:ascii="Arial" w:cs="Arial" w:eastAsia="Arial" w:hAnsi="Arial"/>
          <w:sz w:val="22"/>
          <w:szCs w:val="22"/>
          <w:b w:val="1"/>
          <w:bCs w:val="1"/>
          <w:color w:val="auto"/>
          <w:vertAlign w:val="superscript"/>
        </w:rPr>
        <w:t>1,3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Pro Broadcasting Inc.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M. Greenberg</w:t>
      </w:r>
      <w:r>
        <w:rPr>
          <w:rFonts w:ascii="Arial" w:cs="Arial" w:eastAsia="Arial" w:hAnsi="Arial"/>
          <w:sz w:val="22"/>
          <w:szCs w:val="22"/>
          <w:b w:val="1"/>
          <w:bCs w:val="1"/>
          <w:color w:val="auto"/>
          <w:vertAlign w:val="superscript"/>
        </w:rPr>
        <w:t>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Retired Chairman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McDonald’s Corporation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Terry A. Hueneke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Retired 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Rozanne L. Ridgway</w:t>
      </w:r>
      <w:r>
        <w:rPr>
          <w:rFonts w:ascii="Arial" w:cs="Arial" w:eastAsia="Arial" w:hAnsi="Arial"/>
          <w:sz w:val="22"/>
          <w:szCs w:val="22"/>
          <w:b w:val="1"/>
          <w:bCs w:val="1"/>
          <w:color w:val="auto"/>
          <w:vertAlign w:val="superscript"/>
        </w:rPr>
        <w:t>2,3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Former Assistant Secretary of State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Europe and Canada</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Dennis Stevenson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HBOS plc and Pearson plc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R. Walter</w:t>
      </w:r>
      <w:r>
        <w:rPr>
          <w:rFonts w:ascii="Arial" w:cs="Arial" w:eastAsia="Arial" w:hAnsi="Arial"/>
          <w:sz w:val="22"/>
          <w:szCs w:val="22"/>
          <w:b w:val="1"/>
          <w:bCs w:val="1"/>
          <w:color w:val="auto"/>
          <w:vertAlign w:val="superscript"/>
        </w:rPr>
        <w:t>2,3*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Retired President and COO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AT&amp;T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R.R. Donnelley &amp; Sons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J. Zore</w:t>
      </w:r>
      <w:r>
        <w:rPr>
          <w:rFonts w:ascii="Arial" w:cs="Arial" w:eastAsia="Arial" w:hAnsi="Arial"/>
          <w:sz w:val="22"/>
          <w:szCs w:val="22"/>
          <w:b w:val="1"/>
          <w:bCs w:val="1"/>
          <w:color w:val="auto"/>
          <w:vertAlign w:val="superscript"/>
        </w:rPr>
        <w:t>1*,3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Northwestern Mutual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CFO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J. Beck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and Canadian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Jean-Pierre Lemonnier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France and Region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Yoav Michaely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Europe, Middle East and Africa (excluding France)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Owen Sullivan</w:t>
      </w:r>
    </w:p>
    <w:p>
      <w:pPr>
        <w:sectPr>
          <w:pgSz w:w="11900" w:h="16838" w:orient="portrait"/>
          <w:cols w:equalWidth="0" w:num="1">
            <w:col w:w="10219"/>
          </w:cols>
          <w:pgMar w:left="240" w:top="274" w:right="1440" w:bottom="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CEO of Right Management Consultants and Jefferson Wells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Arkless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 Davidson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Chief Information Officer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Iain Herbertson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Asia Pacific</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Johns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52" w:lineRule="exact"/>
        <w:rPr>
          <w:sz w:val="20"/>
          <w:szCs w:val="20"/>
          <w:color w:val="auto"/>
        </w:rPr>
      </w:pPr>
    </w:p>
    <w:p>
      <w:pPr>
        <w:ind w:left="280" w:hanging="272"/>
        <w:spacing w:after="0"/>
        <w:tabs>
          <w:tab w:leader="none" w:pos="280" w:val="left"/>
        </w:tabs>
        <w:numPr>
          <w:ilvl w:val="0"/>
          <w:numId w:val="106"/>
        </w:numPr>
        <w:rPr>
          <w:rFonts w:ascii="Arial" w:cs="Arial" w:eastAsia="Arial" w:hAnsi="Arial"/>
          <w:sz w:val="22"/>
          <w:szCs w:val="22"/>
          <w:color w:val="auto"/>
          <w:vertAlign w:val="superscript"/>
        </w:rPr>
      </w:pPr>
      <w:r>
        <w:rPr>
          <w:rFonts w:ascii="Arial" w:cs="Arial" w:eastAsia="Arial" w:hAnsi="Arial"/>
          <w:sz w:val="18"/>
          <w:szCs w:val="18"/>
          <w:color w:val="auto"/>
        </w:rPr>
        <w:t>Audit Committee</w:t>
      </w:r>
    </w:p>
    <w:p>
      <w:pPr>
        <w:spacing w:after="0" w:line="31" w:lineRule="exact"/>
        <w:rPr>
          <w:sz w:val="20"/>
          <w:szCs w:val="20"/>
          <w:color w:val="auto"/>
        </w:rPr>
      </w:pPr>
    </w:p>
    <w:p>
      <w:pPr>
        <w:ind w:left="420" w:hanging="412"/>
        <w:spacing w:after="0"/>
        <w:tabs>
          <w:tab w:leader="none" w:pos="420" w:val="left"/>
        </w:tabs>
        <w:numPr>
          <w:ilvl w:val="0"/>
          <w:numId w:val="107"/>
        </w:numPr>
        <w:rPr>
          <w:rFonts w:ascii="Arial" w:cs="Arial" w:eastAsia="Arial" w:hAnsi="Arial"/>
          <w:sz w:val="22"/>
          <w:szCs w:val="22"/>
          <w:color w:val="auto"/>
          <w:vertAlign w:val="superscript"/>
        </w:rPr>
      </w:pPr>
      <w:r>
        <w:rPr>
          <w:rFonts w:ascii="Arial" w:cs="Arial" w:eastAsia="Arial" w:hAnsi="Arial"/>
          <w:sz w:val="18"/>
          <w:szCs w:val="18"/>
          <w:color w:val="auto"/>
        </w:rPr>
        <w:t>Executive Compensation Committee</w:t>
      </w:r>
    </w:p>
    <w:p>
      <w:pPr>
        <w:spacing w:after="0" w:line="75" w:lineRule="exact"/>
        <w:rPr>
          <w:sz w:val="20"/>
          <w:szCs w:val="20"/>
          <w:color w:val="auto"/>
        </w:rPr>
      </w:pPr>
    </w:p>
    <w:p>
      <w:pPr>
        <w:ind w:right="8160" w:firstLine="8"/>
        <w:spacing w:after="0" w:line="277" w:lineRule="auto"/>
        <w:tabs>
          <w:tab w:leader="none" w:pos="407" w:val="left"/>
        </w:tabs>
        <w:numPr>
          <w:ilvl w:val="0"/>
          <w:numId w:val="108"/>
        </w:numPr>
        <w:rPr>
          <w:rFonts w:ascii="Arial" w:cs="Arial" w:eastAsia="Arial" w:hAnsi="Arial"/>
          <w:sz w:val="22"/>
          <w:szCs w:val="22"/>
          <w:color w:val="auto"/>
          <w:vertAlign w:val="superscript"/>
        </w:rPr>
      </w:pPr>
      <w:r>
        <w:rPr>
          <w:rFonts w:ascii="Arial" w:cs="Arial" w:eastAsia="Arial" w:hAnsi="Arial"/>
          <w:sz w:val="18"/>
          <w:szCs w:val="18"/>
          <w:color w:val="auto"/>
        </w:rPr>
        <w:t>Nominating and Governance Committee * Denotes Committee Chair</w:t>
      </w:r>
    </w:p>
    <w:p>
      <w:pPr>
        <w:spacing w:after="0" w:line="111" w:lineRule="exact"/>
        <w:rPr>
          <w:sz w:val="20"/>
          <w:szCs w:val="20"/>
          <w:color w:val="auto"/>
        </w:rPr>
      </w:pPr>
    </w:p>
    <w:p>
      <w:pPr>
        <w:spacing w:after="0"/>
        <w:tabs>
          <w:tab w:leader="none" w:pos="5840" w:val="left"/>
          <w:tab w:leader="none" w:pos="9880" w:val="left"/>
        </w:tabs>
        <w:rPr>
          <w:sz w:val="20"/>
          <w:szCs w:val="20"/>
          <w:color w:val="auto"/>
        </w:rPr>
      </w:pPr>
      <w:r>
        <w:rPr>
          <w:rFonts w:ascii="Arial" w:cs="Arial" w:eastAsia="Arial" w:hAnsi="Arial"/>
          <w:sz w:val="18"/>
          <w:szCs w:val="18"/>
          <w:color w:val="auto"/>
        </w:rPr>
        <w:t>MANPOWER INC.</w:t>
      </w:r>
      <w:r>
        <w:rPr>
          <w:sz w:val="20"/>
          <w:szCs w:val="20"/>
          <w:color w:val="auto"/>
        </w:rPr>
        <w:tab/>
      </w: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2004 Annual Report</w:t>
      </w:r>
    </w:p>
    <w:p>
      <w:pPr>
        <w:sectPr>
          <w:pgSz w:w="11900" w:h="16838" w:orient="portrait"/>
          <w:cols w:equalWidth="0" w:num="1">
            <w:col w:w="11420"/>
          </w:cols>
          <w:pgMar w:left="240" w:top="199"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15240</wp:posOffset>
            </wp:positionV>
            <wp:extent cx="5171440" cy="241808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7144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Argentina, Australia, Austria, Belgium, Bolivia, Brazil, Canada, Chile, China, Colombia, Costa Rica, Czech Republic, Denmark, Ecuador, El Salvador, Estonia, Finland, France, Germany, Greece, Guadeloupe, Guatemala, Honduras, Hong Kong, Hungary, India, Ireland, Israel, Italy, Japan, Korea, Luxembourg, Malaysia, Martinique, Mexico, Monaco, Morocco, New Caledonia, New Zealand, Nicaragua, Netherlands, Norway, Panama, Paraguay, Peru, Philippines, Poland, Portugal, Puerto Rico, Reunion, Romania, Russia, Singapore, Slovakia, Slovenia, South Africa, Spain, Sweden, Switzerland, Taiwan, Thailand, Tunisia, Turkey, UK, USA, Uruguay, and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69215</wp:posOffset>
            </wp:positionV>
            <wp:extent cx="5171440" cy="4546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714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Manpower Inc. </w:t>
      </w:r>
      <w:r>
        <w:rPr>
          <w:rFonts w:ascii="Arial" w:cs="Arial" w:eastAsia="Arial" w:hAnsi="Arial"/>
          <w:sz w:val="16"/>
          <w:szCs w:val="16"/>
          <w:color w:val="auto"/>
        </w:rPr>
        <w:t>(NYSE: MAN) is a world leader in the employment services industry, offering customers a continuum of services to meet their needs throughout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and business cycle. The company specializes in permanent, temporary and contract recruitment; employee assessment; training; career transition and organizational consulting services. Manpower’s worldwide network of 4,300 offices in 67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enabling customers to concentrate on their core business activities. In addition to the Manpower brand, the company operates under the brand names of Right Management Consultants, Jefferson Wells, Elan and Brook Street. More information on Manpower Inc. is available at www.manpower.com.</w:t>
      </w:r>
    </w:p>
    <w:p>
      <w:pPr>
        <w:spacing w:after="0" w:line="10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Jefferson Wells International, Inc.</w:t>
      </w:r>
      <w:r>
        <w:rPr>
          <w:rFonts w:ascii="Arial" w:cs="Arial" w:eastAsia="Arial" w:hAnsi="Arial"/>
          <w:sz w:val="16"/>
          <w:szCs w:val="16"/>
          <w:color w:val="auto"/>
        </w:rPr>
        <w:t>, a wholly owned subsidiary of Manpower Inc., was acquired in July of 2001. Jefferson Wells delivers professional services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areas of internal audit and controls, technology risk management, tax, finance and accounting. The firm serves clients, including Fortune 500 and Global 1000 companies, through highly experienced professionals working from 37 offices across North America and in Europe.</w:t>
      </w:r>
    </w:p>
    <w:p>
      <w:pPr>
        <w:spacing w:after="0" w:line="84"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b w:val="1"/>
          <w:bCs w:val="1"/>
          <w:color w:val="auto"/>
        </w:rPr>
        <w:t>Right Management Consultants, Inc.</w:t>
      </w:r>
      <w:r>
        <w:rPr>
          <w:rFonts w:ascii="Arial" w:cs="Arial" w:eastAsia="Arial" w:hAnsi="Arial"/>
          <w:sz w:val="16"/>
          <w:szCs w:val="16"/>
          <w:color w:val="auto"/>
        </w:rPr>
        <w:t>, the world’s largest career transition and organizational consulting firm, was acquired by Manpower in January of 2004. It</w:t>
      </w:r>
      <w:r>
        <w:rPr>
          <w:rFonts w:ascii="Arial" w:cs="Arial" w:eastAsia="Arial" w:hAnsi="Arial"/>
          <w:sz w:val="16"/>
          <w:szCs w:val="16"/>
          <w:b w:val="1"/>
          <w:bCs w:val="1"/>
          <w:color w:val="auto"/>
        </w:rPr>
        <w:t xml:space="preserve"> </w:t>
      </w:r>
      <w:r>
        <w:rPr>
          <w:rFonts w:ascii="Arial" w:cs="Arial" w:eastAsia="Arial" w:hAnsi="Arial"/>
          <w:sz w:val="16"/>
          <w:szCs w:val="16"/>
          <w:color w:val="auto"/>
        </w:rPr>
        <w:t>offers its services to corporations of all sizes through a global network of approximately 300 service locations in 35 countries and via the Internet. The Empower Group, Manpower’s organizational performance consulting subsidiary headquartered in London, merged with Right Management Consultants in 2004.</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Elan Group Ltd.</w:t>
      </w:r>
      <w:r>
        <w:rPr>
          <w:rFonts w:ascii="Arial" w:cs="Arial" w:eastAsia="Arial" w:hAnsi="Arial"/>
          <w:sz w:val="18"/>
          <w:szCs w:val="18"/>
          <w:color w:val="auto"/>
        </w:rPr>
        <w:t>, a wholly owned subsidiary of Manpower Inc., is the world’s leading IT and technical recruitment specialists. Having provided IT and</w:t>
      </w:r>
      <w:r>
        <w:rPr>
          <w:rFonts w:ascii="Arial" w:cs="Arial" w:eastAsia="Arial" w:hAnsi="Arial"/>
          <w:sz w:val="18"/>
          <w:szCs w:val="18"/>
          <w:b w:val="1"/>
          <w:bCs w:val="1"/>
          <w:color w:val="auto"/>
        </w:rPr>
        <w:t xml:space="preserve"> </w:t>
      </w:r>
      <w:r>
        <w:rPr>
          <w:rFonts w:ascii="Arial" w:cs="Arial" w:eastAsia="Arial" w:hAnsi="Arial"/>
          <w:sz w:val="18"/>
          <w:szCs w:val="18"/>
          <w:color w:val="auto"/>
        </w:rPr>
        <w:t>telecommunications professionals to over 1,400 companies worldwide, the company has built a reputation for quality delivery of personnel in all technologies and disciplines on a contract, permanent and managed service basis. Elan serves its clients via a network of 52 offices throughout 16 countries in Europe and Asia Pacific.</w:t>
      </w:r>
    </w:p>
    <w:p>
      <w:pPr>
        <w:spacing w:after="0" w:line="12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Brook Street Bureau </w:t>
      </w:r>
      <w:r>
        <w:rPr>
          <w:rFonts w:ascii="Arial" w:cs="Arial" w:eastAsia="Arial" w:hAnsi="Arial"/>
          <w:sz w:val="18"/>
          <w:szCs w:val="18"/>
          <w:color w:val="auto"/>
        </w:rPr>
        <w:t>is a wholly owned subsidiary of Manpower Inc. in the United Kingdom. Its core business is the supply of temporary, permanent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staff to office, secretarial and light industrial positions.</w:t>
      </w:r>
    </w:p>
    <w:p>
      <w:pPr>
        <w:spacing w:after="0" w:line="106" w:lineRule="exact"/>
        <w:rPr>
          <w:sz w:val="20"/>
          <w:szCs w:val="20"/>
          <w:color w:val="auto"/>
        </w:rPr>
      </w:pPr>
    </w:p>
    <w:p>
      <w:pPr>
        <w:spacing w:after="0"/>
        <w:tabs>
          <w:tab w:leader="none" w:pos="5840" w:val="left"/>
          <w:tab w:leader="none" w:pos="9980" w:val="left"/>
        </w:tabs>
        <w:rPr>
          <w:sz w:val="20"/>
          <w:szCs w:val="20"/>
          <w:color w:val="auto"/>
        </w:rPr>
      </w:pPr>
      <w:r>
        <w:rPr>
          <w:rFonts w:ascii="Arial" w:cs="Arial" w:eastAsia="Arial" w:hAnsi="Arial"/>
          <w:sz w:val="18"/>
          <w:szCs w:val="18"/>
          <w:b w:val="1"/>
          <w:bCs w:val="1"/>
          <w:color w:val="auto"/>
        </w:rPr>
        <w:t>2004 Annual Report</w:t>
      </w:r>
      <w:r>
        <w:rPr>
          <w:sz w:val="20"/>
          <w:szCs w:val="20"/>
          <w:color w:val="auto"/>
        </w:rPr>
        <w:tab/>
      </w: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MANPOWER INC.</w:t>
      </w:r>
    </w:p>
    <w:p>
      <w:pPr>
        <w:sectPr>
          <w:pgSz w:w="11900" w:h="16838" w:orient="portrait"/>
          <w:cols w:equalWidth="0" w:num="1">
            <w:col w:w="11420"/>
          </w:cols>
          <w:pgMar w:left="240" w:top="274" w:right="239" w:bottom="1440" w:gutter="0" w:footer="0" w:header="0"/>
        </w:sectPr>
      </w:pPr>
    </w:p>
    <w:bookmarkStart w:id="187" w:name="page188"/>
    <w:bookmarkEnd w:id="18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518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9518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POWER AWARD INDIVIDUAL WINNERS ANNOUNCEMENT</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Manpower Power Award has been part of the company’s culture since 1959. The Award recognizes specific operations around the world for their outstanding performance during the year in representing the values, culture and brand of Manpower and for their financial achievements over the past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This year, for the first time in the program’s history, three individual winners also received the Power Award. These winners include: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Nancy Creuziger</w:t>
      </w:r>
      <w:r>
        <w:rPr>
          <w:rFonts w:ascii="Arial" w:cs="Arial" w:eastAsia="Arial" w:hAnsi="Arial"/>
          <w:sz w:val="16"/>
          <w:szCs w:val="16"/>
          <w:color w:val="auto"/>
        </w:rPr>
        <w:t>, Manpower Vice President and Corporate Controller, for her leadership of Manpower’s successful Sarbanes-Oxley compliance program;</w:t>
      </w:r>
    </w:p>
    <w:p>
      <w:pPr>
        <w:spacing w:after="0" w:line="18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Doug Klemp</w:t>
      </w:r>
      <w:r>
        <w:rPr>
          <w:rFonts w:ascii="Arial" w:cs="Arial" w:eastAsia="Arial" w:hAnsi="Arial"/>
          <w:sz w:val="18"/>
          <w:szCs w:val="18"/>
          <w:color w:val="auto"/>
        </w:rPr>
        <w:t>, Director of Customer Implementation, for his leadership role in ensuring the successful integration of Right Management Consultants after</w:t>
      </w:r>
      <w:r>
        <w:rPr>
          <w:rFonts w:ascii="Arial" w:cs="Arial" w:eastAsia="Arial" w:hAnsi="Arial"/>
          <w:sz w:val="18"/>
          <w:szCs w:val="18"/>
          <w:b w:val="1"/>
          <w:bCs w:val="1"/>
          <w:color w:val="auto"/>
        </w:rPr>
        <w:t xml:space="preserve"> </w:t>
      </w:r>
      <w:r>
        <w:rPr>
          <w:rFonts w:ascii="Arial" w:cs="Arial" w:eastAsia="Arial" w:hAnsi="Arial"/>
          <w:sz w:val="18"/>
          <w:szCs w:val="18"/>
          <w:color w:val="auto"/>
        </w:rPr>
        <w:t>Manpower acquired the business in 2004, in addition to his responsibilities managing a key global account and developing customer implementation programs; and</w:t>
      </w:r>
    </w:p>
    <w:p>
      <w:pPr>
        <w:spacing w:after="0" w:line="11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Jonas Prising</w:t>
      </w:r>
      <w:r>
        <w:rPr>
          <w:rFonts w:ascii="Arial" w:cs="Arial" w:eastAsia="Arial" w:hAnsi="Arial"/>
          <w:sz w:val="18"/>
          <w:szCs w:val="18"/>
          <w:color w:val="auto"/>
        </w:rPr>
        <w:t>, Managing Director of Manpower Italy, in recognition of the organization’s outstanding performance in 2004, as well as his leading role in</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a global team on a significant corporate initiative.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 to all of our Power Award winners this year.</w:t>
      </w:r>
    </w:p>
    <w:p>
      <w:pPr>
        <w:sectPr>
          <w:pgSz w:w="11900" w:h="16838" w:orient="portrait"/>
          <w:cols w:equalWidth="0" w:num="1">
            <w:col w:w="11380"/>
          </w:cols>
          <w:pgMar w:left="240" w:top="1440" w:right="279" w:bottom="1440"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377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400" w:type="dxa"/>
            <w:vAlign w:val="bottom"/>
            <w:gridSpan w:val="2"/>
          </w:tcPr>
          <w:p>
            <w:pPr>
              <w:ind w:left="660"/>
              <w:spacing w:after="0"/>
              <w:rPr>
                <w:sz w:val="20"/>
                <w:szCs w:val="20"/>
                <w:color w:val="auto"/>
              </w:rPr>
            </w:pPr>
            <w:r>
              <w:rPr>
                <w:rFonts w:ascii="Arial" w:cs="Arial" w:eastAsia="Arial" w:hAnsi="Arial"/>
                <w:sz w:val="18"/>
                <w:szCs w:val="18"/>
                <w:color w:val="auto"/>
                <w:w w:val="91"/>
              </w:rPr>
              <w:t>Exhibit 21</w:t>
            </w:r>
          </w:p>
        </w:tc>
      </w:tr>
      <w:tr>
        <w:trPr>
          <w:trHeight w:val="365"/>
        </w:trPr>
        <w:tc>
          <w:tcPr>
            <w:tcW w:w="1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b w:val="1"/>
                <w:bCs w:val="1"/>
                <w:color w:val="auto"/>
              </w:rPr>
              <w:t>SUBSIDIARIES OF MANPOWER INC.</w:t>
            </w:r>
          </w:p>
        </w:tc>
      </w:tr>
      <w:tr>
        <w:trPr>
          <w:trHeight w:val="286"/>
        </w:trPr>
        <w:tc>
          <w:tcPr>
            <w:tcW w:w="1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Incorporated in</w:t>
            </w:r>
          </w:p>
        </w:tc>
      </w:t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Corporation Name</w:t>
            </w:r>
          </w:p>
        </w:tc>
        <w:tc>
          <w:tcPr>
            <w:tcW w:w="594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State / Country of</w:t>
            </w:r>
          </w:p>
        </w:tc>
      </w:tr>
      <w:tr>
        <w:trPr>
          <w:trHeight w:val="95"/>
        </w:trPr>
        <w:tc>
          <w:tcPr>
            <w:tcW w:w="13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309"/>
        </w:trPr>
        <w:tc>
          <w:tcPr>
            <w:tcW w:w="4080" w:type="dxa"/>
            <w:vAlign w:val="bottom"/>
            <w:gridSpan w:val="2"/>
          </w:tcPr>
          <w:p>
            <w:pPr>
              <w:spacing w:after="0"/>
              <w:rPr>
                <w:sz w:val="20"/>
                <w:szCs w:val="20"/>
                <w:color w:val="auto"/>
              </w:rPr>
            </w:pPr>
            <w:r>
              <w:rPr>
                <w:rFonts w:ascii="Arial" w:cs="Arial" w:eastAsia="Arial" w:hAnsi="Arial"/>
                <w:sz w:val="18"/>
                <w:szCs w:val="18"/>
                <w:color w:val="auto"/>
              </w:rPr>
              <w:t>Huntsville Service Contractors, Inc.</w:t>
            </w:r>
          </w:p>
        </w:tc>
        <w:tc>
          <w:tcPr>
            <w:tcW w:w="594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Alabama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Benefits S.A.</w:t>
            </w:r>
          </w:p>
        </w:tc>
        <w:tc>
          <w:tcPr>
            <w:tcW w:w="594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Argentina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Cotecsud S.A.S.E.</w:t>
            </w:r>
          </w:p>
        </w:tc>
        <w:tc>
          <w:tcPr>
            <w:tcW w:w="594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Argentina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Rural Power S.A.</w:t>
            </w:r>
          </w:p>
        </w:tc>
        <w:tc>
          <w:tcPr>
            <w:tcW w:w="594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Argentina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Empower Corporate Research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Compower Pty. Limited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ICV International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Intellectual Capital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Services (Australia)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Management Consultants (OC)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ORMS Group APS Pty Limited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Polson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Workforce (Vic) Pty. Limited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from Home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Management Consultants (NSW)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Management Consultants (QLD)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Mangement Consultants Holdings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7"/>
              </w:rPr>
              <w:t>Right Mangement Consultants International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Mangement Consultants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No. 10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No. 11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No. 12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No. 13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No. 14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No. 15 Pty.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Human Power Projects GmbH</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GmbH</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Holding GmbH</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89"/>
              </w:rPr>
              <w:t>Manpower Unternehmens und Personalberatungs GmbH</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MTW Personaldienstleistungen GmbH</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Elan IT Resource S.A.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Mulitskill S.A.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S.A. Manpower (Belgium) N.V.</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Alternative International (Holdings) SA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Coutts Alternative SA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Curriculum Plus NV</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Consulting Belgium</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Management Consultants (Belgium) SA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Coutts Consulting</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Empower-BCI Europe</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Management Consultants LP</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Bermuda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Brasil Ltda.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Brazil</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Professional Ltda.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Brazil</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Staffing Ltda.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Brazil</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de Brasil Ltda.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Brazil</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Manpower/V-TRAC International, Ltd.</w:t>
            </w:r>
          </w:p>
        </w:tc>
        <w:tc>
          <w:tcPr>
            <w:tcW w:w="7340" w:type="dxa"/>
            <w:vAlign w:val="bottom"/>
            <w:gridSpan w:val="3"/>
          </w:tcPr>
          <w:p>
            <w:pPr>
              <w:jc w:val="center"/>
              <w:ind w:left="5752"/>
              <w:spacing w:after="0"/>
              <w:rPr>
                <w:sz w:val="20"/>
                <w:szCs w:val="20"/>
                <w:color w:val="auto"/>
              </w:rPr>
            </w:pPr>
            <w:r>
              <w:rPr>
                <w:rFonts w:ascii="Arial" w:cs="Arial" w:eastAsia="Arial" w:hAnsi="Arial"/>
                <w:sz w:val="18"/>
                <w:szCs w:val="18"/>
                <w:color w:val="auto"/>
                <w:w w:val="91"/>
              </w:rPr>
              <w:t>British Virgin Islands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AMFO Members Insurance Company, Ltd.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Cayman Islands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Jefferson Wells International (Canada), Inc.</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Canada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Manpower Services Canada Limited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Canada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Coutts Consulting Canada Inc.</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Canada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Murray Axmith &amp; Associates Limited</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Canada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Right Management Consultants Canada</w:t>
            </w:r>
          </w:p>
        </w:tc>
        <w:tc>
          <w:tcPr>
            <w:tcW w:w="59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Canada</w:t>
            </w: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CEL Management Consultancy (Shanghai) Co. Ltd</w:t>
            </w:r>
          </w:p>
        </w:tc>
        <w:tc>
          <w:tcPr>
            <w:tcW w:w="594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China</w:t>
            </w:r>
          </w:p>
        </w:tc>
      </w:tr>
    </w:tbl>
    <w:p>
      <w:pPr>
        <w:sectPr>
          <w:pgSz w:w="11900" w:h="16838" w:orient="portrait"/>
          <w:cols w:equalWidth="0" w:num="1">
            <w:col w:w="11420"/>
          </w:cols>
          <w:pgMar w:left="240" w:top="280" w:right="239" w:bottom="1440" w:gutter="0" w:footer="0" w:header="0"/>
        </w:sectPr>
      </w:pPr>
    </w:p>
    <w:bookmarkStart w:id="190" w:name="page191"/>
    <w:bookmarkEnd w:id="1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Business Consulting (Shanghai) Co. Ltd.</w:t>
            </w:r>
          </w:p>
        </w:tc>
        <w:tc>
          <w:tcPr>
            <w:tcW w:w="6280" w:type="dxa"/>
            <w:vAlign w:val="bottom"/>
          </w:tcPr>
          <w:p>
            <w:pPr>
              <w:jc w:val="center"/>
              <w:ind w:left="5052"/>
              <w:spacing w:after="0"/>
              <w:rPr>
                <w:sz w:val="20"/>
                <w:szCs w:val="20"/>
                <w:color w:val="auto"/>
              </w:rPr>
            </w:pPr>
            <w:r>
              <w:rPr>
                <w:rFonts w:ascii="Arial" w:cs="Arial" w:eastAsia="Arial" w:hAnsi="Arial"/>
                <w:sz w:val="18"/>
                <w:szCs w:val="18"/>
                <w:color w:val="auto"/>
                <w:w w:val="89"/>
              </w:rPr>
              <w:t>China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&amp; Standard Human Resources (Shanghai) Co. Ltd.</w:t>
            </w:r>
          </w:p>
        </w:tc>
        <w:tc>
          <w:tcPr>
            <w:tcW w:w="6280" w:type="dxa"/>
            <w:vAlign w:val="bottom"/>
          </w:tcPr>
          <w:p>
            <w:pPr>
              <w:jc w:val="center"/>
              <w:ind w:left="5052"/>
              <w:spacing w:after="0"/>
              <w:rPr>
                <w:sz w:val="20"/>
                <w:szCs w:val="20"/>
                <w:color w:val="auto"/>
              </w:rPr>
            </w:pPr>
            <w:r>
              <w:rPr>
                <w:rFonts w:ascii="Arial" w:cs="Arial" w:eastAsia="Arial" w:hAnsi="Arial"/>
                <w:sz w:val="18"/>
                <w:szCs w:val="18"/>
                <w:color w:val="auto"/>
                <w:w w:val="89"/>
              </w:rPr>
              <w:t>China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de Columbia Ltda.</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Colombia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Professional Ltd.</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Colombia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Costa Rica, S.A.</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Costa Rica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Republique Tcheque</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8"/>
              </w:rPr>
              <w:t>Czech Republic</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Ambridge Group, Inc.</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Ironwood Capital Corporation</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Jefferson Wells International, Inc.</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CIS Inc.</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Franchises, LLC</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Holdings, Inc.</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International, Inc.</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License Holdings, LLC</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U.S. Caden Corporation</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9"/>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Computing A/S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Empower A/S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INGroup Denmark Aps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Europe Holdings Aps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A/S (Denmark)</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Facilities Management A/S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Contact Center Denmark</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Kjaer &amp; Kerulf A/S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Search and Selection Denmark A/S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Sinova International Holding A/S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7"/>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El Salvador, S.A. de C.V.</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91"/>
              </w:rPr>
              <w:t>El Salvador</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EESTI OÜ</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Estonia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IT Resource OY</w:t>
            </w:r>
          </w:p>
        </w:tc>
        <w:tc>
          <w:tcPr>
            <w:tcW w:w="6280" w:type="dxa"/>
            <w:vAlign w:val="bottom"/>
          </w:tcPr>
          <w:p>
            <w:pPr>
              <w:jc w:val="center"/>
              <w:ind w:left="505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Contract Center Oy</w:t>
            </w:r>
          </w:p>
        </w:tc>
        <w:tc>
          <w:tcPr>
            <w:tcW w:w="6280" w:type="dxa"/>
            <w:vAlign w:val="bottom"/>
          </w:tcPr>
          <w:p>
            <w:pPr>
              <w:jc w:val="center"/>
              <w:ind w:left="505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Facility Management OY</w:t>
            </w:r>
          </w:p>
        </w:tc>
        <w:tc>
          <w:tcPr>
            <w:tcW w:w="6280" w:type="dxa"/>
            <w:vAlign w:val="bottom"/>
          </w:tcPr>
          <w:p>
            <w:pPr>
              <w:jc w:val="center"/>
              <w:ind w:left="505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OY</w:t>
            </w:r>
          </w:p>
        </w:tc>
        <w:tc>
          <w:tcPr>
            <w:tcW w:w="6280" w:type="dxa"/>
            <w:vAlign w:val="bottom"/>
          </w:tcPr>
          <w:p>
            <w:pPr>
              <w:jc w:val="center"/>
              <w:ind w:left="505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INGroup Finland OY</w:t>
            </w:r>
          </w:p>
        </w:tc>
        <w:tc>
          <w:tcPr>
            <w:tcW w:w="6280" w:type="dxa"/>
            <w:vAlign w:val="bottom"/>
          </w:tcPr>
          <w:p>
            <w:pPr>
              <w:jc w:val="center"/>
              <w:ind w:left="505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The Empower Group OY</w:t>
            </w:r>
          </w:p>
        </w:tc>
        <w:tc>
          <w:tcPr>
            <w:tcW w:w="6280" w:type="dxa"/>
            <w:vAlign w:val="bottom"/>
          </w:tcPr>
          <w:p>
            <w:pPr>
              <w:jc w:val="center"/>
              <w:ind w:left="505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Alisia SARL</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France Holding SAS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I.T. Resource SARL</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Management Consultants SA</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Ocean Indien</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Solertis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Coutts Consultants France SA</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France SAS</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Supplay S.A.</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5"/>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Guadalupe</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Guadalupe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Adservice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Ambridge Group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Bankpower GmbH Personaldienstleistungen</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Consulting by Manpower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Computing (Deutschland)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IT ReSource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Telecommunications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Engineering by Manpower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Deutschland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Alternative Management Consultants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Coutts (Deutschland)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AviationPower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Finance - Personaldienstleistungen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GmbH Personaldienstleistungen</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Project Support by Manpower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PSA by Manpower GmbH</w:t>
            </w:r>
          </w:p>
        </w:tc>
        <w:tc>
          <w:tcPr>
            <w:tcW w:w="6280" w:type="dxa"/>
            <w:vAlign w:val="bottom"/>
          </w:tcPr>
          <w:p>
            <w:pPr>
              <w:jc w:val="center"/>
              <w:ind w:left="5072"/>
              <w:spacing w:after="0"/>
              <w:rPr>
                <w:sz w:val="20"/>
                <w:szCs w:val="20"/>
                <w:color w:val="auto"/>
              </w:rPr>
            </w:pPr>
            <w:r>
              <w:rPr>
                <w:rFonts w:ascii="Arial" w:cs="Arial" w:eastAsia="Arial" w:hAnsi="Arial"/>
                <w:sz w:val="18"/>
                <w:szCs w:val="18"/>
                <w:color w:val="auto"/>
                <w:w w:val="86"/>
              </w:rPr>
              <w:t>Germany</w:t>
            </w:r>
          </w:p>
        </w:tc>
      </w:tr>
      <w:tr>
        <w:trPr>
          <w:trHeight w:val="365"/>
        </w:trPr>
        <w:tc>
          <w:tcPr>
            <w:tcW w:w="5020" w:type="dxa"/>
            <w:vAlign w:val="bottom"/>
          </w:tcPr>
          <w:p>
            <w:pPr>
              <w:spacing w:after="0"/>
              <w:rPr>
                <w:sz w:val="24"/>
                <w:szCs w:val="24"/>
                <w:color w:val="auto"/>
              </w:rPr>
            </w:pPr>
          </w:p>
        </w:tc>
        <w:tc>
          <w:tcPr>
            <w:tcW w:w="6280" w:type="dxa"/>
            <w:vAlign w:val="bottom"/>
          </w:tcPr>
          <w:p>
            <w:pPr>
              <w:jc w:val="right"/>
              <w:ind w:right="545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00"/>
          </w:cols>
          <w:pgMar w:left="240" w:top="280" w:right="359" w:bottom="1440" w:gutter="0" w:footer="0" w:header="0"/>
        </w:sectPr>
      </w:pPr>
    </w:p>
    <w:bookmarkStart w:id="191" w:name="page192"/>
    <w:bookmarkEnd w:id="1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Team S.A.</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84"/>
              </w:rPr>
              <w:t>Greece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Project Solutions S.A.</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84"/>
              </w:rPr>
              <w:t>Greece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S.A.</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6"/>
              </w:rPr>
              <w:t>Guatemala</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Guadeloupe</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5"/>
              </w:rPr>
              <w:t>Guadeloupe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Honduras, S.A.</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7"/>
              </w:rPr>
              <w:t>Honduras</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Center for Effective Leadership (HK)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3"/>
              </w:rPr>
              <w:t>Hong Kong</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Elan Computing (Asia) Limited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3"/>
              </w:rPr>
              <w:t>Hong Kong</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Services (Hong Kong) Limited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3"/>
              </w:rPr>
              <w:t>Hong Kong</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Standard Management Consulting Limited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3"/>
              </w:rPr>
              <w:t>Hong Kong</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 Management Consultants Ltd (Hong Kong)</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3"/>
              </w:rPr>
              <w:t>Hong Kong</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Munkaero Szervezesi KFT</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8"/>
              </w:rPr>
              <w:t>Hungary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 Management Consultants of Illinois</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99"/>
              </w:rPr>
              <w:t>Illinois</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Services India Pvt.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2"/>
              </w:rPr>
              <w:t>India</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Elan Recruitment Limited</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90"/>
              </w:rPr>
              <w:t>Ireland</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(Ireland) Group Limited</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90"/>
              </w:rPr>
              <w:t>Ireland</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 Management Consultants Ireland Ltd.</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90"/>
              </w:rPr>
              <w:t>Ireland</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 Transition Ltd.</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90"/>
              </w:rPr>
              <w:t>Ireland</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The Skills Group Contract Services Limited</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90"/>
              </w:rPr>
              <w:t>Ireland</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The Skills Group Financial Services Limited</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90"/>
              </w:rPr>
              <w:t>Ireland</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The Skills Group International Limited</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90"/>
              </w:rPr>
              <w:t>Ireland</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Adam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Adi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Career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Hahaklai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Career – Management of Housing for Elderly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Career Harmony,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M.I.T. (Manpower Information Technology)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M.P.H. Holdings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Israel Holdings (1999) Limited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(Israel)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Miluot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Nativ 2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S.T.M Technologies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Telepower</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Unison Engineering Projects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0"/>
              </w:rPr>
              <w:t>Israel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Brook Street S.P.A. Selection and Recruiting</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Brook Street S.P.A. Temporary Services</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Elan IT Resource Italia Srl</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Consulting S.P.A.</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S.P.A.</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Formazione Spa</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 Management Consultants (Italy) SRL</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Italia S.r.l.</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Management S.P.A.</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6"/>
              </w:rPr>
              <w:t>Italy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Adgrams, Inc.</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I.P.C. Corporation</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JobSearchpower Co.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JobSupportpower Co.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Japan Co. Limited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Mates Co.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 Management Consultants Japan Inc.</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Skillpartner Co.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Career Aid Power Co.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1"/>
              </w:rPr>
              <w:t>Japan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Jordanian American Manpower Company, W.L.L.</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87"/>
              </w:rPr>
              <w:t>Jordan</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Korea, Inc.</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1"/>
              </w:rPr>
              <w:t>Korea</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Manpower Professional Services, Inc.</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1"/>
              </w:rPr>
              <w:t>Korea</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 Management Consultants Korea Co. Ltd.</w:t>
            </w:r>
          </w:p>
        </w:tc>
        <w:tc>
          <w:tcPr>
            <w:tcW w:w="6560" w:type="dxa"/>
            <w:vAlign w:val="bottom"/>
          </w:tcPr>
          <w:p>
            <w:pPr>
              <w:jc w:val="center"/>
              <w:ind w:left="5592"/>
              <w:spacing w:after="0"/>
              <w:rPr>
                <w:sz w:val="20"/>
                <w:szCs w:val="20"/>
                <w:color w:val="auto"/>
              </w:rPr>
            </w:pPr>
            <w:r>
              <w:rPr>
                <w:rFonts w:ascii="Arial" w:cs="Arial" w:eastAsia="Arial" w:hAnsi="Arial"/>
                <w:sz w:val="18"/>
                <w:szCs w:val="18"/>
                <w:color w:val="auto"/>
                <w:w w:val="91"/>
              </w:rPr>
              <w:t>Korea</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Aide Temporaire SARL</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89"/>
              </w:rPr>
              <w:t>Luxembourg</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Right Management Consultants (Luxembourg) SA</w:t>
            </w:r>
          </w:p>
        </w:tc>
        <w:tc>
          <w:tcPr>
            <w:tcW w:w="6560" w:type="dxa"/>
            <w:vAlign w:val="bottom"/>
          </w:tcPr>
          <w:p>
            <w:pPr>
              <w:jc w:val="center"/>
              <w:ind w:left="5572"/>
              <w:spacing w:after="0"/>
              <w:rPr>
                <w:sz w:val="20"/>
                <w:szCs w:val="20"/>
                <w:color w:val="auto"/>
              </w:rPr>
            </w:pPr>
            <w:r>
              <w:rPr>
                <w:rFonts w:ascii="Arial" w:cs="Arial" w:eastAsia="Arial" w:hAnsi="Arial"/>
                <w:sz w:val="18"/>
                <w:szCs w:val="18"/>
                <w:color w:val="auto"/>
                <w:w w:val="89"/>
              </w:rPr>
              <w:t>Luxembourg</w:t>
            </w:r>
          </w:p>
        </w:tc>
      </w:tr>
      <w:tr>
        <w:trPr>
          <w:trHeight w:val="365"/>
        </w:trPr>
        <w:tc>
          <w:tcPr>
            <w:tcW w:w="4620" w:type="dxa"/>
            <w:vAlign w:val="bottom"/>
          </w:tcPr>
          <w:p>
            <w:pPr>
              <w:spacing w:after="0"/>
              <w:rPr>
                <w:sz w:val="24"/>
                <w:szCs w:val="24"/>
                <w:color w:val="auto"/>
              </w:rPr>
            </w:pPr>
          </w:p>
        </w:tc>
        <w:tc>
          <w:tcPr>
            <w:tcW w:w="6560" w:type="dxa"/>
            <w:vAlign w:val="bottom"/>
          </w:tcPr>
          <w:p>
            <w:pPr>
              <w:jc w:val="right"/>
              <w:ind w:right="533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80"/>
          </w:cols>
          <w:pgMar w:left="240" w:top="280" w:right="479" w:bottom="1440" w:gutter="0" w:footer="0" w:header="0"/>
        </w:sectPr>
      </w:pPr>
    </w:p>
    <w:bookmarkStart w:id="192" w:name="page193"/>
    <w:bookmarkEnd w:id="1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(Luxembourg) SarL</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89"/>
              </w:rPr>
              <w:t>Luxembourg</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Agensi Pekerjaan Manpower Recruitment Sdn Bhd</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0"/>
              </w:rPr>
              <w:t>Malaysia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Staffing Services (Malaysia) Sdn Bhd</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0"/>
              </w:rPr>
              <w:t>Malaysia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Techpower Consulting Sdn Bhd</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0"/>
              </w:rPr>
              <w:t>Malaysia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International Pty. Ltd.</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0"/>
              </w:rPr>
              <w:t>Malaysia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Antilles</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2"/>
              </w:rPr>
              <w:t>Martinique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Intelecto Tecnologico, S.A. De C.V.</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4"/>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Corporativo, S.A. de C.V.</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4"/>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Industrial, S.A. de C.V.</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4"/>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Mensajeria, S.A. de C.V.</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4"/>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S.A. de C.V.</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4"/>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Tecnologia Y Manufactura, S.A. de C.V.</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4"/>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The Empower Group, S.A. de C.V.</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4"/>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Headpower,S.A.de C.V.</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94"/>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Monaco SAM</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7"/>
              </w:rPr>
              <w:t>Monaco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Societe Marocaine De Travail Temporaire</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2"/>
              </w:rPr>
              <w:t>Morocco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Computing (Netherlands)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Ambridge International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Consultancy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Direkt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Management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Nederland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Services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Special Staffing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Uitzendorganisatie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Mobilans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Assessment &amp; Development Consult Arnheim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Assessment &amp; Development Consult Gouda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Assessment &amp; Development Consult Holding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Coutts Alternative (Nederland)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Coutts Consulting (Nederland)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Coutts Outplacement Nederland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Multi-Consulting Loopbaanadvies Outplacement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Nederland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Syntelligence Beheer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Syntelligence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Performance Improvement Network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Ultraflex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Ultrasearch B.V.</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Nouvelle Caledonie</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8"/>
              </w:rPr>
              <w:t>New Caledonia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Brecker &amp; Merryman, Inc.</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2"/>
              </w:rPr>
              <w:t>New York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Incorporated of New York</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2"/>
              </w:rPr>
              <w:t>New York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Services (New Zealand) Ltd.</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88"/>
              </w:rPr>
              <w:t>New Zealand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Ltd. (New Zealand)</w:t>
            </w:r>
          </w:p>
        </w:tc>
        <w:tc>
          <w:tcPr>
            <w:tcW w:w="6540" w:type="dxa"/>
            <w:vAlign w:val="bottom"/>
          </w:tcPr>
          <w:p>
            <w:pPr>
              <w:jc w:val="center"/>
              <w:ind w:left="5352"/>
              <w:spacing w:after="0"/>
              <w:rPr>
                <w:sz w:val="20"/>
                <w:szCs w:val="20"/>
                <w:color w:val="auto"/>
              </w:rPr>
            </w:pPr>
            <w:r>
              <w:rPr>
                <w:rFonts w:ascii="Arial" w:cs="Arial" w:eastAsia="Arial" w:hAnsi="Arial"/>
                <w:sz w:val="18"/>
                <w:szCs w:val="18"/>
                <w:color w:val="auto"/>
                <w:w w:val="88"/>
              </w:rPr>
              <w:t>New Zealand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Nicaruagua S.A.</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87"/>
              </w:rPr>
              <w:t>Nicaragua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Bankpower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IT Resource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Framnaes Installajon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INGroup Norway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Contact Center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Facility Management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Norway Holdings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Quality People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Raadhuset Rekruttering &amp; Utuelgelse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Raadhuset Rogaland</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Norway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Search and Selection Norway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Techpower A/S</w:t>
            </w:r>
          </w:p>
        </w:tc>
        <w:tc>
          <w:tcPr>
            <w:tcW w:w="6540" w:type="dxa"/>
            <w:vAlign w:val="bottom"/>
          </w:tcPr>
          <w:p>
            <w:pPr>
              <w:jc w:val="center"/>
              <w:ind w:left="5372"/>
              <w:spacing w:after="0"/>
              <w:rPr>
                <w:sz w:val="20"/>
                <w:szCs w:val="20"/>
                <w:color w:val="auto"/>
              </w:rPr>
            </w:pPr>
            <w:r>
              <w:rPr>
                <w:rFonts w:ascii="Arial" w:cs="Arial" w:eastAsia="Arial" w:hAnsi="Arial"/>
                <w:sz w:val="18"/>
                <w:szCs w:val="18"/>
                <w:color w:val="auto"/>
                <w:w w:val="91"/>
              </w:rPr>
              <w:t>Norway</w:t>
            </w:r>
          </w:p>
        </w:tc>
      </w:tr>
      <w:tr>
        <w:trPr>
          <w:trHeight w:val="365"/>
        </w:trPr>
        <w:tc>
          <w:tcPr>
            <w:tcW w:w="4740" w:type="dxa"/>
            <w:vAlign w:val="bottom"/>
          </w:tcPr>
          <w:p>
            <w:pPr>
              <w:spacing w:after="0"/>
              <w:rPr>
                <w:sz w:val="24"/>
                <w:szCs w:val="24"/>
                <w:color w:val="auto"/>
              </w:rPr>
            </w:pPr>
          </w:p>
        </w:tc>
        <w:tc>
          <w:tcPr>
            <w:tcW w:w="6540" w:type="dxa"/>
            <w:vAlign w:val="bottom"/>
          </w:tcPr>
          <w:p>
            <w:pPr>
              <w:jc w:val="right"/>
              <w:ind w:right="543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80"/>
          </w:cols>
          <w:pgMar w:left="240" w:top="280" w:right="379" w:bottom="1440" w:gutter="0" w:footer="0" w:header="0"/>
        </w:sectPr>
      </w:pPr>
    </w:p>
    <w:bookmarkStart w:id="193" w:name="page194"/>
    <w:bookmarkEnd w:id="1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The Empower Group A/S</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Tri County Business Services, Inc.</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94"/>
              </w:rPr>
              <w:t>Ohio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Panama, S.A.</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3"/>
              </w:rPr>
              <w:t>Panama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Temporales Panama, S.A.</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3"/>
              </w:rPr>
              <w:t>Panama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Paraguay</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3"/>
              </w:rPr>
              <w:t>Paraguay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Peru S.A.</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4"/>
              </w:rPr>
              <w:t>Peru</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Professional Services S.A.</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4"/>
              </w:rPr>
              <w:t>Peru</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Inc.</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5"/>
              </w:rPr>
              <w:t>Pennsylvania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Outsourcing Services Inc.</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91"/>
              </w:rPr>
              <w:t>Philippines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Prime Manpower Resources Development, Inc.</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91"/>
              </w:rPr>
              <w:t>Philippines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Polska SP. ZO. O</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5"/>
              </w:rPr>
              <w:t>Poland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Reunion</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9"/>
              </w:rPr>
              <w:t>Reunion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Romania SRL</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8"/>
              </w:rPr>
              <w:t>Romania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Bowker Consultants Pte. Ltd.</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7"/>
              </w:rPr>
              <w:t>Singapore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Center for Effective Leadership (Asia) Pte. Ltd.</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7"/>
              </w:rPr>
              <w:t>Singapore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Highly Effective Youth (Asia) Pte. Ltd.</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7"/>
              </w:rPr>
              <w:t>Singapore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Staffing Services (Singapore) Pte. Ltd.</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7"/>
              </w:rPr>
              <w:t>Singapore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The Empower Group (Asia) Ltd.</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7"/>
              </w:rPr>
              <w:t>Singapore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International Pty. Ltd.</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7"/>
              </w:rPr>
              <w:t>Singapore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Slovakia</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8"/>
              </w:rPr>
              <w:t>Slovakia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Apel Servis d.o.o.</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Slovenia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S.A. (Pty) Ltd.</w:t>
            </w:r>
          </w:p>
        </w:tc>
        <w:tc>
          <w:tcPr>
            <w:tcW w:w="6460" w:type="dxa"/>
            <w:vAlign w:val="bottom"/>
          </w:tcPr>
          <w:p>
            <w:pPr>
              <w:jc w:val="center"/>
              <w:ind w:left="5432"/>
              <w:spacing w:after="0"/>
              <w:rPr>
                <w:sz w:val="20"/>
                <w:szCs w:val="20"/>
                <w:color w:val="auto"/>
              </w:rPr>
            </w:pPr>
            <w:r>
              <w:rPr>
                <w:rFonts w:ascii="Arial" w:cs="Arial" w:eastAsia="Arial" w:hAnsi="Arial"/>
                <w:sz w:val="18"/>
                <w:szCs w:val="18"/>
                <w:color w:val="auto"/>
                <w:w w:val="91"/>
              </w:rPr>
              <w:t>South Africa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Vuya Manpower (Pty) Limited</w:t>
            </w:r>
          </w:p>
        </w:tc>
        <w:tc>
          <w:tcPr>
            <w:tcW w:w="6460" w:type="dxa"/>
            <w:vAlign w:val="bottom"/>
          </w:tcPr>
          <w:p>
            <w:pPr>
              <w:jc w:val="center"/>
              <w:ind w:left="5432"/>
              <w:spacing w:after="0"/>
              <w:rPr>
                <w:sz w:val="20"/>
                <w:szCs w:val="20"/>
                <w:color w:val="auto"/>
              </w:rPr>
            </w:pPr>
            <w:r>
              <w:rPr>
                <w:rFonts w:ascii="Arial" w:cs="Arial" w:eastAsia="Arial" w:hAnsi="Arial"/>
                <w:sz w:val="18"/>
                <w:szCs w:val="18"/>
                <w:color w:val="auto"/>
                <w:w w:val="91"/>
              </w:rPr>
              <w:t>South Africa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Vuya Manpower Contact Centre Solutions (Pty) Ltd.</w:t>
            </w:r>
          </w:p>
        </w:tc>
        <w:tc>
          <w:tcPr>
            <w:tcW w:w="6460" w:type="dxa"/>
            <w:vAlign w:val="bottom"/>
          </w:tcPr>
          <w:p>
            <w:pPr>
              <w:jc w:val="center"/>
              <w:ind w:left="5432"/>
              <w:spacing w:after="0"/>
              <w:rPr>
                <w:sz w:val="20"/>
                <w:szCs w:val="20"/>
                <w:color w:val="auto"/>
              </w:rPr>
            </w:pPr>
            <w:r>
              <w:rPr>
                <w:rFonts w:ascii="Arial" w:cs="Arial" w:eastAsia="Arial" w:hAnsi="Arial"/>
                <w:sz w:val="18"/>
                <w:szCs w:val="18"/>
                <w:color w:val="auto"/>
                <w:w w:val="91"/>
              </w:rPr>
              <w:t>South Africa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By Manpower S.L.U.</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Spain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IT Resource S.L.U.</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Spain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Link Externalizacion de Servicios, S.L.U.</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Spain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Team E.T.T., S.A.U.</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Spain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Iberia, S.L.</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Spain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MZTK Chefsrekrytering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IT Resources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Empower Solutions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INGroup Administration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INGroup Företagsservice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INGroup Förvaltning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INGroup Support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Health Partners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JKW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Boservice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Care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Contact Center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Construction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Facility Management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Industrieservice</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Security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Servicenter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Sverige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Mariedals Byggtjanst</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The Empower Group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Nordea Bemanning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Search &amp; Selection Sweden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Sinova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Sinova Sweden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Solutions INgroup Holding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Solutions INgroup Sweden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Solutions INgroup Contact Center AB</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86"/>
              </w:rPr>
              <w:t>Sweden</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Allegra Finanz AG</w:t>
            </w:r>
          </w:p>
        </w:tc>
        <w:tc>
          <w:tcPr>
            <w:tcW w:w="6460" w:type="dxa"/>
            <w:vAlign w:val="bottom"/>
          </w:tcPr>
          <w:p>
            <w:pPr>
              <w:jc w:val="center"/>
              <w:ind w:left="5452"/>
              <w:spacing w:after="0"/>
              <w:rPr>
                <w:sz w:val="20"/>
                <w:szCs w:val="20"/>
                <w:color w:val="auto"/>
              </w:rPr>
            </w:pPr>
            <w:r>
              <w:rPr>
                <w:rFonts w:ascii="Arial" w:cs="Arial" w:eastAsia="Arial" w:hAnsi="Arial"/>
                <w:sz w:val="18"/>
                <w:szCs w:val="18"/>
                <w:color w:val="auto"/>
                <w:w w:val="90"/>
              </w:rPr>
              <w:t>Switzerland</w:t>
            </w:r>
          </w:p>
        </w:tc>
      </w:tr>
      <w:tr>
        <w:trPr>
          <w:trHeight w:val="365"/>
        </w:trPr>
        <w:tc>
          <w:tcPr>
            <w:tcW w:w="4740" w:type="dxa"/>
            <w:vAlign w:val="bottom"/>
          </w:tcPr>
          <w:p>
            <w:pPr>
              <w:spacing w:after="0"/>
              <w:rPr>
                <w:sz w:val="24"/>
                <w:szCs w:val="24"/>
                <w:color w:val="auto"/>
              </w:rPr>
            </w:pPr>
          </w:p>
        </w:tc>
        <w:tc>
          <w:tcPr>
            <w:tcW w:w="6460" w:type="dxa"/>
            <w:vAlign w:val="bottom"/>
          </w:tcPr>
          <w:p>
            <w:pPr>
              <w:jc w:val="right"/>
              <w:ind w:right="535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00"/>
          </w:cols>
          <w:pgMar w:left="240" w:top="280" w:right="459" w:bottom="1440" w:gutter="0" w:footer="0" w:header="0"/>
        </w:sectPr>
      </w:pPr>
    </w:p>
    <w:bookmarkStart w:id="194" w:name="page195"/>
    <w:bookmarkEnd w:id="1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Computing (Schweiz) AG, Zurich</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M.S.A.</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Holding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HR Management S.A.</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Worklink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Telecommunications GmbH</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Ambridge Professional Services GmbH</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Coutts (Schweiz)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MRC Consulting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Services (Taiwan) Co.,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9"/>
              </w:rPr>
              <w:t>Taiwan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Recruitment Solutions Co.,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2"/>
              </w:rPr>
              <w:t>Thailand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Skillpower Services (Thailand) Co.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2"/>
              </w:rPr>
              <w:t>Thailand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(Pathumwan) Professional Services Co.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2"/>
              </w:rPr>
              <w:t>Thailand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Tunisie</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9"/>
              </w:rPr>
              <w:t>Tunisia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Insan Kaynaklari Limited Sirketi</w:t>
            </w:r>
          </w:p>
        </w:tc>
        <w:tc>
          <w:tcPr>
            <w:tcW w:w="6380" w:type="dxa"/>
            <w:vAlign w:val="bottom"/>
          </w:tcPr>
          <w:p>
            <w:pPr>
              <w:jc w:val="center"/>
              <w:ind w:left="5072"/>
              <w:spacing w:after="0"/>
              <w:rPr>
                <w:sz w:val="20"/>
                <w:szCs w:val="20"/>
                <w:color w:val="auto"/>
              </w:rPr>
            </w:pPr>
            <w:r>
              <w:rPr>
                <w:rFonts w:ascii="Arial" w:cs="Arial" w:eastAsia="Arial" w:hAnsi="Arial"/>
                <w:sz w:val="18"/>
                <w:szCs w:val="18"/>
                <w:color w:val="auto"/>
                <w:w w:val="90"/>
              </w:rPr>
              <w:t>Turkey</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Secme ve Yerlestirme Hizmetleri Limited Sirketi</w:t>
            </w:r>
          </w:p>
        </w:tc>
        <w:tc>
          <w:tcPr>
            <w:tcW w:w="6380" w:type="dxa"/>
            <w:vAlign w:val="bottom"/>
          </w:tcPr>
          <w:p>
            <w:pPr>
              <w:jc w:val="center"/>
              <w:ind w:left="5072"/>
              <w:spacing w:after="0"/>
              <w:rPr>
                <w:sz w:val="20"/>
                <w:szCs w:val="20"/>
                <w:color w:val="auto"/>
              </w:rPr>
            </w:pPr>
            <w:r>
              <w:rPr>
                <w:rFonts w:ascii="Arial" w:cs="Arial" w:eastAsia="Arial" w:hAnsi="Arial"/>
                <w:sz w:val="18"/>
                <w:szCs w:val="18"/>
                <w:color w:val="auto"/>
                <w:w w:val="90"/>
              </w:rPr>
              <w:t>Turkey</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Bafin (UK)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Bafin Holdings</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Bafin Services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Brook Street Bureau PLC</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Brook Street (UK)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BS Project Services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Challoners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The Empower Group (UK)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DP Support Services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Computing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Group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Resource Support Services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Telecommunications Group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Telecommunications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Ferribush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Girlpower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(UK)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Contract Services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Holdings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IT Services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Nominees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Public Limited Company</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Services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Nicholas Andrews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Overdrive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Psyconsult International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Salespower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Screenactive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SHL Group PLC</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Temp Finance &amp; Accounting Service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Telecommunications Group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The Empower Group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The Trotman Group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Trotman &amp; Company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Working Links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Alternative International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Atlas Group Holdings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Coutts Career Consultants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Coutts Holdings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Coutts Outplacement International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Associates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Right Corecare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365"/>
        </w:trPr>
        <w:tc>
          <w:tcPr>
            <w:tcW w:w="4960" w:type="dxa"/>
            <w:vAlign w:val="bottom"/>
          </w:tcPr>
          <w:p>
            <w:pPr>
              <w:spacing w:after="0"/>
              <w:rPr>
                <w:sz w:val="24"/>
                <w:szCs w:val="24"/>
                <w:color w:val="auto"/>
              </w:rPr>
            </w:pPr>
          </w:p>
        </w:tc>
        <w:tc>
          <w:tcPr>
            <w:tcW w:w="6380" w:type="dxa"/>
            <w:vAlign w:val="bottom"/>
          </w:tcPr>
          <w:p>
            <w:pPr>
              <w:jc w:val="right"/>
              <w:ind w:right="549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40"/>
          </w:cols>
          <w:pgMar w:left="240" w:top="280" w:right="319" w:bottom="1440" w:gutter="0" w:footer="0" w:header="0"/>
        </w:sectPr>
      </w:pPr>
    </w:p>
    <w:bookmarkStart w:id="195" w:name="page196"/>
    <w:bookmarkEnd w:id="1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Right Coutts Consulting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Right Coutts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Right Management Consultants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CSCB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Winkfield Place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Jefferson Wells,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Aris Sociedad Anonima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8"/>
              </w:rPr>
              <w:t>Uruguay</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de Venezuela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Empresa de Trabajo Temporal,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Servicios Alleray,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Right Associates Government Services,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Virginia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Nominees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of Indiana Limited Partnership</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of Texas Limited Partnership</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Professional Services,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Texas Holdings LLC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Resource Consulting Group,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Signature Graphics of Milwaukee,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365"/>
        </w:trPr>
        <w:tc>
          <w:tcPr>
            <w:tcW w:w="4520" w:type="dxa"/>
            <w:vAlign w:val="bottom"/>
          </w:tcPr>
          <w:p>
            <w:pPr>
              <w:spacing w:after="0"/>
              <w:rPr>
                <w:sz w:val="24"/>
                <w:szCs w:val="24"/>
                <w:color w:val="auto"/>
              </w:rPr>
            </w:pPr>
          </w:p>
        </w:tc>
        <w:tc>
          <w:tcPr>
            <w:tcW w:w="6820" w:type="dxa"/>
            <w:vAlign w:val="bottom"/>
          </w:tcPr>
          <w:p>
            <w:pPr>
              <w:jc w:val="right"/>
              <w:ind w:right="5492"/>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340"/>
          </w:cols>
          <w:pgMar w:left="240" w:top="280"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t>Exhibit 23.1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 on Form S-8 (Nos. 33-40441, 33-55264, 33-84736, 333-1040, 333-31021, 333-82459, 333-66656, 333-105205 and 333-112164), Form S-3 (Nos. 33-89660, 333-6545, 333-71040) and Form S-4 (File Nos. 333-650, 33-95896 and 333-87554) of Manpower Inc. of our report dated February 16, 2005 relating to the financial statements, management’s assessment of the effectiveness of internal control over financial reporting and the effectiveness of internal control over financial reporting, which appears in the Annual Report to Shareholders, which is incorporated in this Annual Report on Form 10-K. We also consent to the incorporation by reference of our report dated February 16, 2005 relating to the financial statement schedule, which appears in this Form 10-K.</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2005</w:t>
      </w:r>
    </w:p>
    <w:p>
      <w:pPr>
        <w:sectPr>
          <w:pgSz w:w="11900" w:h="16838" w:orient="portrait"/>
          <w:cols w:equalWidth="0" w:num="1">
            <w:col w:w="11420"/>
          </w:cols>
          <w:pgMar w:left="240" w:top="280"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t>Exhibit 24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2004,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14th day of January, 2005.</w:t>
      </w:r>
    </w:p>
    <w:p>
      <w:pPr>
        <w:sectPr>
          <w:pgSz w:w="11900" w:h="16838" w:orient="portrait"/>
          <w:cols w:equalWidth="0" w:num="1">
            <w:col w:w="11420"/>
          </w:cols>
          <w:pgMar w:left="240" w:top="280" w:right="239" w:bottom="1440" w:gutter="0" w:footer="0" w:header="0"/>
        </w:sect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jc w:val="center"/>
              <w:ind w:right="1723"/>
              <w:spacing w:after="0"/>
              <w:rPr>
                <w:sz w:val="20"/>
                <w:szCs w:val="20"/>
                <w:color w:val="auto"/>
              </w:rPr>
            </w:pPr>
            <w:r>
              <w:rPr>
                <w:rFonts w:ascii="Arial" w:cs="Arial" w:eastAsia="Arial" w:hAnsi="Arial"/>
                <w:sz w:val="18"/>
                <w:szCs w:val="18"/>
                <w:color w:val="auto"/>
                <w:w w:val="99"/>
              </w:rPr>
              <w:t>J. T</w:t>
            </w:r>
            <w:r>
              <w:rPr>
                <w:rFonts w:ascii="Arial" w:cs="Arial" w:eastAsia="Arial" w:hAnsi="Arial"/>
                <w:sz w:val="14"/>
                <w:szCs w:val="14"/>
                <w:color w:val="auto"/>
                <w:w w:val="99"/>
              </w:rPr>
              <w:t>HOMAS</w:t>
            </w:r>
            <w:r>
              <w:rPr>
                <w:rFonts w:ascii="Arial" w:cs="Arial" w:eastAsia="Arial" w:hAnsi="Arial"/>
                <w:sz w:val="18"/>
                <w:szCs w:val="18"/>
                <w:color w:val="auto"/>
                <w:w w:val="99"/>
              </w:rPr>
              <w:t xml:space="preserve"> B</w:t>
            </w:r>
            <w:r>
              <w:rPr>
                <w:rFonts w:ascii="Arial" w:cs="Arial" w:eastAsia="Arial" w:hAnsi="Arial"/>
                <w:sz w:val="14"/>
                <w:szCs w:val="14"/>
                <w:color w:val="auto"/>
                <w:w w:val="99"/>
              </w:rPr>
              <w:t>OUCHARD</w:t>
            </w:r>
          </w:p>
        </w:tc>
      </w:tr>
      <w:tr>
        <w:trPr>
          <w:trHeight w:val="169"/>
        </w:trPr>
        <w:tc>
          <w:tcPr>
            <w:tcW w:w="1860" w:type="dxa"/>
            <w:vAlign w:val="bottom"/>
          </w:tcPr>
          <w:p>
            <w:pPr>
              <w:spacing w:after="0"/>
              <w:rPr>
                <w:sz w:val="14"/>
                <w:szCs w:val="14"/>
                <w:color w:val="auto"/>
              </w:rPr>
            </w:pPr>
          </w:p>
        </w:tc>
        <w:tc>
          <w:tcPr>
            <w:tcW w:w="3520" w:type="dxa"/>
            <w:vAlign w:val="bottom"/>
          </w:tcPr>
          <w:p>
            <w:pPr>
              <w:jc w:val="center"/>
              <w:ind w:right="1763"/>
              <w:spacing w:after="0"/>
              <w:rPr>
                <w:sz w:val="20"/>
                <w:szCs w:val="20"/>
                <w:color w:val="auto"/>
              </w:rPr>
            </w:pPr>
            <w:r>
              <w:rPr>
                <w:rFonts w:ascii="Arial" w:cs="Arial" w:eastAsia="Arial" w:hAnsi="Arial"/>
                <w:sz w:val="14"/>
                <w:szCs w:val="14"/>
                <w:b w:val="1"/>
                <w:bCs w:val="1"/>
                <w:color w:val="auto"/>
                <w:w w:val="86"/>
              </w:rPr>
              <w:t>J. Thomas Bouchard</w:t>
            </w:r>
          </w:p>
        </w:tc>
      </w:tr>
      <w:tr>
        <w:trPr>
          <w:trHeight w:val="405"/>
        </w:trPr>
        <w:tc>
          <w:tcPr>
            <w:tcW w:w="186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jc w:val="center"/>
              <w:ind w:right="1723"/>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ARC</w:t>
            </w:r>
            <w:r>
              <w:rPr>
                <w:rFonts w:ascii="Arial" w:cs="Arial" w:eastAsia="Arial" w:hAnsi="Arial"/>
                <w:sz w:val="18"/>
                <w:szCs w:val="18"/>
                <w:color w:val="auto"/>
                <w:w w:val="98"/>
              </w:rPr>
              <w:t>. J. B</w:t>
            </w:r>
            <w:r>
              <w:rPr>
                <w:rFonts w:ascii="Arial" w:cs="Arial" w:eastAsia="Arial" w:hAnsi="Arial"/>
                <w:sz w:val="14"/>
                <w:szCs w:val="14"/>
                <w:color w:val="auto"/>
                <w:w w:val="98"/>
              </w:rPr>
              <w:t>OLLAND</w:t>
            </w:r>
          </w:p>
        </w:tc>
      </w:tr>
      <w:tr>
        <w:trPr>
          <w:trHeight w:val="169"/>
        </w:trPr>
        <w:tc>
          <w:tcPr>
            <w:tcW w:w="1860" w:type="dxa"/>
            <w:vAlign w:val="bottom"/>
          </w:tcPr>
          <w:p>
            <w:pPr>
              <w:spacing w:after="0"/>
              <w:rPr>
                <w:sz w:val="14"/>
                <w:szCs w:val="14"/>
                <w:color w:val="auto"/>
              </w:rPr>
            </w:pPr>
          </w:p>
        </w:tc>
        <w:tc>
          <w:tcPr>
            <w:tcW w:w="3520" w:type="dxa"/>
            <w:vAlign w:val="bottom"/>
          </w:tcPr>
          <w:p>
            <w:pPr>
              <w:jc w:val="center"/>
              <w:ind w:right="1763"/>
              <w:spacing w:after="0"/>
              <w:rPr>
                <w:sz w:val="20"/>
                <w:szCs w:val="20"/>
                <w:color w:val="auto"/>
              </w:rPr>
            </w:pPr>
            <w:r>
              <w:rPr>
                <w:rFonts w:ascii="Arial" w:cs="Arial" w:eastAsia="Arial" w:hAnsi="Arial"/>
                <w:sz w:val="14"/>
                <w:szCs w:val="14"/>
                <w:b w:val="1"/>
                <w:bCs w:val="1"/>
                <w:color w:val="auto"/>
                <w:w w:val="89"/>
              </w:rPr>
              <w:t>Marc. J. Bolland</w:t>
            </w:r>
          </w:p>
        </w:tc>
      </w:tr>
      <w:tr>
        <w:trPr>
          <w:trHeight w:val="405"/>
        </w:trPr>
        <w:tc>
          <w:tcPr>
            <w:tcW w:w="18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jc w:val="center"/>
              <w:ind w:right="1723"/>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TEPHANIE</w:t>
            </w:r>
            <w:r>
              <w:rPr>
                <w:rFonts w:ascii="Arial" w:cs="Arial" w:eastAsia="Arial" w:hAnsi="Arial"/>
                <w:sz w:val="18"/>
                <w:szCs w:val="18"/>
                <w:color w:val="auto"/>
                <w:w w:val="97"/>
              </w:rPr>
              <w:t xml:space="preserve"> A. B</w:t>
            </w:r>
            <w:r>
              <w:rPr>
                <w:rFonts w:ascii="Arial" w:cs="Arial" w:eastAsia="Arial" w:hAnsi="Arial"/>
                <w:sz w:val="14"/>
                <w:szCs w:val="14"/>
                <w:color w:val="auto"/>
                <w:w w:val="97"/>
              </w:rPr>
              <w:t>URNS</w:t>
            </w:r>
          </w:p>
        </w:tc>
      </w:tr>
      <w:tr>
        <w:trPr>
          <w:trHeight w:val="169"/>
        </w:trPr>
        <w:tc>
          <w:tcPr>
            <w:tcW w:w="1860" w:type="dxa"/>
            <w:vAlign w:val="bottom"/>
          </w:tcPr>
          <w:p>
            <w:pPr>
              <w:spacing w:after="0"/>
              <w:rPr>
                <w:sz w:val="14"/>
                <w:szCs w:val="14"/>
                <w:color w:val="auto"/>
              </w:rPr>
            </w:pPr>
          </w:p>
        </w:tc>
        <w:tc>
          <w:tcPr>
            <w:tcW w:w="3520" w:type="dxa"/>
            <w:vAlign w:val="bottom"/>
          </w:tcPr>
          <w:p>
            <w:pPr>
              <w:jc w:val="center"/>
              <w:ind w:right="1763"/>
              <w:spacing w:after="0"/>
              <w:rPr>
                <w:sz w:val="20"/>
                <w:szCs w:val="20"/>
                <w:color w:val="auto"/>
              </w:rPr>
            </w:pPr>
            <w:r>
              <w:rPr>
                <w:rFonts w:ascii="Arial" w:cs="Arial" w:eastAsia="Arial" w:hAnsi="Arial"/>
                <w:sz w:val="14"/>
                <w:szCs w:val="14"/>
                <w:b w:val="1"/>
                <w:bCs w:val="1"/>
                <w:color w:val="auto"/>
                <w:w w:val="86"/>
              </w:rPr>
              <w:t>Stephanie A. Burns</w:t>
            </w:r>
          </w:p>
        </w:tc>
      </w:tr>
      <w:tr>
        <w:trPr>
          <w:trHeight w:val="405"/>
        </w:trPr>
        <w:tc>
          <w:tcPr>
            <w:tcW w:w="538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ILLIE</w:t>
            </w:r>
            <w:r>
              <w:rPr>
                <w:rFonts w:ascii="Arial" w:cs="Arial" w:eastAsia="Arial" w:hAnsi="Arial"/>
                <w:sz w:val="18"/>
                <w:szCs w:val="18"/>
                <w:color w:val="auto"/>
              </w:rPr>
              <w:t xml:space="preserve"> D. D</w:t>
            </w:r>
            <w:r>
              <w:rPr>
                <w:rFonts w:ascii="Arial" w:cs="Arial" w:eastAsia="Arial" w:hAnsi="Arial"/>
                <w:sz w:val="14"/>
                <w:szCs w:val="14"/>
                <w:color w:val="auto"/>
              </w:rPr>
              <w:t>AVIS</w:t>
            </w:r>
          </w:p>
        </w:tc>
      </w:tr>
      <w:tr>
        <w:trPr>
          <w:trHeight w:val="169"/>
        </w:trPr>
        <w:tc>
          <w:tcPr>
            <w:tcW w:w="1860" w:type="dxa"/>
            <w:vAlign w:val="bottom"/>
          </w:tcPr>
          <w:p>
            <w:pPr>
              <w:spacing w:after="0"/>
              <w:rPr>
                <w:sz w:val="14"/>
                <w:szCs w:val="14"/>
                <w:color w:val="auto"/>
              </w:rPr>
            </w:pPr>
          </w:p>
        </w:tc>
        <w:tc>
          <w:tcPr>
            <w:tcW w:w="3520" w:type="dxa"/>
            <w:vAlign w:val="bottom"/>
          </w:tcPr>
          <w:p>
            <w:pPr>
              <w:jc w:val="center"/>
              <w:ind w:right="1783"/>
              <w:spacing w:after="0"/>
              <w:rPr>
                <w:sz w:val="20"/>
                <w:szCs w:val="20"/>
                <w:color w:val="auto"/>
              </w:rPr>
            </w:pPr>
            <w:r>
              <w:rPr>
                <w:rFonts w:ascii="Arial" w:cs="Arial" w:eastAsia="Arial" w:hAnsi="Arial"/>
                <w:sz w:val="14"/>
                <w:szCs w:val="14"/>
                <w:b w:val="1"/>
                <w:bCs w:val="1"/>
                <w:color w:val="auto"/>
                <w:w w:val="89"/>
              </w:rPr>
              <w:t>Willie D. Davis</w:t>
            </w:r>
          </w:p>
        </w:tc>
      </w:tr>
      <w:tr>
        <w:trPr>
          <w:trHeight w:val="405"/>
        </w:trPr>
        <w:tc>
          <w:tcPr>
            <w:tcW w:w="186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jc w:val="center"/>
              <w:ind w:right="1723"/>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ACK</w:t>
            </w:r>
            <w:r>
              <w:rPr>
                <w:rFonts w:ascii="Arial" w:cs="Arial" w:eastAsia="Arial" w:hAnsi="Arial"/>
                <w:sz w:val="18"/>
                <w:szCs w:val="18"/>
                <w:color w:val="auto"/>
                <w:w w:val="97"/>
              </w:rPr>
              <w:t xml:space="preserve"> M. G</w:t>
            </w:r>
            <w:r>
              <w:rPr>
                <w:rFonts w:ascii="Arial" w:cs="Arial" w:eastAsia="Arial" w:hAnsi="Arial"/>
                <w:sz w:val="14"/>
                <w:szCs w:val="14"/>
                <w:color w:val="auto"/>
                <w:w w:val="97"/>
              </w:rPr>
              <w:t>REENBERG</w:t>
            </w:r>
          </w:p>
        </w:tc>
      </w:tr>
      <w:tr>
        <w:trPr>
          <w:trHeight w:val="169"/>
        </w:trPr>
        <w:tc>
          <w:tcPr>
            <w:tcW w:w="1860" w:type="dxa"/>
            <w:vAlign w:val="bottom"/>
          </w:tcPr>
          <w:p>
            <w:pPr>
              <w:spacing w:after="0"/>
              <w:rPr>
                <w:sz w:val="14"/>
                <w:szCs w:val="14"/>
                <w:color w:val="auto"/>
              </w:rPr>
            </w:pPr>
          </w:p>
        </w:tc>
        <w:tc>
          <w:tcPr>
            <w:tcW w:w="3520" w:type="dxa"/>
            <w:vAlign w:val="bottom"/>
          </w:tcPr>
          <w:p>
            <w:pPr>
              <w:jc w:val="center"/>
              <w:ind w:right="1763"/>
              <w:spacing w:after="0"/>
              <w:rPr>
                <w:sz w:val="20"/>
                <w:szCs w:val="20"/>
                <w:color w:val="auto"/>
              </w:rPr>
            </w:pPr>
            <w:r>
              <w:rPr>
                <w:rFonts w:ascii="Arial" w:cs="Arial" w:eastAsia="Arial" w:hAnsi="Arial"/>
                <w:sz w:val="14"/>
                <w:szCs w:val="14"/>
                <w:b w:val="1"/>
                <w:bCs w:val="1"/>
                <w:color w:val="auto"/>
                <w:w w:val="89"/>
              </w:rPr>
              <w:t>Jack M. Greenberg</w:t>
            </w:r>
          </w:p>
        </w:tc>
      </w:tr>
      <w:tr>
        <w:trPr>
          <w:trHeight w:val="413"/>
        </w:trPr>
        <w:tc>
          <w:tcPr>
            <w:tcW w:w="186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w w:val="94"/>
              </w:rPr>
              <w:t>/s/</w:t>
            </w:r>
          </w:p>
        </w:tc>
        <w:tc>
          <w:tcPr>
            <w:tcW w:w="3520" w:type="dxa"/>
            <w:vAlign w:val="bottom"/>
            <w:tcBorders>
              <w:bottom w:val="single" w:sz="8" w:color="auto"/>
            </w:tcBorders>
          </w:tcPr>
          <w:p>
            <w:pPr>
              <w:jc w:val="center"/>
              <w:ind w:right="1743"/>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ERRY</w:t>
            </w:r>
            <w:r>
              <w:rPr>
                <w:rFonts w:ascii="Arial" w:cs="Arial" w:eastAsia="Arial" w:hAnsi="Arial"/>
                <w:sz w:val="18"/>
                <w:szCs w:val="18"/>
                <w:color w:val="auto"/>
                <w:w w:val="98"/>
              </w:rPr>
              <w:t xml:space="preserve"> A. H</w:t>
            </w:r>
            <w:r>
              <w:rPr>
                <w:rFonts w:ascii="Arial" w:cs="Arial" w:eastAsia="Arial" w:hAnsi="Arial"/>
                <w:sz w:val="14"/>
                <w:szCs w:val="14"/>
                <w:color w:val="auto"/>
                <w:w w:val="98"/>
              </w:rPr>
              <w:t>UENEKE</w:t>
            </w:r>
          </w:p>
        </w:tc>
      </w:tr>
      <w:tr>
        <w:trPr>
          <w:trHeight w:val="174"/>
        </w:trPr>
        <w:tc>
          <w:tcPr>
            <w:tcW w:w="1860" w:type="dxa"/>
            <w:vAlign w:val="bottom"/>
          </w:tcPr>
          <w:p>
            <w:pPr>
              <w:spacing w:after="0"/>
              <w:rPr>
                <w:sz w:val="15"/>
                <w:szCs w:val="15"/>
                <w:color w:val="auto"/>
              </w:rPr>
            </w:pPr>
          </w:p>
        </w:tc>
        <w:tc>
          <w:tcPr>
            <w:tcW w:w="3520" w:type="dxa"/>
            <w:vAlign w:val="bottom"/>
          </w:tcPr>
          <w:p>
            <w:pPr>
              <w:jc w:val="center"/>
              <w:ind w:right="1763"/>
              <w:spacing w:after="0"/>
              <w:rPr>
                <w:sz w:val="20"/>
                <w:szCs w:val="20"/>
                <w:color w:val="auto"/>
              </w:rPr>
            </w:pPr>
            <w:r>
              <w:rPr>
                <w:rFonts w:ascii="Arial" w:cs="Arial" w:eastAsia="Arial" w:hAnsi="Arial"/>
                <w:sz w:val="14"/>
                <w:szCs w:val="14"/>
                <w:b w:val="1"/>
                <w:bCs w:val="1"/>
                <w:color w:val="auto"/>
                <w:w w:val="90"/>
              </w:rPr>
              <w:t>Terry A. Hueneke</w:t>
            </w:r>
          </w:p>
        </w:tc>
      </w:tr>
    </w:tbl>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47345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4"/>
          <w:szCs w:val="14"/>
          <w:b w:val="1"/>
          <w:bCs w:val="1"/>
          <w:color w:val="auto"/>
        </w:rPr>
        <w:t>Jeffrey A. Joerres</w:t>
      </w:r>
    </w:p>
    <w:p>
      <w:pPr>
        <w:spacing w:after="0" w:line="208" w:lineRule="exact"/>
        <w:rPr>
          <w:sz w:val="20"/>
          <w:szCs w:val="20"/>
          <w:color w:val="auto"/>
        </w:rPr>
      </w:pPr>
    </w:p>
    <w:p>
      <w:pPr>
        <w:ind w:left="1640"/>
        <w:spacing w:after="0"/>
        <w:tabs>
          <w:tab w:leader="none" w:pos="19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OZANNE</w:t>
      </w:r>
      <w:r>
        <w:rPr>
          <w:rFonts w:ascii="Arial" w:cs="Arial" w:eastAsia="Arial" w:hAnsi="Arial"/>
          <w:sz w:val="16"/>
          <w:szCs w:val="16"/>
          <w:color w:val="auto"/>
        </w:rPr>
        <w:t xml:space="preserve"> L. R</w:t>
      </w:r>
      <w:r>
        <w:rPr>
          <w:rFonts w:ascii="Arial" w:cs="Arial" w:eastAsia="Arial" w:hAnsi="Arial"/>
          <w:sz w:val="13"/>
          <w:szCs w:val="13"/>
          <w:color w:val="auto"/>
        </w:rPr>
        <w:t>IDGWAY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1864"/>
              <w:spacing w:after="0"/>
              <w:rPr>
                <w:sz w:val="20"/>
                <w:szCs w:val="20"/>
                <w:color w:val="auto"/>
              </w:rPr>
            </w:pPr>
            <w:r>
              <w:rPr>
                <w:rFonts w:ascii="Arial" w:cs="Arial" w:eastAsia="Arial" w:hAnsi="Arial"/>
                <w:sz w:val="14"/>
                <w:szCs w:val="14"/>
                <w:b w:val="1"/>
                <w:bCs w:val="1"/>
                <w:color w:val="auto"/>
                <w:w w:val="88"/>
              </w:rPr>
              <w:t>Rozanne L. Ridgway</w:t>
            </w:r>
          </w:p>
        </w:tc>
      </w:tr>
      <w:tr>
        <w:trPr>
          <w:trHeight w:val="401"/>
        </w:trPr>
        <w:tc>
          <w:tcPr>
            <w:tcW w:w="2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/s/</w:t>
            </w:r>
          </w:p>
        </w:tc>
        <w:tc>
          <w:tcPr>
            <w:tcW w:w="3420" w:type="dxa"/>
            <w:vAlign w:val="bottom"/>
            <w:tcBorders>
              <w:bottom w:val="single" w:sz="8" w:color="auto"/>
            </w:tcBorders>
          </w:tcPr>
          <w:p>
            <w:pPr>
              <w:jc w:val="center"/>
              <w:ind w:right="1824"/>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S</w:t>
            </w:r>
            <w:r>
              <w:rPr>
                <w:rFonts w:ascii="Arial" w:cs="Arial" w:eastAsia="Arial" w:hAnsi="Arial"/>
                <w:sz w:val="14"/>
                <w:szCs w:val="14"/>
                <w:color w:val="auto"/>
                <w:w w:val="98"/>
              </w:rPr>
              <w:t>TEVENSON</w:t>
            </w:r>
          </w:p>
        </w:tc>
      </w:tr>
      <w:tr>
        <w:trPr>
          <w:trHeight w:val="169"/>
        </w:trPr>
        <w:tc>
          <w:tcPr>
            <w:tcW w:w="2040" w:type="dxa"/>
            <w:vAlign w:val="bottom"/>
          </w:tcPr>
          <w:p>
            <w:pPr>
              <w:spacing w:after="0"/>
              <w:rPr>
                <w:sz w:val="14"/>
                <w:szCs w:val="14"/>
                <w:color w:val="auto"/>
              </w:rPr>
            </w:pPr>
          </w:p>
        </w:tc>
        <w:tc>
          <w:tcPr>
            <w:tcW w:w="3420" w:type="dxa"/>
            <w:vAlign w:val="bottom"/>
          </w:tcPr>
          <w:p>
            <w:pPr>
              <w:jc w:val="center"/>
              <w:ind w:right="1864"/>
              <w:spacing w:after="0"/>
              <w:rPr>
                <w:sz w:val="20"/>
                <w:szCs w:val="20"/>
                <w:color w:val="auto"/>
              </w:rPr>
            </w:pPr>
            <w:r>
              <w:rPr>
                <w:rFonts w:ascii="Arial" w:cs="Arial" w:eastAsia="Arial" w:hAnsi="Arial"/>
                <w:sz w:val="14"/>
                <w:szCs w:val="14"/>
                <w:b w:val="1"/>
                <w:bCs w:val="1"/>
                <w:color w:val="auto"/>
                <w:w w:val="82"/>
              </w:rPr>
              <w:t>Dennis Stevenson</w:t>
            </w:r>
          </w:p>
        </w:tc>
      </w:tr>
      <w:tr>
        <w:trPr>
          <w:trHeight w:val="405"/>
        </w:trPr>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3420" w:type="dxa"/>
            <w:vAlign w:val="bottom"/>
            <w:tcBorders>
              <w:bottom w:val="single" w:sz="8" w:color="auto"/>
            </w:tcBorders>
          </w:tcPr>
          <w:p>
            <w:pPr>
              <w:jc w:val="center"/>
              <w:ind w:right="1804"/>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OHN</w:t>
            </w:r>
            <w:r>
              <w:rPr>
                <w:rFonts w:ascii="Arial" w:cs="Arial" w:eastAsia="Arial" w:hAnsi="Arial"/>
                <w:sz w:val="18"/>
                <w:szCs w:val="18"/>
                <w:color w:val="auto"/>
                <w:w w:val="96"/>
              </w:rPr>
              <w:t xml:space="preserve"> R. W</w:t>
            </w:r>
            <w:r>
              <w:rPr>
                <w:rFonts w:ascii="Arial" w:cs="Arial" w:eastAsia="Arial" w:hAnsi="Arial"/>
                <w:sz w:val="14"/>
                <w:szCs w:val="14"/>
                <w:color w:val="auto"/>
                <w:w w:val="96"/>
              </w:rPr>
              <w:t>ALTER</w:t>
            </w:r>
          </w:p>
        </w:tc>
      </w:tr>
      <w:tr>
        <w:trPr>
          <w:trHeight w:val="169"/>
        </w:trPr>
        <w:tc>
          <w:tcPr>
            <w:tcW w:w="2040" w:type="dxa"/>
            <w:vAlign w:val="bottom"/>
          </w:tcPr>
          <w:p>
            <w:pPr>
              <w:spacing w:after="0"/>
              <w:rPr>
                <w:sz w:val="14"/>
                <w:szCs w:val="14"/>
                <w:color w:val="auto"/>
              </w:rPr>
            </w:pPr>
          </w:p>
        </w:tc>
        <w:tc>
          <w:tcPr>
            <w:tcW w:w="3420" w:type="dxa"/>
            <w:vAlign w:val="bottom"/>
          </w:tcPr>
          <w:p>
            <w:pPr>
              <w:jc w:val="center"/>
              <w:ind w:right="1864"/>
              <w:spacing w:after="0"/>
              <w:rPr>
                <w:sz w:val="20"/>
                <w:szCs w:val="20"/>
                <w:color w:val="auto"/>
              </w:rPr>
            </w:pPr>
            <w:r>
              <w:rPr>
                <w:rFonts w:ascii="Arial" w:cs="Arial" w:eastAsia="Arial" w:hAnsi="Arial"/>
                <w:sz w:val="14"/>
                <w:szCs w:val="14"/>
                <w:b w:val="1"/>
                <w:bCs w:val="1"/>
                <w:color w:val="auto"/>
                <w:w w:val="89"/>
              </w:rPr>
              <w:t>John R. Walter</w:t>
            </w:r>
          </w:p>
        </w:tc>
      </w:tr>
      <w:tr>
        <w:trPr>
          <w:trHeight w:val="405"/>
        </w:trPr>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3420" w:type="dxa"/>
            <w:vAlign w:val="bottom"/>
            <w:tcBorders>
              <w:bottom w:val="single" w:sz="8" w:color="auto"/>
            </w:tcBorders>
          </w:tcPr>
          <w:p>
            <w:pPr>
              <w:jc w:val="center"/>
              <w:ind w:right="1824"/>
              <w:spacing w:after="0"/>
              <w:rPr>
                <w:sz w:val="20"/>
                <w:szCs w:val="20"/>
                <w:color w:val="auto"/>
              </w:rPr>
            </w:pPr>
            <w:r>
              <w:rPr>
                <w:rFonts w:ascii="Arial" w:cs="Arial" w:eastAsia="Arial" w:hAnsi="Arial"/>
                <w:sz w:val="18"/>
                <w:szCs w:val="18"/>
                <w:color w:val="auto"/>
                <w:w w:val="95"/>
              </w:rPr>
              <w:t>E</w:t>
            </w:r>
            <w:r>
              <w:rPr>
                <w:rFonts w:ascii="Arial" w:cs="Arial" w:eastAsia="Arial" w:hAnsi="Arial"/>
                <w:sz w:val="14"/>
                <w:szCs w:val="14"/>
                <w:color w:val="auto"/>
                <w:w w:val="95"/>
              </w:rPr>
              <w:t>DWARD</w:t>
            </w:r>
            <w:r>
              <w:rPr>
                <w:rFonts w:ascii="Arial" w:cs="Arial" w:eastAsia="Arial" w:hAnsi="Arial"/>
                <w:sz w:val="18"/>
                <w:szCs w:val="18"/>
                <w:color w:val="auto"/>
                <w:w w:val="95"/>
              </w:rPr>
              <w:t xml:space="preserve"> J. Z</w:t>
            </w:r>
            <w:r>
              <w:rPr>
                <w:rFonts w:ascii="Arial" w:cs="Arial" w:eastAsia="Arial" w:hAnsi="Arial"/>
                <w:sz w:val="14"/>
                <w:szCs w:val="14"/>
                <w:color w:val="auto"/>
                <w:w w:val="95"/>
              </w:rPr>
              <w:t>ORE</w:t>
            </w:r>
          </w:p>
        </w:tc>
      </w:tr>
      <w:tr>
        <w:trPr>
          <w:trHeight w:val="169"/>
        </w:trPr>
        <w:tc>
          <w:tcPr>
            <w:tcW w:w="2040" w:type="dxa"/>
            <w:vAlign w:val="bottom"/>
          </w:tcPr>
          <w:p>
            <w:pPr>
              <w:spacing w:after="0"/>
              <w:rPr>
                <w:sz w:val="14"/>
                <w:szCs w:val="14"/>
                <w:color w:val="auto"/>
              </w:rPr>
            </w:pPr>
          </w:p>
        </w:tc>
        <w:tc>
          <w:tcPr>
            <w:tcW w:w="3420" w:type="dxa"/>
            <w:vAlign w:val="bottom"/>
          </w:tcPr>
          <w:p>
            <w:pPr>
              <w:jc w:val="center"/>
              <w:ind w:right="1864"/>
              <w:spacing w:after="0"/>
              <w:rPr>
                <w:sz w:val="20"/>
                <w:szCs w:val="20"/>
                <w:color w:val="auto"/>
              </w:rPr>
            </w:pPr>
            <w:r>
              <w:rPr>
                <w:rFonts w:ascii="Arial" w:cs="Arial" w:eastAsia="Arial" w:hAnsi="Arial"/>
                <w:sz w:val="14"/>
                <w:szCs w:val="14"/>
                <w:b w:val="1"/>
                <w:bCs w:val="1"/>
                <w:color w:val="auto"/>
                <w:w w:val="91"/>
              </w:rPr>
              <w:t>Edward J. Zore</w:t>
            </w:r>
          </w:p>
        </w:tc>
      </w:tr>
    </w:tbl>
    <w:p>
      <w:pPr>
        <w:sectPr>
          <w:pgSz w:w="11900" w:h="16838" w:orient="portrait"/>
          <w:cols w:equalWidth="0" w:num="2">
            <w:col w:w="5380" w:space="580"/>
            <w:col w:w="5460"/>
          </w:cols>
          <w:pgMar w:left="240" w:top="280" w:right="239" w:bottom="144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18"/>
          <w:szCs w:val="18"/>
          <w:color w:val="auto"/>
        </w:rPr>
        <w:t>Exhibit 31.1</w:t>
      </w:r>
    </w:p>
    <w:p>
      <w:pPr>
        <w:spacing w:after="0" w:line="152"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jc w:val="right"/>
        <w:ind w:right="502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00"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 w:hanging="446"/>
        <w:spacing w:after="0" w:line="325"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2005</w:t>
      </w:r>
    </w:p>
    <w:p>
      <w:pPr>
        <w:spacing w:after="0" w:line="374" w:lineRule="exact"/>
        <w:rPr>
          <w:sz w:val="20"/>
          <w:szCs w:val="20"/>
          <w:color w:val="auto"/>
        </w:rPr>
      </w:pPr>
    </w:p>
    <w:p>
      <w:pPr>
        <w:ind w:left="1220"/>
        <w:spacing w:after="0"/>
        <w:tabs>
          <w:tab w:leader="none" w:pos="15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Jeffrey A. Joerres</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Chairman, Chief Executive Officer</w:t>
      </w:r>
    </w:p>
    <w:p>
      <w:pPr>
        <w:sectPr>
          <w:pgSz w:w="11900" w:h="16838" w:orient="portrait"/>
          <w:cols w:equalWidth="0" w:num="1">
            <w:col w:w="11420"/>
          </w:cols>
          <w:pgMar w:left="240" w:top="280"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color w:val="auto"/>
        </w:rPr>
        <w:t>Exhibit 31.2</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77"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 w:hanging="446"/>
        <w:spacing w:after="0" w:line="325"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2005</w:t>
      </w:r>
    </w:p>
    <w:p>
      <w:pPr>
        <w:spacing w:after="0" w:line="374"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Michael J. Van Handel</w:t>
      </w:r>
    </w:p>
    <w:p>
      <w:pPr>
        <w:jc w:val="center"/>
        <w:ind w:right="684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2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37" w:lineRule="exact"/>
        <w:rPr>
          <w:sz w:val="20"/>
          <w:szCs w:val="20"/>
          <w:color w:val="auto"/>
        </w:rPr>
      </w:pPr>
    </w:p>
    <w:p>
      <w:pPr>
        <w:ind w:left="900" w:right="12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2004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2005</w:t>
      </w:r>
    </w:p>
    <w:p>
      <w:pPr>
        <w:spacing w:after="0" w:line="374" w:lineRule="exact"/>
        <w:rPr>
          <w:sz w:val="20"/>
          <w:szCs w:val="20"/>
          <w:color w:val="auto"/>
        </w:rPr>
      </w:pPr>
    </w:p>
    <w:p>
      <w:pPr>
        <w:ind w:left="1220"/>
        <w:spacing w:after="0"/>
        <w:tabs>
          <w:tab w:leader="none" w:pos="15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Jeffrey A. Joerres</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Chairman, Chief Executive Officer</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280"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37" w:lineRule="exact"/>
        <w:rPr>
          <w:sz w:val="20"/>
          <w:szCs w:val="20"/>
          <w:color w:val="auto"/>
        </w:rPr>
      </w:pPr>
    </w:p>
    <w:p>
      <w:pPr>
        <w:ind w:left="900" w:right="12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2004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2005</w:t>
      </w:r>
    </w:p>
    <w:p>
      <w:pPr>
        <w:spacing w:after="0" w:line="374"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Michael J. Van Handel</w:t>
      </w:r>
    </w:p>
    <w:p>
      <w:pPr>
        <w:jc w:val="center"/>
        <w:ind w:right="684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1)"/>
      <w:numFmt w:val="lowerLetter"/>
      <w:start w:val="1"/>
    </w:lvl>
    <w:lvl w:ilvl="1">
      <w:lvlJc w:val="left"/>
      <w:lvlText w:val="(%2)"/>
      <w:numFmt w:val="lowerRoman"/>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1)"/>
      <w:numFmt w:val="lowerLetter"/>
      <w:start w:val="1"/>
    </w:lvl>
  </w:abstractNum>
  <w:abstractNum w:abstractNumId="13">
    <w:nsid w:val="77AE35EB"/>
    <w:multiLevelType w:val="hybridMultilevel"/>
    <w:lvl w:ilvl="0">
      <w:lvlJc w:val="left"/>
      <w:lvlText w:val="(%1)"/>
      <w:numFmt w:val="lowerLetter"/>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lowerLetter"/>
      <w:start w:val="1"/>
    </w:lvl>
  </w:abstractNum>
  <w:abstractNum w:abstractNumId="22">
    <w:nsid w:val="1381823A"/>
    <w:multiLevelType w:val="hybridMultilevel"/>
    <w:lvl w:ilvl="0">
      <w:lvlJc w:val="left"/>
      <w:lvlText w:val="%1"/>
      <w:numFmt w:val="decimal"/>
      <w:start w:val="13"/>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15014ACB"/>
    <w:multiLevelType w:val="hybridMultilevel"/>
    <w:lvl w:ilvl="0">
      <w:lvlJc w:val="left"/>
      <w:lvlText w:val="(%1)"/>
      <w:numFmt w:val="lowerRoman"/>
      <w:start w:val="2"/>
    </w:lvl>
  </w:abstractNum>
  <w:abstractNum w:abstractNumId="27">
    <w:nsid w:val="5F5E7FD0"/>
    <w:multiLevelType w:val="hybridMultilevel"/>
    <w:lvl w:ilvl="0">
      <w:lvlJc w:val="left"/>
      <w:lvlText w:val="(%1)"/>
      <w:numFmt w:val="lowerRoman"/>
      <w:start w:val="5"/>
    </w:lvl>
  </w:abstractNum>
  <w:abstractNum w:abstractNumId="28">
    <w:nsid w:val="98A3148"/>
    <w:multiLevelType w:val="hybridMultilevel"/>
    <w:lvl w:ilvl="0">
      <w:lvlJc w:val="left"/>
      <w:lvlText w:val="(%1)"/>
      <w:numFmt w:val="lowerLetter"/>
      <w:start w:val="4"/>
    </w:lvl>
    <w:lvl w:ilvl="1">
      <w:lvlJc w:val="left"/>
      <w:lvlText w:val="(%2)"/>
      <w:numFmt w:val="lowerRoman"/>
      <w:start w:val="1"/>
    </w:lvl>
  </w:abstractNum>
  <w:abstractNum w:abstractNumId="29">
    <w:nsid w:val="799D0247"/>
    <w:multiLevelType w:val="hybridMultilevel"/>
    <w:lvl w:ilvl="0">
      <w:lvlJc w:val="left"/>
      <w:lvlText w:val="(%1)"/>
      <w:numFmt w:val="lowerLetter"/>
      <w:start w:val="5"/>
    </w:lvl>
    <w:lvl w:ilvl="1">
      <w:lvlJc w:val="left"/>
      <w:lvlText w:val="(%2)"/>
      <w:numFmt w:val="lowerRoman"/>
      <w:start w:val="1"/>
    </w:lvl>
  </w:abstractNum>
  <w:abstractNum w:abstractNumId="30">
    <w:nsid w:val="6B9476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1">
    <w:nsid w:val="42C296BD"/>
    <w:multiLevelType w:val="hybridMultilevel"/>
    <w:lvl w:ilvl="0">
      <w:lvlJc w:val="left"/>
      <w:lvlText w:val="%1"/>
      <w:numFmt w:val="lowerRoman"/>
      <w:start w:val="1"/>
    </w:lvl>
    <w:lvl w:ilvl="1">
      <w:lvlJc w:val="left"/>
      <w:lvlText w:val="(%2)"/>
      <w:numFmt w:val="upperLetter"/>
      <w:start w:val="2"/>
    </w:lvl>
  </w:abstractNum>
  <w:abstractNum w:abstractNumId="32">
    <w:nsid w:val="168E121F"/>
    <w:multiLevelType w:val="hybridMultilevel"/>
    <w:lvl w:ilvl="0">
      <w:lvlJc w:val="left"/>
      <w:lvlText w:val="(%1)"/>
      <w:numFmt w:val="lowerRoman"/>
      <w:start w:val="2"/>
    </w:lvl>
    <w:lvl w:ilvl="1">
      <w:lvlJc w:val="left"/>
      <w:lvlText w:val="(%2)"/>
      <w:numFmt w:val="upperLetter"/>
      <w:start w:val="1"/>
    </w:lvl>
  </w:abstractNum>
  <w:abstractNum w:abstractNumId="33">
    <w:nsid w:val="1EBA5D23"/>
    <w:multiLevelType w:val="hybridMultilevel"/>
    <w:lvl w:ilvl="0">
      <w:lvlJc w:val="left"/>
      <w:lvlText w:val="(%1)"/>
      <w:numFmt w:val="upperLetter"/>
      <w:start w:val="2"/>
    </w:lvl>
  </w:abstractNum>
  <w:abstractNum w:abstractNumId="34">
    <w:nsid w:val="661E3F1E"/>
    <w:multiLevelType w:val="hybridMultilevel"/>
    <w:lvl w:ilvl="0">
      <w:lvlJc w:val="left"/>
      <w:lvlText w:val="(%1)"/>
      <w:numFmt w:val="lowerLetter"/>
      <w:start w:val="4"/>
    </w:lvl>
  </w:abstractNum>
  <w:abstractNum w:abstractNumId="35">
    <w:nsid w:val="5DC79E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
    <w:nsid w:val="540A471C"/>
    <w:multiLevelType w:val="hybridMultilevel"/>
    <w:lvl w:ilvl="0">
      <w:lvlJc w:val="left"/>
      <w:lvlText w:val="(%1)"/>
      <w:numFmt w:val="lowerLetter"/>
      <w:start w:val="2"/>
    </w:lvl>
    <w:lvl w:ilvl="1">
      <w:lvlJc w:val="left"/>
      <w:lvlText w:val="(%2)"/>
      <w:numFmt w:val="lowerRoman"/>
      <w:start w:val="1"/>
    </w:lvl>
  </w:abstractNum>
  <w:abstractNum w:abstractNumId="37">
    <w:nsid w:val="7BD3EE7B"/>
    <w:multiLevelType w:val="hybridMultilevel"/>
    <w:lvl w:ilvl="0">
      <w:lvlJc w:val="left"/>
      <w:lvlText w:val="%1"/>
      <w:numFmt w:val="decimal"/>
      <w:start w:val="1"/>
    </w:lvl>
    <w:lvl w:ilvl="1">
      <w:lvlJc w:val="left"/>
      <w:lvlText w:val="(%2)"/>
      <w:numFmt w:val="lowerLetter"/>
      <w:start w:val="5"/>
    </w:lvl>
  </w:abstractNum>
  <w:abstractNum w:abstractNumId="38">
    <w:nsid w:val="51D9C564"/>
    <w:multiLevelType w:val="hybridMultilevel"/>
    <w:lvl w:ilvl="0">
      <w:lvlJc w:val="left"/>
      <w:lvlText w:val="%1."/>
      <w:numFmt w:val="decimal"/>
      <w:start w:val="4"/>
    </w:lvl>
    <w:lvl w:ilvl="1">
      <w:lvlJc w:val="left"/>
      <w:lvlText w:val="%2"/>
      <w:numFmt w:val="lowerLetter"/>
      <w:start w:val="1"/>
    </w:lvl>
  </w:abstractNum>
  <w:abstractNum w:abstractNumId="39">
    <w:nsid w:val="613EFDC5"/>
    <w:multiLevelType w:val="hybridMultilevel"/>
    <w:lvl w:ilvl="0">
      <w:lvlJc w:val="left"/>
      <w:lvlText w:val="%1."/>
      <w:numFmt w:val="decimal"/>
      <w:start w:val="8"/>
    </w:lvl>
  </w:abstractNum>
  <w:abstractNum w:abstractNumId="40">
    <w:nsid w:val="BF72B14"/>
    <w:multiLevelType w:val="hybridMultilevel"/>
    <w:lvl w:ilvl="0">
      <w:lvlJc w:val="left"/>
      <w:lvlText w:val="(%1)"/>
      <w:numFmt w:val="lowerLetter"/>
      <w:start w:val="1"/>
    </w:lvl>
  </w:abstractNum>
  <w:abstractNum w:abstractNumId="41">
    <w:nsid w:val="11447B73"/>
    <w:multiLevelType w:val="hybridMultilevel"/>
    <w:lvl w:ilvl="0">
      <w:lvlJc w:val="left"/>
      <w:lvlText w:val="(%1)"/>
      <w:numFmt w:val="lowerLetter"/>
      <w:start w:val="5"/>
    </w:lvl>
  </w:abstractNum>
  <w:abstractNum w:abstractNumId="42">
    <w:nsid w:val="42963E5A"/>
    <w:multiLevelType w:val="hybridMultilevel"/>
    <w:lvl w:ilvl="0">
      <w:lvlJc w:val="left"/>
      <w:lvlText w:val="(%1)"/>
      <w:numFmt w:val="lowerLetter"/>
      <w:start w:val="18"/>
    </w:lvl>
    <w:lvl w:ilvl="1">
      <w:lvlJc w:val="left"/>
      <w:lvlText w:val="(%2)"/>
      <w:numFmt w:val="decimal"/>
      <w:start w:val="1"/>
    </w:lvl>
  </w:abstractNum>
  <w:abstractNum w:abstractNumId="43">
    <w:nsid w:val="A0382C5"/>
    <w:multiLevelType w:val="hybridMultilevel"/>
    <w:lvl w:ilvl="0">
      <w:lvlJc w:val="left"/>
      <w:lvlText w:val="(%1)"/>
      <w:numFmt w:val="lowerLetter"/>
      <w:start w:val="27"/>
    </w:lvl>
  </w:abstractNum>
  <w:abstractNum w:abstractNumId="44">
    <w:nsid w:val="8F2B15E"/>
    <w:multiLevelType w:val="hybridMultilevel"/>
    <w:lvl w:ilvl="0">
      <w:lvlJc w:val="left"/>
      <w:lvlText w:val="(%1)"/>
      <w:numFmt w:val="lowerLetter"/>
      <w:start w:val="29"/>
    </w:lvl>
    <w:lvl w:ilvl="1">
      <w:lvlJc w:val="left"/>
      <w:lvlText w:val="(%2)"/>
      <w:numFmt w:val="decimal"/>
      <w:start w:val="1"/>
    </w:lvl>
  </w:abstractNum>
  <w:abstractNum w:abstractNumId="45">
    <w:nsid w:val="1A32234B"/>
    <w:multiLevelType w:val="hybridMultilevel"/>
    <w:lvl w:ilvl="0">
      <w:lvlJc w:val="left"/>
      <w:lvlText w:val="(%1)"/>
      <w:numFmt w:val="decimal"/>
      <w:start w:val="5"/>
    </w:lvl>
  </w:abstractNum>
  <w:abstractNum w:abstractNumId="46">
    <w:nsid w:val="3B0FD379"/>
    <w:multiLevelType w:val="hybridMultilevel"/>
    <w:lvl w:ilvl="0">
      <w:lvlJc w:val="left"/>
      <w:lvlText w:val="%1."/>
      <w:numFmt w:val="decimal"/>
      <w:start w:val="5"/>
    </w:lvl>
    <w:lvl w:ilvl="1">
      <w:lvlJc w:val="left"/>
      <w:lvlText w:val="(%2)"/>
      <w:numFmt w:val="lowerLetter"/>
      <w:start w:val="1"/>
    </w:lvl>
  </w:abstractNum>
  <w:abstractNum w:abstractNumId="47">
    <w:nsid w:val="68EB2F63"/>
    <w:multiLevelType w:val="hybridMultilevel"/>
    <w:lvl w:ilvl="0">
      <w:lvlJc w:val="left"/>
      <w:lvlText w:val="%1."/>
      <w:numFmt w:val="decimal"/>
      <w:start w:val="4"/>
    </w:lvl>
    <w:lvl w:ilvl="1">
      <w:lvlJc w:val="left"/>
      <w:lvlText w:val="%2"/>
      <w:numFmt w:val="lowerLetter"/>
      <w:start w:val="1"/>
    </w:lvl>
  </w:abstractNum>
  <w:abstractNum w:abstractNumId="48">
    <w:nsid w:val="4962813B"/>
    <w:multiLevelType w:val="hybridMultilevel"/>
    <w:lvl w:ilvl="0">
      <w:lvlJc w:val="left"/>
      <w:lvlText w:val="%1."/>
      <w:numFmt w:val="decimal"/>
      <w:start w:val="7"/>
    </w:lvl>
    <w:lvl w:ilvl="1">
      <w:lvlJc w:val="left"/>
      <w:lvlText w:val="%2"/>
      <w:numFmt w:val="lowerLetter"/>
      <w:start w:val="1"/>
    </w:lvl>
  </w:abstractNum>
  <w:abstractNum w:abstractNumId="49">
    <w:nsid w:val="60B6DF70"/>
    <w:multiLevelType w:val="hybridMultilevel"/>
    <w:lvl w:ilvl="0">
      <w:lvlJc w:val="left"/>
      <w:lvlText w:val="(%1)"/>
      <w:numFmt w:val="lowerLetter"/>
      <w:start w:val="1"/>
    </w:lvl>
  </w:abstractNum>
  <w:abstractNum w:abstractNumId="50">
    <w:nsid w:val="6A5EE64"/>
    <w:multiLevelType w:val="hybridMultilevel"/>
    <w:lvl w:ilvl="0">
      <w:lvlJc w:val="left"/>
      <w:lvlText w:val="(%1)"/>
      <w:numFmt w:val="lowerLetter"/>
      <w:start w:val="3"/>
    </w:lvl>
    <w:lvl w:ilvl="1">
      <w:lvlJc w:val="left"/>
      <w:lvlText w:val="(%2)"/>
      <w:numFmt w:val="decimal"/>
      <w:start w:val="1"/>
    </w:lvl>
  </w:abstractNum>
  <w:abstractNum w:abstractNumId="51">
    <w:nsid w:val="14330624"/>
    <w:multiLevelType w:val="hybridMultilevel"/>
    <w:lvl w:ilvl="0">
      <w:lvlJc w:val="left"/>
      <w:lvlText w:val="(%1)"/>
      <w:numFmt w:val="decimal"/>
      <w:start w:val="2"/>
    </w:lvl>
    <w:lvl w:ilvl="1">
      <w:lvlJc w:val="left"/>
      <w:lvlText w:val="(%2)"/>
      <w:numFmt w:val="upperLetter"/>
      <w:start w:val="1"/>
    </w:lvl>
  </w:abstractNum>
  <w:abstractNum w:abstractNumId="52">
    <w:nsid w:val="7FFFCA11"/>
    <w:multiLevelType w:val="hybridMultilevel"/>
    <w:lvl w:ilvl="0">
      <w:lvlJc w:val="left"/>
      <w:lvlText w:val="(%1)"/>
      <w:numFmt w:val="lowerLetter"/>
      <w:start w:val="8"/>
    </w:lvl>
    <w:lvl w:ilvl="1">
      <w:lvlJc w:val="left"/>
      <w:lvlText w:val="(%2)"/>
      <w:numFmt w:val="decimal"/>
      <w:start w:val="1"/>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5">
    <w:nsid w:val="100F59DC"/>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56">
    <w:nsid w:val="7FB7E0AA"/>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3"/>
    </w:lvl>
    <w:lvl w:ilvl="1">
      <w:lvlJc w:val="left"/>
      <w:lvlText w:val="(%2)"/>
      <w:numFmt w:val="decimal"/>
      <w:start w:val="1"/>
    </w:lvl>
  </w:abstractNum>
  <w:abstractNum w:abstractNumId="59">
    <w:nsid w:val="94211F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60">
    <w:nsid w:val="885E1B"/>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61">
    <w:nsid w:val="76272110"/>
    <w:multiLevelType w:val="hybridMultilevel"/>
    <w:lvl w:ilvl="0">
      <w:lvlJc w:val="left"/>
      <w:lvlText w:val="%1"/>
      <w:numFmt w:val="decimal"/>
      <w:start w:val="1"/>
    </w:lvl>
    <w:lvl w:ilvl="1">
      <w:lvlJc w:val="left"/>
      <w:lvlText w:val="(%2)"/>
      <w:numFmt w:val="lowerLetter"/>
      <w:start w:val="8"/>
    </w:lvl>
  </w:abstractNum>
  <w:abstractNum w:abstractNumId="62">
    <w:nsid w:val="4C04A8AF"/>
    <w:multiLevelType w:val="hybridMultilevel"/>
    <w:lvl w:ilvl="0">
      <w:lvlJc w:val="left"/>
      <w:lvlText w:val="%1."/>
      <w:numFmt w:val="decimal"/>
      <w:start w:val="10"/>
    </w:lvl>
    <w:lvl w:ilvl="1">
      <w:lvlJc w:val="left"/>
      <w:lvlText w:val="%2"/>
      <w:numFmt w:val="lowerLetter"/>
      <w:start w:val="1"/>
    </w:lvl>
  </w:abstractNum>
  <w:abstractNum w:abstractNumId="63">
    <w:nsid w:val="1716703B"/>
    <w:multiLevelType w:val="hybridMultilevel"/>
    <w:lvl w:ilvl="0">
      <w:lvlJc w:val="left"/>
      <w:lvlText w:val="(%1)"/>
      <w:numFmt w:val="lowerLetter"/>
      <w:start w:val="1"/>
    </w:lvl>
  </w:abstractNum>
  <w:abstractNum w:abstractNumId="64">
    <w:nsid w:val="14E17E33"/>
    <w:multiLevelType w:val="hybridMultilevel"/>
    <w:lvl w:ilvl="0">
      <w:lvlJc w:val="left"/>
      <w:lvlText w:val="(%1)"/>
      <w:numFmt w:val="lowerLetter"/>
      <w:start w:val="2"/>
    </w:lvl>
  </w:abstractNum>
  <w:abstractNum w:abstractNumId="65">
    <w:nsid w:val="3222E7CD"/>
    <w:multiLevelType w:val="hybridMultilevel"/>
    <w:lvl w:ilvl="0">
      <w:lvlJc w:val="left"/>
      <w:lvlText w:val="%1"/>
      <w:numFmt w:val="lowerLetter"/>
      <w:start w:val="1"/>
    </w:lvl>
    <w:lvl w:ilvl="1">
      <w:lvlJc w:val="left"/>
      <w:lvlText w:val="(%2)"/>
      <w:numFmt w:val="decimal"/>
      <w:start w:val="1"/>
    </w:lvl>
  </w:abstractNum>
  <w:abstractNum w:abstractNumId="66">
    <w:nsid w:val="74DE0EE3"/>
    <w:multiLevelType w:val="hybridMultilevel"/>
    <w:lvl w:ilvl="0">
      <w:lvlJc w:val="left"/>
      <w:lvlText w:val="(%1)"/>
      <w:numFmt w:val="lowerLetter"/>
      <w:start w:val="4"/>
    </w:lvl>
    <w:lvl w:ilvl="1">
      <w:lvlJc w:val="left"/>
      <w:lvlText w:val="%2"/>
      <w:numFmt w:val="decimal"/>
      <w:start w:val="1"/>
    </w:lvl>
  </w:abstractNum>
  <w:abstractNum w:abstractNumId="67">
    <w:nsid w:val="68EBC550"/>
    <w:multiLevelType w:val="hybridMultilevel"/>
    <w:lvl w:ilvl="0">
      <w:lvlJc w:val="left"/>
      <w:lvlText w:val="(%1)"/>
      <w:numFmt w:val="lowerLetter"/>
      <w:start w:val="8"/>
    </w:lvl>
  </w:abstractNum>
  <w:abstractNum w:abstractNumId="68">
    <w:nsid w:val="2DF6D648"/>
    <w:multiLevelType w:val="hybridMultilevel"/>
    <w:lvl w:ilvl="0">
      <w:lvlJc w:val="left"/>
      <w:lvlText w:val="(%1)"/>
      <w:numFmt w:val="lowerLetter"/>
      <w:start w:val="8"/>
    </w:lvl>
  </w:abstractNum>
  <w:abstractNum w:abstractNumId="69">
    <w:nsid w:val="46B7D447"/>
    <w:multiLevelType w:val="hybridMultilevel"/>
    <w:lvl w:ilvl="0">
      <w:lvlJc w:val="left"/>
      <w:lvlText w:val="%1."/>
      <w:numFmt w:val="decimal"/>
      <w:start w:val="12"/>
    </w:lvl>
    <w:lvl w:ilvl="1">
      <w:lvlJc w:val="left"/>
      <w:lvlText w:val="(%2)"/>
      <w:numFmt w:val="lowerLetter"/>
      <w:start w:val="1"/>
    </w:lvl>
  </w:abstractNum>
  <w:abstractNum w:abstractNumId="70">
    <w:nsid w:val="4A2AC315"/>
    <w:multiLevelType w:val="hybridMultilevel"/>
    <w:lvl w:ilvl="0">
      <w:lvlJc w:val="left"/>
      <w:lvlText w:val="%1"/>
      <w:numFmt w:val="decimal"/>
      <w:start w:val="1"/>
    </w:lvl>
    <w:lvl w:ilvl="1">
      <w:lvlJc w:val="left"/>
      <w:lvlText w:val="(%2)"/>
      <w:numFmt w:val="lowerLetter"/>
      <w:start w:val="2"/>
    </w:lvl>
  </w:abstractNum>
  <w:abstractNum w:abstractNumId="71">
    <w:nsid w:val="39EE015C"/>
    <w:multiLevelType w:val="hybridMultilevel"/>
    <w:lvl w:ilvl="0">
      <w:lvlJc w:val="left"/>
      <w:lvlText w:val="%1."/>
      <w:numFmt w:val="decimal"/>
      <w:start w:val="13"/>
    </w:lvl>
    <w:lvl w:ilvl="1">
      <w:lvlJc w:val="left"/>
      <w:lvlText w:val="(%2)"/>
      <w:numFmt w:val="lowerLetter"/>
      <w:start w:val="1"/>
    </w:lvl>
  </w:abstractNum>
  <w:abstractNum w:abstractNumId="72">
    <w:nsid w:val="57FC4FBB"/>
    <w:multiLevelType w:val="hybridMultilevel"/>
    <w:lvl w:ilvl="0">
      <w:lvlJc w:val="left"/>
      <w:lvlText w:val="%1."/>
      <w:numFmt w:val="decimal"/>
      <w:start w:val="1"/>
    </w:lvl>
    <w:lvl w:ilvl="1">
      <w:lvlJc w:val="left"/>
      <w:lvlText w:val="(%2)"/>
      <w:numFmt w:val="lowerLetter"/>
      <w:start w:val="1"/>
    </w:lvl>
  </w:abstractNum>
  <w:abstractNum w:abstractNumId="73">
    <w:nsid w:val="CC1016F"/>
    <w:multiLevelType w:val="hybridMultilevel"/>
    <w:lvl w:ilvl="0">
      <w:lvlJc w:val="left"/>
      <w:lvlText w:val="(%1)"/>
      <w:numFmt w:val="lowerLetter"/>
      <w:start w:val="1"/>
    </w:lvl>
  </w:abstractNum>
  <w:abstractNum w:abstractNumId="74">
    <w:nsid w:val="43F18422"/>
    <w:multiLevelType w:val="hybridMultilevel"/>
    <w:lvl w:ilvl="0">
      <w:lvlJc w:val="left"/>
      <w:lvlText w:val="(%1)"/>
      <w:numFmt w:val="lowerLetter"/>
      <w:start w:val="7"/>
    </w:lvl>
  </w:abstractNum>
  <w:abstractNum w:abstractNumId="75">
    <w:nsid w:val="60EF0119"/>
    <w:multiLevelType w:val="hybridMultilevel"/>
    <w:lvl w:ilvl="0">
      <w:lvlJc w:val="left"/>
      <w:lvlText w:val="%1."/>
      <w:numFmt w:val="decimal"/>
      <w:start w:val="4"/>
    </w:lvl>
    <w:lvl w:ilvl="1">
      <w:lvlJc w:val="left"/>
      <w:lvlText w:val="(%2)"/>
      <w:numFmt w:val="lowerLetter"/>
      <w:start w:val="1"/>
    </w:lvl>
  </w:abstractNum>
  <w:abstractNum w:abstractNumId="76">
    <w:nsid w:val="26F324BA"/>
    <w:multiLevelType w:val="hybridMultilevel"/>
    <w:lvl w:ilvl="0">
      <w:lvlJc w:val="left"/>
      <w:lvlText w:val="%1"/>
      <w:numFmt w:val="decimal"/>
      <w:start w:val="1"/>
    </w:lvl>
    <w:lvl w:ilvl="1">
      <w:lvlJc w:val="left"/>
      <w:lvlText w:val="(%2)"/>
      <w:numFmt w:val="upperLetter"/>
      <w:start w:val="1"/>
    </w:lvl>
  </w:abstractNum>
  <w:abstractNum w:abstractNumId="77">
    <w:nsid w:val="7F01579B"/>
    <w:multiLevelType w:val="hybridMultilevel"/>
    <w:lvl w:ilvl="0">
      <w:lvlJc w:val="left"/>
      <w:lvlText w:val="(%1)"/>
      <w:numFmt w:val="decimal"/>
      <w:start w:val="1"/>
    </w:lvl>
    <w:lvl w:ilvl="1">
      <w:lvlJc w:val="left"/>
      <w:lvlText w:val="%2"/>
      <w:numFmt w:val="upperLetter"/>
      <w:start w:val="1"/>
    </w:lvl>
  </w:abstractNum>
  <w:abstractNum w:abstractNumId="78">
    <w:nsid w:val="49DA307D"/>
    <w:multiLevelType w:val="hybridMultilevel"/>
    <w:lvl w:ilvl="0">
      <w:lvlJc w:val="left"/>
      <w:lvlText w:val="(%1)"/>
      <w:numFmt w:val="upperLetter"/>
      <w:start w:val="1"/>
    </w:lvl>
  </w:abstractNum>
  <w:abstractNum w:abstractNumId="79">
    <w:nsid w:val="7055A5F5"/>
    <w:multiLevelType w:val="hybridMultilevel"/>
    <w:lvl w:ilvl="0">
      <w:lvlJc w:val="left"/>
      <w:lvlText w:val="(%1)"/>
      <w:numFmt w:val="lowerLetter"/>
      <w:start w:val="10"/>
    </w:lvl>
  </w:abstractNum>
  <w:abstractNum w:abstractNumId="80">
    <w:nsid w:val="5FB8370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81">
    <w:nsid w:val="50801EE1"/>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82">
    <w:nsid w:val="488AC1A"/>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lowerLetter"/>
      <w:start w:val="7"/>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lowerLetter"/>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decimal"/>
      <w:start w:val="57"/>
    </w:lvl>
  </w:abstractNum>
  <w:abstractNum w:abstractNumId="93">
    <w:nsid w:val="3FA62ACA"/>
    <w:multiLevelType w:val="hybridMultilevel"/>
    <w:lvl w:ilvl="0">
      <w:lvlJc w:val="left"/>
      <w:lvlText w:val="%1"/>
      <w:numFmt w:val="decimal"/>
      <w:start w:val="90"/>
    </w:lvl>
  </w:abstractNum>
  <w:abstractNum w:abstractNumId="94">
    <w:nsid w:val="14FCE74E"/>
    <w:multiLevelType w:val="hybridMultilevel"/>
    <w:lvl w:ilvl="0">
      <w:lvlJc w:val="left"/>
      <w:lvlText w:val="%1"/>
      <w:numFmt w:val="decimal"/>
      <w:start w:val="94"/>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1)"/>
      <w:numFmt w:val="decimal"/>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1"/>
    </w:lvl>
  </w:abstractNum>
  <w:abstractNum w:abstractNumId="99">
    <w:nsid w:val="1FBFE8E0"/>
    <w:multiLevelType w:val="hybridMultilevel"/>
    <w:lvl w:ilvl="0">
      <w:lvlJc w:val="left"/>
      <w:lvlText w:val="(%1)"/>
      <w:numFmt w:val="lowerLetter"/>
      <w:start w:val="1"/>
    </w:lvl>
  </w:abstractNum>
  <w:abstractNum w:abstractNumId="100">
    <w:nsid w:val="5092CA79"/>
    <w:multiLevelType w:val="hybridMultilevel"/>
    <w:lvl w:ilvl="0">
      <w:lvlJc w:val="left"/>
      <w:lvlText w:val="(%1)"/>
      <w:numFmt w:val="lowerLetter"/>
      <w:start w:val="2"/>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lowerLetter"/>
      <w:start w:val="1"/>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lowerLetter"/>
      <w:start w:val="1"/>
    </w:lvl>
  </w:abstractNum>
  <w:abstractNum w:abstractNumId="105">
    <w:nsid w:val="1D9F6E5F"/>
    <w:multiLevelType w:val="hybridMultilevel"/>
    <w:lvl w:ilvl="0">
      <w:lvlJc w:val="left"/>
      <w:lvlText w:val="1"/>
      <w:numFmt w:val="bullet"/>
      <w:start w:val="1"/>
    </w:lvl>
  </w:abstractNum>
  <w:abstractNum w:abstractNumId="106">
    <w:nsid w:val="97E1B4E"/>
    <w:multiLevelType w:val="hybridMultilevel"/>
    <w:lvl w:ilvl="0">
      <w:lvlJc w:val="left"/>
      <w:lvlText w:val="2"/>
      <w:numFmt w:val="bullet"/>
      <w:start w:val="1"/>
    </w:lvl>
  </w:abstractNum>
  <w:abstractNum w:abstractNumId="107">
    <w:nsid w:val="51088277"/>
    <w:multiLevelType w:val="hybridMultilevel"/>
    <w:lvl w:ilvl="0">
      <w:lvlJc w:val="left"/>
      <w:lvlText w:val="3"/>
      <w:numFmt w:val="bullet"/>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2019-12-20T16:53:17Z</dcterms:created>
  <dcterms:modified xsi:type="dcterms:W3CDTF">2019-12-20T16:53:17Z</dcterms:modified>
</cp:coreProperties>
</file>