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4" w:lineRule="exact"/>
        <w:rPr>
          <w:sz w:val="24"/>
          <w:szCs w:val="24"/>
          <w:color w:val="auto"/>
        </w:rPr>
      </w:pPr>
    </w:p>
    <w:p>
      <w:pPr>
        <w:ind w:left="360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-234950</wp:posOffset>
            </wp:positionV>
            <wp:extent cx="132080" cy="13208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080" cy="132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5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6"/>
        </w:trPr>
        <w:tc>
          <w:tcPr>
            <w:tcW w:w="632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56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5278120</wp:posOffset>
            </wp:positionH>
            <wp:positionV relativeFrom="paragraph">
              <wp:posOffset>-631190</wp:posOffset>
            </wp:positionV>
            <wp:extent cx="58420" cy="6445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4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3998595</wp:posOffset>
            </wp:positionH>
            <wp:positionV relativeFrom="paragraph">
              <wp:posOffset>-631190</wp:posOffset>
            </wp:positionV>
            <wp:extent cx="58420" cy="64452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4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-1622425</wp:posOffset>
            </wp:positionH>
            <wp:positionV relativeFrom="paragraph">
              <wp:posOffset>16510</wp:posOffset>
            </wp:positionV>
            <wp:extent cx="6992620" cy="796671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2620" cy="79667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80" w:space="260"/>
            <w:col w:w="8540"/>
          </w:cols>
          <w:pgMar w:left="460" w:top="222" w:right="359" w:bottom="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20" w:type="dxa"/>
            <w:vAlign w:val="bottom"/>
            <w:gridSpan w:val="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vertAlign w:val="superscript"/>
              </w:rPr>
              <w:t>*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6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20" w:type="dxa"/>
            <w:vAlign w:val="bottom"/>
            <w:gridSpan w:val="10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2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>Ferraro John Francis</w:t>
              </w:r>
            </w:hyperlink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60" w:type="dxa"/>
            <w:vAlign w:val="bottom"/>
            <w:gridSpan w:val="8"/>
          </w:tcPr>
          <w:p>
            <w:pPr>
              <w:spacing w:after="0" w:line="104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ManpowerGroup Inc.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MAN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40" w:type="dxa"/>
            <w:vAlign w:val="bottom"/>
            <w:gridSpan w:val="5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Director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6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820" w:type="dxa"/>
            <w:vAlign w:val="bottom"/>
            <w:gridSpan w:val="3"/>
            <w:vMerge w:val="restart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6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4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6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01/01/2022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2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MANPOWERGROUP INC.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2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100 MANPOWER PLACE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20" w:type="dxa"/>
            <w:vAlign w:val="bottom"/>
            <w:gridSpan w:val="9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20" w:type="dxa"/>
            <w:vAlign w:val="bottom"/>
            <w:gridSpan w:val="10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2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2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20" w:type="dxa"/>
            <w:vAlign w:val="bottom"/>
            <w:gridSpan w:val="10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MILWAUKEE   WI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53212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8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 - Non-Derivative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2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5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4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4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7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40" w:type="dxa"/>
            <w:vAlign w:val="bottom"/>
            <w:gridSpan w:val="5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5"/>
          </w:tcPr>
          <w:p>
            <w:pPr>
              <w:ind w:left="7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  <w:gridSpan w:val="5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58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8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60" w:type="dxa"/>
            <w:vAlign w:val="bottom"/>
            <w:gridSpan w:val="16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8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20" w:type="dxa"/>
            <w:vAlign w:val="bottom"/>
            <w:gridSpan w:val="4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 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4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jc w:val="center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6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  <w:gridSpan w:val="4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Deferred</w:t>
            </w:r>
          </w:p>
        </w:tc>
        <w:tc>
          <w:tcPr>
            <w:tcW w:w="840" w:type="dxa"/>
            <w:vAlign w:val="bottom"/>
            <w:vMerge w:val="restart"/>
          </w:tcPr>
          <w:p>
            <w:pPr>
              <w:jc w:val="center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5"/>
                <w:szCs w:val="25"/>
                <w:color w:val="0000FF"/>
                <w:vertAlign w:val="subscript"/>
              </w:rPr>
              <w:t>A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restart"/>
          </w:tcPr>
          <w:p>
            <w:pPr>
              <w:jc w:val="center"/>
              <w:ind w:left="20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(1)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jc w:val="center"/>
              <w:ind w:right="20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(1)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1,798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jc w:val="center"/>
              <w:ind w:right="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  <w:w w:val="89"/>
              </w:rPr>
              <w:t>97.33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89"/>
                <w:vertAlign w:val="superscript"/>
              </w:rPr>
              <w:t>(3)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  <w:vMerge w:val="restart"/>
          </w:tcPr>
          <w:p>
            <w:pPr>
              <w:jc w:val="center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01/01/2022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jc w:val="center"/>
              <w:ind w:left="19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1,798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jc w:val="center"/>
              <w:ind w:left="158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1,798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ind w:right="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Stock</w:t>
            </w:r>
          </w:p>
        </w:tc>
        <w:tc>
          <w:tcPr>
            <w:tcW w:w="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Deferred</w:t>
            </w:r>
          </w:p>
        </w:tc>
        <w:tc>
          <w:tcPr>
            <w:tcW w:w="840" w:type="dxa"/>
            <w:vAlign w:val="bottom"/>
            <w:vMerge w:val="restart"/>
          </w:tcPr>
          <w:p>
            <w:pPr>
              <w:jc w:val="center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5"/>
                <w:szCs w:val="25"/>
                <w:color w:val="0000FF"/>
                <w:vertAlign w:val="subscript"/>
              </w:rPr>
              <w:t>A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(5)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restart"/>
          </w:tcPr>
          <w:p>
            <w:pPr>
              <w:jc w:val="center"/>
              <w:ind w:left="20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jc w:val="center"/>
              <w:ind w:right="20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(4)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ind w:right="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4"/>
              </w:rPr>
              <w:t>Common</w:t>
            </w:r>
          </w:p>
        </w:tc>
        <w:tc>
          <w:tcPr>
            <w:tcW w:w="52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46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jc w:val="center"/>
              <w:ind w:right="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  <w:w w:val="92"/>
              </w:rPr>
              <w:t>105.86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92"/>
                <w:vertAlign w:val="superscript"/>
              </w:rPr>
              <w:t>(6)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  <w:vMerge w:val="restart"/>
          </w:tcPr>
          <w:p>
            <w:pPr>
              <w:jc w:val="center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01/01/2022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jc w:val="center"/>
              <w:ind w:left="19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2"/>
              </w:rPr>
              <w:t>46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jc w:val="center"/>
              <w:ind w:left="158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1,987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ind w:right="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Stock</w:t>
            </w:r>
          </w:p>
        </w:tc>
        <w:tc>
          <w:tcPr>
            <w:tcW w:w="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Deferred</w:t>
            </w:r>
          </w:p>
        </w:tc>
        <w:tc>
          <w:tcPr>
            <w:tcW w:w="840" w:type="dxa"/>
            <w:vAlign w:val="bottom"/>
            <w:vMerge w:val="restart"/>
          </w:tcPr>
          <w:p>
            <w:pPr>
              <w:jc w:val="center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5"/>
                <w:szCs w:val="25"/>
                <w:color w:val="0000FF"/>
                <w:vertAlign w:val="subscript"/>
              </w:rPr>
              <w:t>A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(5)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restart"/>
          </w:tcPr>
          <w:p>
            <w:pPr>
              <w:jc w:val="center"/>
              <w:ind w:left="20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jc w:val="center"/>
              <w:ind w:right="20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(4)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ind w:right="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4"/>
              </w:rPr>
              <w:t>Common</w:t>
            </w:r>
          </w:p>
        </w:tc>
        <w:tc>
          <w:tcPr>
            <w:tcW w:w="52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44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jc w:val="center"/>
              <w:ind w:right="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  <w:w w:val="92"/>
              </w:rPr>
              <w:t>105.86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92"/>
                <w:vertAlign w:val="superscript"/>
              </w:rPr>
              <w:t>(6)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  <w:vMerge w:val="restart"/>
          </w:tcPr>
          <w:p>
            <w:pPr>
              <w:jc w:val="center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01/01/2022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jc w:val="center"/>
              <w:ind w:left="19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2"/>
              </w:rPr>
              <w:t>44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jc w:val="center"/>
              <w:ind w:left="158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1,910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ind w:right="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Stock</w:t>
            </w:r>
          </w:p>
        </w:tc>
        <w:tc>
          <w:tcPr>
            <w:tcW w:w="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Deferred</w:t>
            </w:r>
          </w:p>
        </w:tc>
        <w:tc>
          <w:tcPr>
            <w:tcW w:w="840" w:type="dxa"/>
            <w:vAlign w:val="bottom"/>
            <w:vMerge w:val="restart"/>
          </w:tcPr>
          <w:p>
            <w:pPr>
              <w:jc w:val="center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(7)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5"/>
                <w:szCs w:val="25"/>
                <w:color w:val="0000FF"/>
                <w:vertAlign w:val="subscript"/>
              </w:rPr>
              <w:t>A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(5)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restart"/>
          </w:tcPr>
          <w:p>
            <w:pPr>
              <w:jc w:val="center"/>
              <w:ind w:left="20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(7)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jc w:val="center"/>
              <w:ind w:right="20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(7)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ind w:right="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4"/>
              </w:rPr>
              <w:t>Common</w:t>
            </w:r>
          </w:p>
        </w:tc>
        <w:tc>
          <w:tcPr>
            <w:tcW w:w="52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32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jc w:val="center"/>
              <w:ind w:right="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  <w:w w:val="92"/>
              </w:rPr>
              <w:t>105.86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92"/>
                <w:vertAlign w:val="superscript"/>
              </w:rPr>
              <w:t>(6)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  <w:vMerge w:val="restart"/>
          </w:tcPr>
          <w:p>
            <w:pPr>
              <w:jc w:val="center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01/01/2022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jc w:val="center"/>
              <w:ind w:left="19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2"/>
              </w:rPr>
              <w:t>32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jc w:val="center"/>
              <w:ind w:left="158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1,392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ind w:right="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Stock</w:t>
            </w:r>
          </w:p>
        </w:tc>
        <w:tc>
          <w:tcPr>
            <w:tcW w:w="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Deferred</w:t>
            </w:r>
          </w:p>
        </w:tc>
        <w:tc>
          <w:tcPr>
            <w:tcW w:w="840" w:type="dxa"/>
            <w:vAlign w:val="bottom"/>
            <w:vMerge w:val="restart"/>
          </w:tcPr>
          <w:p>
            <w:pPr>
              <w:jc w:val="center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(7)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5"/>
                <w:szCs w:val="25"/>
                <w:color w:val="0000FF"/>
                <w:vertAlign w:val="subscript"/>
              </w:rPr>
              <w:t>A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(5)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restart"/>
          </w:tcPr>
          <w:p>
            <w:pPr>
              <w:jc w:val="center"/>
              <w:ind w:left="20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(7)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jc w:val="center"/>
              <w:ind w:right="20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(7)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ind w:right="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4"/>
              </w:rPr>
              <w:t>Common</w:t>
            </w:r>
          </w:p>
        </w:tc>
        <w:tc>
          <w:tcPr>
            <w:tcW w:w="52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43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jc w:val="center"/>
              <w:ind w:right="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  <w:w w:val="92"/>
              </w:rPr>
              <w:t>105.86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92"/>
                <w:vertAlign w:val="superscript"/>
              </w:rPr>
              <w:t>(6)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  <w:vMerge w:val="restart"/>
          </w:tcPr>
          <w:p>
            <w:pPr>
              <w:jc w:val="center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01/01/2022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jc w:val="center"/>
              <w:ind w:left="19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2"/>
              </w:rPr>
              <w:t>43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jc w:val="center"/>
              <w:ind w:left="158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1,836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ind w:right="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Stock</w:t>
            </w:r>
          </w:p>
        </w:tc>
        <w:tc>
          <w:tcPr>
            <w:tcW w:w="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Deferred</w:t>
            </w:r>
          </w:p>
        </w:tc>
        <w:tc>
          <w:tcPr>
            <w:tcW w:w="840" w:type="dxa"/>
            <w:vAlign w:val="bottom"/>
            <w:vMerge w:val="restart"/>
          </w:tcPr>
          <w:p>
            <w:pPr>
              <w:jc w:val="center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(8)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5"/>
                <w:szCs w:val="25"/>
                <w:color w:val="0000FF"/>
                <w:vertAlign w:val="subscript"/>
              </w:rPr>
              <w:t>A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(5)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restart"/>
          </w:tcPr>
          <w:p>
            <w:pPr>
              <w:jc w:val="center"/>
              <w:ind w:left="20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(8)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jc w:val="center"/>
              <w:ind w:right="20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(8)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ind w:right="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4"/>
              </w:rPr>
              <w:t>Common</w:t>
            </w:r>
          </w:p>
        </w:tc>
        <w:tc>
          <w:tcPr>
            <w:tcW w:w="52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22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jc w:val="center"/>
              <w:ind w:right="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  <w:w w:val="92"/>
              </w:rPr>
              <w:t>105.86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92"/>
                <w:vertAlign w:val="superscript"/>
              </w:rPr>
              <w:t>(6)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  <w:vMerge w:val="restart"/>
          </w:tcPr>
          <w:p>
            <w:pPr>
              <w:jc w:val="center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01/01/2022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jc w:val="center"/>
              <w:ind w:left="19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2"/>
              </w:rPr>
              <w:t>22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jc w:val="center"/>
              <w:ind w:left="158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966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ind w:right="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Stock</w:t>
            </w:r>
          </w:p>
        </w:tc>
        <w:tc>
          <w:tcPr>
            <w:tcW w:w="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Deferred</w:t>
            </w:r>
          </w:p>
        </w:tc>
        <w:tc>
          <w:tcPr>
            <w:tcW w:w="840" w:type="dxa"/>
            <w:vAlign w:val="bottom"/>
            <w:vMerge w:val="restart"/>
          </w:tcPr>
          <w:p>
            <w:pPr>
              <w:jc w:val="center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(8)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5"/>
                <w:szCs w:val="25"/>
                <w:color w:val="0000FF"/>
                <w:vertAlign w:val="subscript"/>
              </w:rPr>
              <w:t>A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(5)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restart"/>
          </w:tcPr>
          <w:p>
            <w:pPr>
              <w:jc w:val="center"/>
              <w:ind w:left="20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(8)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jc w:val="center"/>
              <w:ind w:right="20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(8)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ind w:right="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4"/>
              </w:rPr>
              <w:t>Common</w:t>
            </w:r>
          </w:p>
        </w:tc>
        <w:tc>
          <w:tcPr>
            <w:tcW w:w="52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33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jc w:val="center"/>
              <w:ind w:right="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  <w:w w:val="92"/>
              </w:rPr>
              <w:t>105.86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92"/>
                <w:vertAlign w:val="superscript"/>
              </w:rPr>
              <w:t>(6)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  <w:vMerge w:val="restart"/>
          </w:tcPr>
          <w:p>
            <w:pPr>
              <w:jc w:val="center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01/01/2022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jc w:val="center"/>
              <w:ind w:left="19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2"/>
              </w:rPr>
              <w:t>33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jc w:val="center"/>
              <w:ind w:left="158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1,404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ind w:right="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Stock</w:t>
            </w:r>
          </w:p>
        </w:tc>
        <w:tc>
          <w:tcPr>
            <w:tcW w:w="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Deferred</w:t>
            </w:r>
          </w:p>
        </w:tc>
        <w:tc>
          <w:tcPr>
            <w:tcW w:w="840" w:type="dxa"/>
            <w:vAlign w:val="bottom"/>
            <w:vMerge w:val="restart"/>
          </w:tcPr>
          <w:p>
            <w:pPr>
              <w:jc w:val="center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(9)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5"/>
                <w:szCs w:val="25"/>
                <w:color w:val="0000FF"/>
                <w:vertAlign w:val="subscript"/>
              </w:rPr>
              <w:t>A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(5)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restart"/>
          </w:tcPr>
          <w:p>
            <w:pPr>
              <w:jc w:val="center"/>
              <w:ind w:left="20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(9)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jc w:val="center"/>
              <w:ind w:right="20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(9)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ind w:right="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4"/>
              </w:rPr>
              <w:t>Common</w:t>
            </w:r>
          </w:p>
        </w:tc>
        <w:tc>
          <w:tcPr>
            <w:tcW w:w="52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62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jc w:val="center"/>
              <w:ind w:right="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  <w:w w:val="92"/>
              </w:rPr>
              <w:t>105.86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92"/>
                <w:vertAlign w:val="superscript"/>
              </w:rPr>
              <w:t>(6)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  <w:vMerge w:val="restart"/>
          </w:tcPr>
          <w:p>
            <w:pPr>
              <w:jc w:val="center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01/01/2022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jc w:val="center"/>
              <w:ind w:left="19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2"/>
              </w:rPr>
              <w:t>62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jc w:val="center"/>
              <w:ind w:left="158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2,671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ind w:right="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Stock</w:t>
            </w:r>
          </w:p>
        </w:tc>
        <w:tc>
          <w:tcPr>
            <w:tcW w:w="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Deferred</w:t>
            </w:r>
          </w:p>
        </w:tc>
        <w:tc>
          <w:tcPr>
            <w:tcW w:w="840" w:type="dxa"/>
            <w:vAlign w:val="bottom"/>
            <w:vMerge w:val="restart"/>
          </w:tcPr>
          <w:p>
            <w:pPr>
              <w:jc w:val="center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(9)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5"/>
                <w:szCs w:val="25"/>
                <w:color w:val="0000FF"/>
                <w:vertAlign w:val="subscript"/>
              </w:rPr>
              <w:t>A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(5)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restart"/>
          </w:tcPr>
          <w:p>
            <w:pPr>
              <w:jc w:val="center"/>
              <w:ind w:left="20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(9)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jc w:val="center"/>
              <w:ind w:right="20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(9)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ind w:right="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4"/>
              </w:rPr>
              <w:t>Common</w:t>
            </w:r>
          </w:p>
        </w:tc>
        <w:tc>
          <w:tcPr>
            <w:tcW w:w="52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33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jc w:val="center"/>
              <w:ind w:right="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  <w:w w:val="92"/>
              </w:rPr>
              <w:t>105.86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92"/>
                <w:vertAlign w:val="superscript"/>
              </w:rPr>
              <w:t>(6)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  <w:vMerge w:val="restart"/>
          </w:tcPr>
          <w:p>
            <w:pPr>
              <w:jc w:val="center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01/01/2022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jc w:val="center"/>
              <w:ind w:left="19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2"/>
              </w:rPr>
              <w:t>33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jc w:val="center"/>
              <w:ind w:left="158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1,414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ind w:right="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Stock</w:t>
            </w:r>
          </w:p>
        </w:tc>
        <w:tc>
          <w:tcPr>
            <w:tcW w:w="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Deferred</w:t>
            </w:r>
          </w:p>
        </w:tc>
        <w:tc>
          <w:tcPr>
            <w:tcW w:w="840" w:type="dxa"/>
            <w:vAlign w:val="bottom"/>
            <w:vMerge w:val="restart"/>
          </w:tcPr>
          <w:p>
            <w:pPr>
              <w:jc w:val="center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91"/>
              </w:rPr>
              <w:t>(10)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5"/>
                <w:szCs w:val="25"/>
                <w:color w:val="0000FF"/>
                <w:vertAlign w:val="subscript"/>
              </w:rPr>
              <w:t>A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(5)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  <w:vMerge w:val="restart"/>
          </w:tcPr>
          <w:p>
            <w:pPr>
              <w:jc w:val="center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91"/>
              </w:rPr>
              <w:t>(10)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jc w:val="center"/>
              <w:ind w:right="18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91"/>
              </w:rPr>
              <w:t>(10)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ind w:right="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4"/>
              </w:rPr>
              <w:t>Common</w:t>
            </w:r>
          </w:p>
        </w:tc>
        <w:tc>
          <w:tcPr>
            <w:tcW w:w="52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44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jc w:val="center"/>
              <w:ind w:right="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  <w:w w:val="92"/>
              </w:rPr>
              <w:t>105.86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92"/>
                <w:vertAlign w:val="superscript"/>
              </w:rPr>
              <w:t>(6)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  <w:vMerge w:val="restart"/>
          </w:tcPr>
          <w:p>
            <w:pPr>
              <w:jc w:val="center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01/01/2022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jc w:val="center"/>
              <w:ind w:left="19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2"/>
              </w:rPr>
              <w:t>44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jc w:val="center"/>
              <w:ind w:left="158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1,903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ind w:right="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Stock</w:t>
            </w:r>
          </w:p>
        </w:tc>
        <w:tc>
          <w:tcPr>
            <w:tcW w:w="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-5303520</wp:posOffset>
            </wp:positionV>
            <wp:extent cx="29210" cy="530860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5308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3" w:lineRule="exact"/>
        <w:rPr>
          <w:sz w:val="20"/>
          <w:szCs w:val="20"/>
          <w:color w:val="auto"/>
        </w:rPr>
      </w:pPr>
    </w:p>
    <w:p>
      <w:pPr>
        <w:ind w:left="40" w:right="180" w:firstLine="3"/>
        <w:spacing w:after="0" w:line="293" w:lineRule="auto"/>
        <w:tabs>
          <w:tab w:leader="none" w:pos="170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The shares of deferred stock vest in quarterly installments on the last day of each calendar quarter during 2022 and will be settled in shares of ManpowerGroup common stock on a 1 for 1 basis on the earlier of January 1, 2025 or within 30 days after the reporting person's termination of service as a director, except as otherwise provided in the "Terms and Conditions" (as defined below).</w:t>
      </w:r>
    </w:p>
    <w:p>
      <w:pPr>
        <w:spacing w:after="0" w:line="1" w:lineRule="exact"/>
        <w:rPr>
          <w:rFonts w:ascii="Arial" w:cs="Arial" w:eastAsia="Arial" w:hAnsi="Arial"/>
          <w:sz w:val="12"/>
          <w:szCs w:val="12"/>
          <w:color w:val="008000"/>
        </w:rPr>
      </w:pPr>
    </w:p>
    <w:p>
      <w:pPr>
        <w:ind w:left="40" w:right="320" w:firstLine="3"/>
        <w:spacing w:after="0" w:line="252" w:lineRule="auto"/>
        <w:tabs>
          <w:tab w:leader="none" w:pos="17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Annual grant of deferred stock under the 2011 Equity Incentive Plan of the Company (the "Plan") and the Terms and Conditions Regarding the Grant of Awards to Non-Employee Directors under the Plan (the "Terms and Conditions").</w:t>
      </w:r>
    </w:p>
    <w:p>
      <w:pPr>
        <w:spacing w:after="0" w:line="24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the Market Price (as defined in the Plan) on the last trading day of 2021.</w:t>
      </w:r>
    </w:p>
    <w:p>
      <w:pPr>
        <w:spacing w:after="0" w:line="45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180" w:firstLine="3"/>
        <w:spacing w:after="0" w:line="252" w:lineRule="auto"/>
        <w:tabs>
          <w:tab w:leader="none" w:pos="17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shares of deferred stock are fully vested on the date of grant and will be settled in shares of ManpowerGroup common stock on a 1 for 1 basis on the earlier of January 1, 2024 or within 30 days after the reporting person's termination of service as a director, except as otherwise provided in the Terms and Conditions.</w:t>
      </w:r>
    </w:p>
    <w:p>
      <w:pPr>
        <w:spacing w:after="0" w:line="24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Receipt of deferred stock under the Plan and the Terms and Conditions in lieu of dividends.</w:t>
      </w:r>
    </w:p>
    <w:p>
      <w:pPr>
        <w:spacing w:after="0" w:line="45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the Average Trading Price (as defined in the Terms and Conditions).</w:t>
      </w:r>
    </w:p>
    <w:p>
      <w:pPr>
        <w:spacing w:after="0" w:line="45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180" w:firstLine="3"/>
        <w:spacing w:after="0" w:line="252" w:lineRule="auto"/>
        <w:tabs>
          <w:tab w:leader="none" w:pos="17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shares of deferred stock are fully vested on the date of grant and will be settled in shares of ManpowerGroup common stock on a 1 for 1 basis on the earlier of January 1, 2025 or within 30 days after the reporting person's termination of service as a director, except as otherwise provided in the Terms and Conditions.</w:t>
      </w:r>
    </w:p>
    <w:p>
      <w:pPr>
        <w:sectPr>
          <w:pgSz w:w="11900" w:h="16838" w:orient="portrait"/>
          <w:cols w:equalWidth="0" w:num="1">
            <w:col w:w="11080"/>
          </w:cols>
          <w:pgMar w:left="460" w:top="222" w:right="359" w:bottom="0" w:gutter="0" w:footer="0" w:header="0"/>
          <w:type w:val="continuous"/>
        </w:sectPr>
      </w:pPr>
    </w:p>
    <w:bookmarkStart w:id="1" w:name="page2"/>
    <w:bookmarkEnd w:id="1"/>
    <w:p>
      <w:pPr>
        <w:ind w:firstLine="3"/>
        <w:spacing w:after="0" w:line="252" w:lineRule="auto"/>
        <w:tabs>
          <w:tab w:leader="none" w:pos="13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shares of deferred stock are fully vested on the date of grant and will be settled in shares of ManpowerGroup common stock on a 1 for 1 basis on the earlier of January 1, 2026 or within 30 days after the reporting person's termination of service as a director, except as otherwise provided in the Terms and Conditions.</w:t>
      </w:r>
    </w:p>
    <w:p>
      <w:pPr>
        <w:spacing w:after="0" w:line="24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firstLine="3"/>
        <w:spacing w:after="0" w:line="252" w:lineRule="auto"/>
        <w:tabs>
          <w:tab w:leader="none" w:pos="13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shares of deferred stock are fully vested on the date of grant and will be settled in shares of ManpowerGroup common stock on a 1 for 1 basis on the earlier of January 1, 2027 or within 30 days after the reporting person's termination of service as a director, except as otherwise provided in the Terms and Conditions.</w:t>
      </w:r>
    </w:p>
    <w:p>
      <w:pPr>
        <w:spacing w:after="0" w:line="24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right="120" w:firstLine="3"/>
        <w:spacing w:after="0" w:line="252" w:lineRule="auto"/>
        <w:tabs>
          <w:tab w:leader="none" w:pos="195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shares of deferred stock are fully vested on the date of grant and will be settled in shares of ManpowerGroup common stock on a 1 for 1 basis on the earlier of January 1, 2028 or within 30 days after the reporting person's termination of service as a director, except as otherwise provided in the Terms and Conditions.</w:t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0"/>
          <w:szCs w:val="20"/>
          <w:color w:val="auto"/>
        </w:rPr>
      </w:pPr>
    </w:p>
    <w:p>
      <w:pPr>
        <w:ind w:left="65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/s/ Richard Buchband (pursuant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4162425</wp:posOffset>
            </wp:positionH>
            <wp:positionV relativeFrom="paragraph">
              <wp:posOffset>-10795</wp:posOffset>
            </wp:positionV>
            <wp:extent cx="136207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207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60"/>
        <w:spacing w:after="0"/>
        <w:tabs>
          <w:tab w:leader="none" w:pos="87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to Power of Attorney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01/04/2022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4162425</wp:posOffset>
            </wp:positionH>
            <wp:positionV relativeFrom="paragraph">
              <wp:posOffset>-14605</wp:posOffset>
            </wp:positionV>
            <wp:extent cx="188404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8404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previously filed)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4162425</wp:posOffset>
            </wp:positionH>
            <wp:positionV relativeFrom="paragraph">
              <wp:posOffset>-14605</wp:posOffset>
            </wp:positionV>
            <wp:extent cx="71247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247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ind w:left="6560"/>
        <w:spacing w:after="0"/>
        <w:tabs>
          <w:tab w:leader="none" w:pos="87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jc w:val="both"/>
        <w:ind w:right="3360" w:firstLine="3"/>
        <w:spacing w:after="0" w:line="337" w:lineRule="auto"/>
        <w:tabs>
          <w:tab w:leader="none" w:pos="137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0860"/>
      </w:cols>
      <w:pgMar w:left="500" w:top="131" w:right="53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8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633214" TargetMode="External"/><Relationship Id="rId13" Type="http://schemas.openxmlformats.org/officeDocument/2006/relationships/hyperlink" Target="http://www.sec.gov/cgi-bin/browse-edgar?action=getcompany&amp;CIK=000087176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2022-01-04T17:48:08Z</dcterms:created>
  <dcterms:modified xsi:type="dcterms:W3CDTF">2022-01-04T17:48:08Z</dcterms:modified>
</cp:coreProperties>
</file>