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56418H100</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December 31, 2015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040" w:hanging="231"/>
        <w:spacing w:after="0"/>
        <w:tabs>
          <w:tab w:leader="none" w:pos="5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52"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 X ]</w:t>
      </w:r>
      <w:r>
        <w:rPr>
          <w:rFonts w:ascii="Arial" w:cs="Arial" w:eastAsia="Arial" w:hAnsi="Arial"/>
          <w:sz w:val="16"/>
          <w:szCs w:val="16"/>
          <w:color w:val="auto"/>
        </w:rPr>
        <w:t>Rule 13d-1(c)</w:t>
      </w:r>
    </w:p>
    <w:p>
      <w:pPr>
        <w:spacing w:after="0" w:line="252" w:lineRule="exact"/>
        <w:rPr>
          <w:sz w:val="24"/>
          <w:szCs w:val="24"/>
          <w:color w:val="auto"/>
        </w:rPr>
      </w:pPr>
    </w:p>
    <w:p>
      <w:pPr>
        <w:ind w:left="5080" w:hanging="293"/>
        <w:spacing w:after="0"/>
        <w:tabs>
          <w:tab w:leader="none" w:pos="5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5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0040" w:val="left"/>
        </w:tabs>
        <w:rPr>
          <w:sz w:val="20"/>
          <w:szCs w:val="20"/>
          <w:color w:val="auto"/>
        </w:rPr>
      </w:pPr>
      <w:r>
        <w:rPr>
          <w:rFonts w:ascii="Arial" w:cs="Arial" w:eastAsia="Arial" w:hAnsi="Arial"/>
          <w:sz w:val="18"/>
          <w:szCs w:val="18"/>
          <w:color w:val="auto"/>
        </w:rPr>
        <w:t>CUSIP No. 56418H100</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GLENVIEW CAPITAL MANAGEMENT, LLC</w:t>
      </w:r>
    </w:p>
    <w:p>
      <w:pPr>
        <w:spacing w:after="0" w:line="36"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100" w:hanging="24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5.</w:t>
            </w:r>
          </w:p>
        </w:tc>
        <w:tc>
          <w:tcPr>
            <w:tcW w:w="3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Sole Voting Power</w:t>
            </w:r>
          </w:p>
        </w:tc>
        <w:tc>
          <w:tcPr>
            <w:tcW w:w="5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5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9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6.</w:t>
            </w:r>
          </w:p>
        </w:tc>
        <w:tc>
          <w:tcPr>
            <w:tcW w:w="346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5480" w:type="dxa"/>
            <w:vAlign w:val="bottom"/>
            <w:vMerge w:val="restart"/>
          </w:tcPr>
          <w:p>
            <w:pPr>
              <w:ind w:left="1200"/>
              <w:spacing w:after="0"/>
              <w:rPr>
                <w:sz w:val="20"/>
                <w:szCs w:val="20"/>
                <w:color w:val="auto"/>
              </w:rPr>
            </w:pPr>
            <w:r>
              <w:rPr>
                <w:rFonts w:ascii="Arial" w:cs="Arial" w:eastAsia="Arial" w:hAnsi="Arial"/>
                <w:sz w:val="18"/>
                <w:szCs w:val="18"/>
                <w:color w:val="auto"/>
              </w:rPr>
              <w:t>4,799,409</w:t>
            </w:r>
          </w:p>
        </w:tc>
        <w:tc>
          <w:tcPr>
            <w:tcW w:w="0" w:type="dxa"/>
            <w:vAlign w:val="bottom"/>
          </w:tcPr>
          <w:p>
            <w:pPr>
              <w:spacing w:after="0"/>
              <w:rPr>
                <w:sz w:val="1"/>
                <w:szCs w:val="1"/>
                <w:color w:val="auto"/>
              </w:rPr>
            </w:pPr>
          </w:p>
        </w:tc>
      </w:tr>
      <w:tr>
        <w:trPr>
          <w:trHeight w:val="137"/>
        </w:trPr>
        <w:tc>
          <w:tcPr>
            <w:tcW w:w="15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20" w:type="dxa"/>
            <w:vAlign w:val="bottom"/>
            <w:gridSpan w:val="2"/>
            <w:vMerge w:val="continue"/>
          </w:tcPr>
          <w:p>
            <w:pPr>
              <w:spacing w:after="0"/>
              <w:rPr>
                <w:sz w:val="11"/>
                <w:szCs w:val="11"/>
                <w:color w:val="auto"/>
              </w:rPr>
            </w:pPr>
          </w:p>
        </w:tc>
        <w:tc>
          <w:tcPr>
            <w:tcW w:w="34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5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400" w:type="dxa"/>
            <w:vAlign w:val="bottom"/>
          </w:tcPr>
          <w:p>
            <w:pPr>
              <w:spacing w:after="0"/>
              <w:rPr>
                <w:sz w:val="16"/>
                <w:szCs w:val="16"/>
                <w:color w:val="auto"/>
              </w:rPr>
            </w:pPr>
          </w:p>
        </w:tc>
        <w:tc>
          <w:tcPr>
            <w:tcW w:w="520" w:type="dxa"/>
            <w:vAlign w:val="bottom"/>
          </w:tcPr>
          <w:p>
            <w:pPr>
              <w:jc w:val="right"/>
              <w:ind w:right="290"/>
              <w:spacing w:after="0" w:line="189" w:lineRule="exact"/>
              <w:rPr>
                <w:sz w:val="20"/>
                <w:szCs w:val="20"/>
                <w:color w:val="auto"/>
              </w:rPr>
            </w:pPr>
            <w:r>
              <w:rPr>
                <w:rFonts w:ascii="Arial" w:cs="Arial" w:eastAsia="Arial" w:hAnsi="Arial"/>
                <w:sz w:val="18"/>
                <w:szCs w:val="18"/>
                <w:color w:val="auto"/>
                <w:w w:val="79"/>
              </w:rPr>
              <w:t>7.</w:t>
            </w:r>
          </w:p>
        </w:tc>
        <w:tc>
          <w:tcPr>
            <w:tcW w:w="3460" w:type="dxa"/>
            <w:vAlign w:val="bottom"/>
          </w:tcPr>
          <w:p>
            <w:pPr>
              <w:ind w:left="380"/>
              <w:spacing w:after="0" w:line="189" w:lineRule="exact"/>
              <w:rPr>
                <w:sz w:val="20"/>
                <w:szCs w:val="20"/>
                <w:color w:val="auto"/>
              </w:rPr>
            </w:pPr>
            <w:r>
              <w:rPr>
                <w:rFonts w:ascii="Arial" w:cs="Arial" w:eastAsia="Arial" w:hAnsi="Arial"/>
                <w:sz w:val="18"/>
                <w:szCs w:val="18"/>
                <w:color w:val="auto"/>
              </w:rPr>
              <w:t>Sole Dispositive Power</w:t>
            </w:r>
          </w:p>
        </w:tc>
        <w:tc>
          <w:tcPr>
            <w:tcW w:w="5480" w:type="dxa"/>
            <w:vAlign w:val="bottom"/>
          </w:tcPr>
          <w:p>
            <w:pPr>
              <w:ind w:left="12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5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9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8.</w:t>
            </w:r>
          </w:p>
        </w:tc>
        <w:tc>
          <w:tcPr>
            <w:tcW w:w="3460" w:type="dxa"/>
            <w:vAlign w:val="bottom"/>
            <w:vMerge w:val="restart"/>
          </w:tcPr>
          <w:p>
            <w:pPr>
              <w:ind w:left="380"/>
              <w:spacing w:after="0"/>
              <w:rPr>
                <w:sz w:val="20"/>
                <w:szCs w:val="20"/>
                <w:color w:val="auto"/>
              </w:rPr>
            </w:pPr>
            <w:r>
              <w:rPr>
                <w:rFonts w:ascii="Arial" w:cs="Arial" w:eastAsia="Arial" w:hAnsi="Arial"/>
                <w:sz w:val="18"/>
                <w:szCs w:val="18"/>
                <w:color w:val="auto"/>
              </w:rPr>
              <w:t>Shared Dispositive Power</w:t>
            </w:r>
          </w:p>
        </w:tc>
        <w:tc>
          <w:tcPr>
            <w:tcW w:w="5480" w:type="dxa"/>
            <w:vAlign w:val="bottom"/>
            <w:vMerge w:val="restart"/>
          </w:tcPr>
          <w:p>
            <w:pPr>
              <w:ind w:left="1200"/>
              <w:spacing w:after="0"/>
              <w:rPr>
                <w:sz w:val="20"/>
                <w:szCs w:val="20"/>
                <w:color w:val="auto"/>
              </w:rPr>
            </w:pPr>
            <w:r>
              <w:rPr>
                <w:rFonts w:ascii="Arial" w:cs="Arial" w:eastAsia="Arial" w:hAnsi="Arial"/>
                <w:sz w:val="18"/>
                <w:szCs w:val="18"/>
                <w:color w:val="auto"/>
              </w:rPr>
              <w:t>4,799,409</w:t>
            </w:r>
          </w:p>
        </w:tc>
        <w:tc>
          <w:tcPr>
            <w:tcW w:w="0" w:type="dxa"/>
            <w:vAlign w:val="bottom"/>
          </w:tcPr>
          <w:p>
            <w:pPr>
              <w:spacing w:after="0"/>
              <w:rPr>
                <w:sz w:val="1"/>
                <w:szCs w:val="1"/>
                <w:color w:val="auto"/>
              </w:rPr>
            </w:pPr>
          </w:p>
        </w:tc>
      </w:tr>
      <w:tr>
        <w:trPr>
          <w:trHeight w:val="150"/>
        </w:trPr>
        <w:tc>
          <w:tcPr>
            <w:tcW w:w="15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20" w:type="dxa"/>
            <w:vAlign w:val="bottom"/>
            <w:gridSpan w:val="2"/>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5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5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60" w:right="576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4,799,409</w:t>
      </w:r>
    </w:p>
    <w:p>
      <w:pPr>
        <w:ind w:left="860" w:right="430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860" w:right="678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6.52%</w:t>
      </w: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spacing w:after="0"/>
        <w:tabs>
          <w:tab w:leader="none" w:pos="10040" w:val="left"/>
        </w:tabs>
        <w:rPr>
          <w:sz w:val="20"/>
          <w:szCs w:val="20"/>
          <w:color w:val="auto"/>
        </w:rPr>
      </w:pPr>
      <w:r>
        <w:rPr>
          <w:rFonts w:ascii="Arial" w:cs="Arial" w:eastAsia="Arial" w:hAnsi="Arial"/>
          <w:sz w:val="18"/>
          <w:szCs w:val="18"/>
          <w:color w:val="auto"/>
        </w:rPr>
        <w:t>CUSIP No. 56418H100</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LARRY ROBBINS</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40" w:hanging="260"/>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100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w:t>
            </w:r>
          </w:p>
        </w:tc>
        <w:tc>
          <w:tcPr>
            <w:tcW w:w="33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Sole Voting Power</w:t>
            </w:r>
          </w:p>
        </w:tc>
        <w:tc>
          <w:tcPr>
            <w:tcW w:w="53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vMerge w:val="continue"/>
          </w:tcPr>
          <w:p>
            <w:pPr>
              <w:spacing w:after="0"/>
              <w:rPr>
                <w:sz w:val="8"/>
                <w:szCs w:val="8"/>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6.</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4,799,409</w:t>
            </w:r>
          </w:p>
        </w:tc>
        <w:tc>
          <w:tcPr>
            <w:tcW w:w="0" w:type="dxa"/>
            <w:vAlign w:val="bottom"/>
          </w:tcPr>
          <w:p>
            <w:pPr>
              <w:spacing w:after="0"/>
              <w:rPr>
                <w:sz w:val="1"/>
                <w:szCs w:val="1"/>
                <w:color w:val="auto"/>
              </w:rPr>
            </w:pPr>
          </w:p>
        </w:tc>
      </w:tr>
      <w:tr>
        <w:trPr>
          <w:trHeight w:val="137"/>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000" w:type="dxa"/>
            <w:vAlign w:val="bottom"/>
            <w:gridSpan w:val="2"/>
            <w:vMerge w:val="continue"/>
          </w:tcPr>
          <w:p>
            <w:pPr>
              <w:spacing w:after="0"/>
              <w:rPr>
                <w:sz w:val="11"/>
                <w:szCs w:val="11"/>
                <w:color w:val="auto"/>
              </w:rPr>
            </w:pPr>
          </w:p>
        </w:tc>
        <w:tc>
          <w:tcPr>
            <w:tcW w:w="3380" w:type="dxa"/>
            <w:vAlign w:val="bottom"/>
            <w:vMerge w:val="continue"/>
          </w:tcPr>
          <w:p>
            <w:pPr>
              <w:spacing w:after="0"/>
              <w:rPr>
                <w:sz w:val="11"/>
                <w:szCs w:val="11"/>
                <w:color w:val="auto"/>
              </w:rPr>
            </w:pP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520" w:type="dxa"/>
            <w:vAlign w:val="bottom"/>
          </w:tcPr>
          <w:p>
            <w:pPr>
              <w:spacing w:after="0"/>
              <w:rPr>
                <w:sz w:val="16"/>
                <w:szCs w:val="16"/>
                <w:color w:val="auto"/>
              </w:rPr>
            </w:pPr>
          </w:p>
        </w:tc>
        <w:tc>
          <w:tcPr>
            <w:tcW w:w="48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7.</w:t>
            </w:r>
          </w:p>
        </w:tc>
        <w:tc>
          <w:tcPr>
            <w:tcW w:w="3380" w:type="dxa"/>
            <w:vAlign w:val="bottom"/>
          </w:tcPr>
          <w:p>
            <w:pPr>
              <w:ind w:left="340"/>
              <w:spacing w:after="0" w:line="189" w:lineRule="exact"/>
              <w:rPr>
                <w:sz w:val="20"/>
                <w:szCs w:val="20"/>
                <w:color w:val="auto"/>
              </w:rPr>
            </w:pPr>
            <w:r>
              <w:rPr>
                <w:rFonts w:ascii="Arial" w:cs="Arial" w:eastAsia="Arial" w:hAnsi="Arial"/>
                <w:sz w:val="18"/>
                <w:szCs w:val="18"/>
                <w:color w:val="auto"/>
              </w:rPr>
              <w:t>Sole Dispositive Power</w:t>
            </w:r>
          </w:p>
        </w:tc>
        <w:tc>
          <w:tcPr>
            <w:tcW w:w="5340" w:type="dxa"/>
            <w:vAlign w:val="bottom"/>
          </w:tcPr>
          <w:p>
            <w:pPr>
              <w:ind w:left="11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70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8.</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4,799,409</w:t>
            </w:r>
          </w:p>
        </w:tc>
        <w:tc>
          <w:tcPr>
            <w:tcW w:w="0" w:type="dxa"/>
            <w:vAlign w:val="bottom"/>
          </w:tcPr>
          <w:p>
            <w:pPr>
              <w:spacing w:after="0"/>
              <w:rPr>
                <w:sz w:val="1"/>
                <w:szCs w:val="1"/>
                <w:color w:val="auto"/>
              </w:rPr>
            </w:pPr>
          </w:p>
        </w:tc>
      </w:tr>
      <w:tr>
        <w:trPr>
          <w:trHeight w:val="150"/>
        </w:trPr>
        <w:tc>
          <w:tcPr>
            <w:tcW w:w="17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00" w:type="dxa"/>
            <w:vAlign w:val="bottom"/>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80" w:right="564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4,799,409</w:t>
      </w:r>
    </w:p>
    <w:p>
      <w:pPr>
        <w:ind w:left="980" w:right="418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980" w:right="666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6.52%</w:t>
      </w:r>
    </w:p>
    <w:p>
      <w:pPr>
        <w:ind w:left="980" w:right="8540" w:hanging="972"/>
        <w:spacing w:after="0" w:line="52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-1443355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217805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10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 (the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 Milwaukee, Wisconsin 53212</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52" w:lineRule="exact"/>
        <w:rPr>
          <w:sz w:val="20"/>
          <w:szCs w:val="20"/>
          <w:color w:val="auto"/>
        </w:rPr>
      </w:pPr>
    </w:p>
    <w:p>
      <w:pPr>
        <w:ind w:left="1500" w:hanging="195"/>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Glenview Capital Management, LLC (“Glenview Capital Management”);</w:t>
      </w:r>
    </w:p>
    <w:p>
      <w:pPr>
        <w:spacing w:after="0" w:line="252" w:lineRule="exact"/>
        <w:rPr>
          <w:rFonts w:ascii="Arial" w:cs="Arial" w:eastAsia="Arial" w:hAnsi="Arial"/>
          <w:sz w:val="18"/>
          <w:szCs w:val="18"/>
          <w:color w:val="auto"/>
        </w:rPr>
      </w:pPr>
    </w:p>
    <w:p>
      <w:pPr>
        <w:ind w:left="1500" w:hanging="195"/>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Larry Robbins (“Mr. Robbins”).</w:t>
      </w:r>
    </w:p>
    <w:p>
      <w:pPr>
        <w:spacing w:after="0" w:line="252" w:lineRule="exact"/>
        <w:rPr>
          <w:sz w:val="20"/>
          <w:szCs w:val="20"/>
          <w:color w:val="auto"/>
        </w:rPr>
      </w:pPr>
    </w:p>
    <w:p>
      <w:pPr>
        <w:ind w:right="120" w:firstLine="1395"/>
        <w:spacing w:after="0" w:line="257" w:lineRule="auto"/>
        <w:rPr>
          <w:sz w:val="20"/>
          <w:szCs w:val="20"/>
          <w:color w:val="auto"/>
        </w:rPr>
      </w:pPr>
      <w:r>
        <w:rPr>
          <w:rFonts w:ascii="Arial" w:cs="Arial" w:eastAsia="Arial" w:hAnsi="Arial"/>
          <w:sz w:val="18"/>
          <w:szCs w:val="18"/>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and Glenview Capital Opportunity Fund, L.P., a Delaware limited partnership (“Glenview Capital Opportunity Fund”).</w:t>
      </w:r>
    </w:p>
    <w:p>
      <w:pPr>
        <w:spacing w:after="0" w:line="188"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Glenview Capital Management serves as investment manager to each of Glenview Capital Partners, Glenview Capital Master Fund, Glenview Institutional Partners, Glenview Offshore Opportunity Master Fund, and Glenview Capital Opportunity Fund. Mr. Robbins is the Chief Executive Officer of Glenview Capital Management.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address of the principal business office of each of Glenview Capital Management and Mr. Robbins is 767 Fifth Avenue, 44th Floor, New York, New York 10153.</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1500" w:hanging="195"/>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Glenview Capital Management is a Delaware limited liability company;</w:t>
      </w:r>
    </w:p>
    <w:p>
      <w:pPr>
        <w:spacing w:after="0" w:line="252" w:lineRule="exact"/>
        <w:rPr>
          <w:rFonts w:ascii="Arial" w:cs="Arial" w:eastAsia="Arial" w:hAnsi="Arial"/>
          <w:sz w:val="18"/>
          <w:szCs w:val="18"/>
          <w:color w:val="auto"/>
        </w:rPr>
      </w:pPr>
    </w:p>
    <w:p>
      <w:pPr>
        <w:ind w:left="1500" w:hanging="195"/>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Robbins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$0.01 par value per share (the “Shares”)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color w:val="auto"/>
        </w:rPr>
        <w:t>Page 5 of 10 Pages</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Whether the Person Filing is a:</w:t>
      </w:r>
    </w:p>
    <w:p>
      <w:pPr>
        <w:spacing w:after="0" w:line="200" w:lineRule="exact"/>
        <w:rPr>
          <w:sz w:val="20"/>
          <w:szCs w:val="20"/>
          <w:color w:val="auto"/>
        </w:rPr>
      </w:pPr>
    </w:p>
    <w:p>
      <w:pPr>
        <w:sectPr>
          <w:pgSz w:w="11900" w:h="16838" w:orient="portrait"/>
          <w:cols w:equalWidth="0" w:num="2">
            <w:col w:w="580" w:space="720"/>
            <w:col w:w="10120"/>
          </w:cols>
          <w:pgMar w:left="240" w:top="611" w:right="239" w:bottom="1440" w:gutter="0" w:footer="0" w:header="0"/>
          <w:type w:val="continuous"/>
        </w:sectPr>
      </w:pPr>
    </w:p>
    <w:p>
      <w:pPr>
        <w:spacing w:after="0" w:line="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Item 3 is not applicable.</w:t>
      </w:r>
    </w:p>
    <w:p>
      <w:pPr>
        <w:sectPr>
          <w:pgSz w:w="11900" w:h="16838" w:orient="portrait"/>
          <w:cols w:equalWidth="0" w:num="1">
            <w:col w:w="11420"/>
          </w:cols>
          <w:pgMar w:left="240" w:top="611" w:right="239" w:bottom="1440" w:gutter="0" w:footer="0" w:header="0"/>
          <w:type w:val="continuous"/>
        </w:sectPr>
      </w:pPr>
    </w:p>
    <w:p>
      <w:pPr>
        <w:spacing w:after="0" w:line="271" w:lineRule="exact"/>
        <w:rPr>
          <w:sz w:val="20"/>
          <w:szCs w:val="20"/>
          <w:color w:val="auto"/>
        </w:rPr>
      </w:pPr>
    </w:p>
    <w:p>
      <w:pPr>
        <w:spacing w:after="0" w:line="566"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79" w:lineRule="exact"/>
        <w:rPr>
          <w:sz w:val="20"/>
          <w:szCs w:val="20"/>
          <w:color w:val="auto"/>
        </w:rPr>
      </w:pPr>
    </w:p>
    <w:p>
      <w:pPr>
        <w:sectPr>
          <w:pgSz w:w="11900" w:h="16838" w:orient="portrait"/>
          <w:cols w:equalWidth="0" w:num="2">
            <w:col w:w="720" w:space="580"/>
            <w:col w:w="10120"/>
          </w:cols>
          <w:pgMar w:left="240" w:top="611" w:right="239" w:bottom="1440" w:gutter="0" w:footer="0" w:header="0"/>
          <w:type w:val="continuous"/>
        </w:sectPr>
      </w:pPr>
    </w:p>
    <w:p>
      <w:pPr>
        <w:ind w:right="280" w:firstLine="1297"/>
        <w:spacing w:after="0" w:line="302" w:lineRule="auto"/>
        <w:rPr>
          <w:sz w:val="20"/>
          <w:szCs w:val="20"/>
          <w:color w:val="auto"/>
        </w:rPr>
      </w:pPr>
      <w:r>
        <w:rPr>
          <w:rFonts w:ascii="Arial" w:cs="Arial" w:eastAsia="Arial" w:hAnsi="Arial"/>
          <w:sz w:val="16"/>
          <w:szCs w:val="16"/>
          <w:color w:val="auto"/>
        </w:rPr>
        <w:t>As of December 31, 2015, each of Glenview Capital Management and Mr. Robbins may be deemed the beneficial owner of 4,799,409 Shares. This amount consists of: (A) 129,865 Shares held for the account of Glenview Capital Partners; (B) 1,803,036 Shares held for the account of Glenview Capital Master Fund; (C) 1,017,365 Shares held for the account of Glenview Institutional Partners; (D) 1,033,990 Shares held for the account of Glenview Offshore Opportunity Master Fund; and (E) 815,153 Shares held for the account of Glenview Capital Opportunity Fund.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56"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As of December 31, 2015, each of the Reporting Persons may be deemed the beneficial owner of approximately 6.52% of Shares outstanding. (There were approximately 73,615,821 Shares outstanding as of October 28, 2015, according to the Issuer’s quarterly report on Form 10-Q, filed October 30, 2015.)</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 Sole power to vote or direct the vote:</w:t>
            </w:r>
          </w:p>
        </w:tc>
        <w:tc>
          <w:tcPr>
            <w:tcW w:w="4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(ii) Shared power to vote or direct the vote:</w:t>
            </w:r>
          </w:p>
        </w:tc>
        <w:tc>
          <w:tcPr>
            <w:tcW w:w="4040" w:type="dxa"/>
            <w:vAlign w:val="bottom"/>
          </w:tcPr>
          <w:p>
            <w:pPr>
              <w:jc w:val="right"/>
              <w:spacing w:after="0"/>
              <w:rPr>
                <w:sz w:val="20"/>
                <w:szCs w:val="20"/>
                <w:color w:val="auto"/>
              </w:rPr>
            </w:pPr>
            <w:r>
              <w:rPr>
                <w:rFonts w:ascii="Arial" w:cs="Arial" w:eastAsia="Arial" w:hAnsi="Arial"/>
                <w:sz w:val="18"/>
                <w:szCs w:val="18"/>
                <w:color w:val="auto"/>
              </w:rPr>
              <w:t>4,799,409</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4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4040" w:type="dxa"/>
            <w:vAlign w:val="bottom"/>
          </w:tcPr>
          <w:p>
            <w:pPr>
              <w:jc w:val="right"/>
              <w:spacing w:after="0"/>
              <w:rPr>
                <w:sz w:val="20"/>
                <w:szCs w:val="20"/>
                <w:color w:val="auto"/>
              </w:rPr>
            </w:pPr>
            <w:r>
              <w:rPr>
                <w:rFonts w:ascii="Arial" w:cs="Arial" w:eastAsia="Arial" w:hAnsi="Arial"/>
                <w:sz w:val="18"/>
                <w:szCs w:val="18"/>
                <w:color w:val="auto"/>
              </w:rPr>
              <w:t>4,799,409</w:t>
            </w: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5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10 Pages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Being Reported on By the Parent Holding Company or Control Person: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disclosure in Item 2 hereof.</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8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9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10 Pages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680"/>
        <w:spacing w:after="0"/>
        <w:tabs>
          <w:tab w:leader="none" w:pos="9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23495</wp:posOffset>
            </wp:positionV>
            <wp:extent cx="10807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of Glenview Capital Management,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LARRY ROBBINS</w:t>
      </w:r>
    </w:p>
    <w:p>
      <w:pPr>
        <w:spacing w:after="0" w:line="229" w:lineRule="exact"/>
        <w:rPr>
          <w:sz w:val="20"/>
          <w:szCs w:val="20"/>
          <w:color w:val="auto"/>
        </w:rPr>
      </w:pPr>
    </w:p>
    <w:p>
      <w:pPr>
        <w:ind w:left="5680"/>
        <w:spacing w:after="0"/>
        <w:tabs>
          <w:tab w:leader="none" w:pos="9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23495</wp:posOffset>
            </wp:positionV>
            <wp:extent cx="10807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Page 8 of 10 Pages</w:t>
            </w:r>
          </w:p>
        </w:tc>
      </w:tr>
      <w:tr>
        <w:trPr>
          <w:trHeight w:val="43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780" w:type="dxa"/>
            <w:vAlign w:val="bottom"/>
            <w:gridSpan w:val="2"/>
          </w:tcPr>
          <w:p>
            <w:pPr>
              <w:jc w:val="right"/>
              <w:ind w:right="491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38"/>
        </w:trPr>
        <w:tc>
          <w:tcPr>
            <w:tcW w:w="420" w:type="dxa"/>
            <w:vAlign w:val="bottom"/>
            <w:gridSpan w:val="2"/>
          </w:tcPr>
          <w:p>
            <w:pPr>
              <w:spacing w:after="0"/>
              <w:rPr>
                <w:sz w:val="20"/>
                <w:szCs w:val="20"/>
                <w:color w:val="auto"/>
              </w:rPr>
            </w:pPr>
            <w:r>
              <w:rPr>
                <w:rFonts w:ascii="Arial" w:cs="Arial" w:eastAsia="Arial" w:hAnsi="Arial"/>
                <w:sz w:val="18"/>
                <w:szCs w:val="18"/>
                <w:color w:val="auto"/>
              </w:rPr>
              <w:t>A</w:t>
            </w:r>
          </w:p>
        </w:tc>
        <w:tc>
          <w:tcPr>
            <w:tcW w:w="3220" w:type="dxa"/>
            <w:vAlign w:val="bottom"/>
          </w:tcPr>
          <w:p>
            <w:pPr>
              <w:ind w:left="160"/>
              <w:spacing w:after="0"/>
              <w:rPr>
                <w:sz w:val="20"/>
                <w:szCs w:val="20"/>
                <w:color w:val="auto"/>
              </w:rPr>
            </w:pPr>
            <w:r>
              <w:rPr>
                <w:rFonts w:ascii="Arial" w:cs="Arial" w:eastAsia="Arial" w:hAnsi="Arial"/>
                <w:sz w:val="18"/>
                <w:szCs w:val="18"/>
                <w:color w:val="auto"/>
              </w:rPr>
              <w:t>Joint Filing Agreement</w:t>
            </w: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B</w:t>
            </w:r>
          </w:p>
        </w:tc>
        <w:tc>
          <w:tcPr>
            <w:tcW w:w="3220" w:type="dxa"/>
            <w:vAlign w:val="bottom"/>
          </w:tcPr>
          <w:p>
            <w:pPr>
              <w:ind w:left="160"/>
              <w:spacing w:after="0"/>
              <w:rPr>
                <w:sz w:val="20"/>
                <w:szCs w:val="20"/>
                <w:color w:val="auto"/>
              </w:rPr>
            </w:pPr>
            <w:r>
              <w:rPr>
                <w:rFonts w:ascii="Arial" w:cs="Arial" w:eastAsia="Arial" w:hAnsi="Arial"/>
                <w:sz w:val="18"/>
                <w:szCs w:val="18"/>
                <w:color w:val="auto"/>
              </w:rPr>
              <w:t>Power of Attorney</w:t>
            </w: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821"/>
        </w:trPr>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10 Pages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of ManpowerGroup Inc. dated as of February 16, 2016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89"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680"/>
        <w:spacing w:after="0"/>
        <w:tabs>
          <w:tab w:leader="none" w:pos="9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23495</wp:posOffset>
            </wp:positionV>
            <wp:extent cx="10807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of Glenview Capital Management, LLC</w:t>
      </w:r>
    </w:p>
    <w:p>
      <w:pPr>
        <w:spacing w:after="0" w:line="200" w:lineRule="exact"/>
        <w:rPr>
          <w:sz w:val="20"/>
          <w:szCs w:val="20"/>
          <w:color w:val="auto"/>
        </w:rPr>
      </w:pPr>
    </w:p>
    <w:p>
      <w:pPr>
        <w:spacing w:after="0" w:line="27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LARRY ROBBINS</w:t>
      </w:r>
    </w:p>
    <w:p>
      <w:pPr>
        <w:spacing w:after="0" w:line="229" w:lineRule="exact"/>
        <w:rPr>
          <w:sz w:val="20"/>
          <w:szCs w:val="20"/>
          <w:color w:val="auto"/>
        </w:rPr>
      </w:pPr>
    </w:p>
    <w:p>
      <w:pPr>
        <w:ind w:left="5680"/>
        <w:spacing w:after="0"/>
        <w:tabs>
          <w:tab w:leader="none" w:pos="9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23495</wp:posOffset>
            </wp:positionV>
            <wp:extent cx="10807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80770" cy="1714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Mark J. Horowitz, attorney-in-fact for Larry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7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KNOW ALL MEN BY THESE PRESENT, that I, Larry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past acts of the attorney-in-fact in furtherance of the foregoing are hereby ratified and confirmed.</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Power of Attorney revokes the previous Power of Attorney, executed by the undersigned on February 10, 2009, and shall remain in effect until revoked, in writing, by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this 2nd day of February,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Larry Robbins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Larry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1144905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2019-12-16T08:52:39Z</dcterms:created>
  <dcterms:modified xsi:type="dcterms:W3CDTF">2019-12-16T08:52:39Z</dcterms:modified>
</cp:coreProperties>
</file>