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59"/>
        <w:spacing w:after="0"/>
        <w:rPr>
          <w:sz w:val="20"/>
          <w:szCs w:val="20"/>
          <w:color w:val="auto"/>
        </w:rPr>
      </w:pPr>
      <w:r>
        <w:rPr>
          <w:rFonts w:ascii="Arial" w:cs="Arial" w:eastAsia="Arial" w:hAnsi="Arial"/>
          <w:sz w:val="20"/>
          <w:szCs w:val="20"/>
          <w:b w:val="1"/>
          <w:bCs w:val="1"/>
          <w:color w:val="auto"/>
        </w:rPr>
        <w:t>Washington, D.C. 20549</w:t>
      </w:r>
    </w:p>
    <w:p>
      <w:pPr>
        <w:spacing w:after="0" w:line="18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SCHEDULE 13G</w:t>
      </w:r>
    </w:p>
    <w:p>
      <w:pPr>
        <w:spacing w:after="0" w:line="200" w:lineRule="exact"/>
        <w:rPr>
          <w:sz w:val="24"/>
          <w:szCs w:val="24"/>
          <w:color w:val="auto"/>
        </w:rPr>
      </w:pPr>
    </w:p>
    <w:p>
      <w:pPr>
        <w:spacing w:after="0" w:line="213" w:lineRule="exact"/>
        <w:rPr>
          <w:sz w:val="24"/>
          <w:szCs w:val="24"/>
          <w:color w:val="auto"/>
        </w:rPr>
      </w:pPr>
    </w:p>
    <w:p>
      <w:pPr>
        <w:jc w:val="center"/>
        <w:ind w:right="-139"/>
        <w:spacing w:after="0"/>
        <w:rPr>
          <w:sz w:val="20"/>
          <w:szCs w:val="20"/>
          <w:color w:val="auto"/>
        </w:rPr>
      </w:pPr>
      <w:r>
        <w:rPr>
          <w:rFonts w:ascii="Arial" w:cs="Arial" w:eastAsia="Arial" w:hAnsi="Arial"/>
          <w:sz w:val="20"/>
          <w:szCs w:val="20"/>
          <w:b w:val="1"/>
          <w:bCs w:val="1"/>
          <w:color w:val="auto"/>
        </w:rPr>
        <w:t>Under the Securities Exchange Act of 1934</w:t>
      </w:r>
    </w:p>
    <w:p>
      <w:pPr>
        <w:spacing w:after="0" w:line="22" w:lineRule="exact"/>
        <w:rPr>
          <w:sz w:val="24"/>
          <w:szCs w:val="24"/>
          <w:color w:val="auto"/>
        </w:rPr>
      </w:pPr>
    </w:p>
    <w:p>
      <w:pPr>
        <w:jc w:val="center"/>
        <w:ind w:right="-159"/>
        <w:spacing w:after="0"/>
        <w:rPr>
          <w:sz w:val="20"/>
          <w:szCs w:val="20"/>
          <w:color w:val="auto"/>
        </w:rPr>
      </w:pPr>
      <w:r>
        <w:rPr>
          <w:rFonts w:ascii="Arial" w:cs="Arial" w:eastAsia="Arial" w:hAnsi="Arial"/>
          <w:sz w:val="20"/>
          <w:szCs w:val="20"/>
          <w:b w:val="1"/>
          <w:bCs w:val="1"/>
          <w:color w:val="auto"/>
        </w:rPr>
        <w:t>(Amendment No. 1)*</w:t>
      </w:r>
    </w:p>
    <w:p>
      <w:pPr>
        <w:spacing w:after="0" w:line="37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MANPOWERGROUP INC</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(Name of Issuer)</w:t>
      </w:r>
    </w:p>
    <w:p>
      <w:pPr>
        <w:spacing w:after="0" w:line="200" w:lineRule="exact"/>
        <w:rPr>
          <w:sz w:val="24"/>
          <w:szCs w:val="24"/>
          <w:color w:val="auto"/>
        </w:rPr>
      </w:pP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Common Stock</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(Title of Class of Securities)</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56418H100</w:t>
      </w:r>
    </w:p>
    <w:p>
      <w:pPr>
        <w:spacing w:after="0" w:line="17" w:lineRule="exact"/>
        <w:rPr>
          <w:sz w:val="24"/>
          <w:szCs w:val="24"/>
          <w:color w:val="auto"/>
        </w:rPr>
      </w:pPr>
    </w:p>
    <w:p>
      <w:pPr>
        <w:jc w:val="center"/>
        <w:ind w:right="-139"/>
        <w:spacing w:after="0"/>
        <w:rPr>
          <w:sz w:val="20"/>
          <w:szCs w:val="20"/>
          <w:color w:val="auto"/>
        </w:rPr>
      </w:pPr>
      <w:r>
        <w:rPr>
          <w:rFonts w:ascii="Arial" w:cs="Arial" w:eastAsia="Arial" w:hAnsi="Arial"/>
          <w:sz w:val="20"/>
          <w:szCs w:val="20"/>
          <w:color w:val="auto"/>
        </w:rPr>
        <w:t>(CUSIP Number)</w:t>
      </w:r>
    </w:p>
    <w:p>
      <w:pPr>
        <w:spacing w:after="0" w:line="200" w:lineRule="exact"/>
        <w:rPr>
          <w:sz w:val="24"/>
          <w:szCs w:val="24"/>
          <w:color w:val="auto"/>
        </w:rPr>
      </w:pPr>
    </w:p>
    <w:p>
      <w:pPr>
        <w:spacing w:after="0" w:line="205"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u w:val="single" w:color="auto"/>
          <w:color w:val="auto"/>
        </w:rPr>
        <w:t>December 31, 2018</w:t>
      </w:r>
    </w:p>
    <w:p>
      <w:pPr>
        <w:spacing w:after="0" w:line="17" w:lineRule="exact"/>
        <w:rPr>
          <w:sz w:val="24"/>
          <w:szCs w:val="24"/>
          <w:color w:val="auto"/>
        </w:rPr>
      </w:pPr>
    </w:p>
    <w:p>
      <w:pPr>
        <w:jc w:val="center"/>
        <w:ind w:right="-159"/>
        <w:spacing w:after="0"/>
        <w:rPr>
          <w:sz w:val="20"/>
          <w:szCs w:val="20"/>
          <w:color w:val="auto"/>
        </w:rPr>
      </w:pPr>
      <w:r>
        <w:rPr>
          <w:rFonts w:ascii="Arial" w:cs="Arial" w:eastAsia="Arial" w:hAnsi="Arial"/>
          <w:sz w:val="20"/>
          <w:szCs w:val="20"/>
          <w:color w:val="auto"/>
        </w:rPr>
        <w:t>(Date of Event which Requires Filing of this Statement)</w:t>
      </w:r>
    </w:p>
    <w:p>
      <w:pPr>
        <w:spacing w:after="0" w:line="391"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360" w:lineRule="exact"/>
        <w:rPr>
          <w:sz w:val="24"/>
          <w:szCs w:val="24"/>
          <w:color w:val="auto"/>
        </w:rPr>
      </w:pPr>
    </w:p>
    <w:p>
      <w:pPr>
        <w:jc w:val="both"/>
        <w:ind w:left="4660" w:right="4520" w:firstLine="6"/>
        <w:spacing w:after="0" w:line="312" w:lineRule="auto"/>
        <w:tabs>
          <w:tab w:leader="none" w:pos="4955"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295" w:lineRule="exact"/>
        <w:rPr>
          <w:rFonts w:ascii="Arial" w:cs="Arial" w:eastAsia="Arial" w:hAnsi="Arial"/>
          <w:sz w:val="16"/>
          <w:szCs w:val="16"/>
          <w:color w:val="auto"/>
        </w:rPr>
      </w:pPr>
    </w:p>
    <w:p>
      <w:pPr>
        <w:ind w:right="620"/>
        <w:spacing w:after="0" w:line="342" w:lineRule="auto"/>
        <w:rPr>
          <w:rFonts w:ascii="Arial" w:cs="Arial" w:eastAsia="Arial" w:hAnsi="Arial"/>
          <w:sz w:val="16"/>
          <w:szCs w:val="16"/>
          <w:color w:val="auto"/>
        </w:rPr>
      </w:pPr>
      <w:r>
        <w:rPr>
          <w:rFonts w:ascii="Arial" w:cs="Arial" w:eastAsia="Arial" w:hAnsi="Arial"/>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72"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Instructions).</w:t>
      </w:r>
    </w:p>
    <w:p>
      <w:pPr>
        <w:sectPr>
          <w:pgSz w:w="11900" w:h="16838" w:orient="portrait"/>
          <w:cols w:equalWidth="0" w:num="1">
            <w:col w:w="10500"/>
          </w:cols>
          <w:pgMar w:left="240" w:top="220" w:right="1159" w:bottom="1440" w:gutter="0" w:footer="0" w:header="0"/>
        </w:sectPr>
      </w:pPr>
    </w:p>
    <w:bookmarkStart w:id="1" w:name="page2"/>
    <w:bookmarkEnd w:id="1"/>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56418H100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6757670" cy="4819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57670" cy="481965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620" w:right="7280" w:hanging="380"/>
        <w:spacing w:after="0" w:line="282" w:lineRule="auto"/>
        <w:tabs>
          <w:tab w:leader="none" w:pos="62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NAME OF REPORTING PERSON </w:t>
      </w:r>
      <w:r>
        <w:rPr>
          <w:rFonts w:ascii="Arial" w:cs="Arial" w:eastAsia="Arial" w:hAnsi="Arial"/>
          <w:sz w:val="18"/>
          <w:szCs w:val="18"/>
          <w:color w:val="auto"/>
        </w:rPr>
        <w:t>Boston Partners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I.R.S. IDENTIFICATION NO. OF ABOVE PERSON (ENTITIES ONLY)</w:t>
      </w:r>
    </w:p>
    <w:p>
      <w:pPr>
        <w:spacing w:after="0" w:line="2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98-0202744</w:t>
      </w:r>
    </w:p>
    <w:p>
      <w:pPr>
        <w:spacing w:after="0" w:line="139" w:lineRule="exact"/>
        <w:rPr>
          <w:sz w:val="20"/>
          <w:szCs w:val="20"/>
          <w:color w:val="auto"/>
        </w:rPr>
      </w:pPr>
    </w:p>
    <w:p>
      <w:pPr>
        <w:ind w:left="620" w:hanging="380"/>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  ]</w:t>
      </w:r>
    </w:p>
    <w:p>
      <w:pPr>
        <w:spacing w:after="0" w:line="139" w:lineRule="exact"/>
        <w:rPr>
          <w:sz w:val="20"/>
          <w:szCs w:val="20"/>
          <w:color w:val="auto"/>
        </w:rPr>
      </w:pPr>
    </w:p>
    <w:p>
      <w:pPr>
        <w:ind w:left="620" w:hanging="380"/>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SEC USE ONLY</w:t>
      </w:r>
    </w:p>
    <w:p>
      <w:pPr>
        <w:spacing w:after="0" w:line="158" w:lineRule="exact"/>
        <w:rPr>
          <w:sz w:val="20"/>
          <w:szCs w:val="20"/>
          <w:color w:val="auto"/>
        </w:rPr>
      </w:pPr>
    </w:p>
    <w:p>
      <w:pPr>
        <w:ind w:left="620" w:right="6100" w:hanging="380"/>
        <w:spacing w:after="0" w:line="282" w:lineRule="auto"/>
        <w:tabs>
          <w:tab w:leader="none" w:pos="62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40" w:type="dxa"/>
            <w:vAlign w:val="bottom"/>
            <w:tcBorders>
              <w:top w:val="single" w:sz="8" w:color="auto"/>
              <w:right w:val="single" w:sz="8" w:color="auto"/>
            </w:tcBorders>
          </w:tcPr>
          <w:p>
            <w:pPr>
              <w:spacing w:after="0"/>
              <w:rPr>
                <w:sz w:val="24"/>
                <w:szCs w:val="24"/>
                <w:color w:val="auto"/>
              </w:rPr>
            </w:pPr>
          </w:p>
        </w:tc>
        <w:tc>
          <w:tcPr>
            <w:tcW w:w="520" w:type="dxa"/>
            <w:vAlign w:val="bottom"/>
            <w:tcBorders>
              <w:top w:val="single" w:sz="8" w:color="auto"/>
              <w:right w:val="single" w:sz="8" w:color="auto"/>
            </w:tcBorders>
          </w:tcPr>
          <w:p>
            <w:pPr>
              <w:jc w:val="right"/>
              <w:ind w:right="130"/>
              <w:spacing w:after="0"/>
              <w:rPr>
                <w:sz w:val="20"/>
                <w:szCs w:val="20"/>
                <w:color w:val="auto"/>
              </w:rPr>
            </w:pPr>
            <w:r>
              <w:rPr>
                <w:rFonts w:ascii="Arial" w:cs="Arial" w:eastAsia="Arial" w:hAnsi="Arial"/>
                <w:sz w:val="18"/>
                <w:szCs w:val="18"/>
                <w:color w:val="auto"/>
              </w:rPr>
              <w:t>5</w:t>
            </w:r>
          </w:p>
        </w:tc>
        <w:tc>
          <w:tcPr>
            <w:tcW w:w="8500" w:type="dxa"/>
            <w:vAlign w:val="bottom"/>
            <w:tcBorders>
              <w:top w:val="single" w:sz="8" w:color="auto"/>
            </w:tcBorders>
          </w:tcPr>
          <w:p>
            <w:pPr>
              <w:ind w:left="6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9"/>
              </w:rPr>
              <w:t>NUMBER OF</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1,726,003</w:t>
            </w:r>
          </w:p>
        </w:tc>
        <w:tc>
          <w:tcPr>
            <w:tcW w:w="0" w:type="dxa"/>
            <w:vAlign w:val="bottom"/>
          </w:tcPr>
          <w:p>
            <w:pPr>
              <w:spacing w:after="0"/>
              <w:rPr>
                <w:sz w:val="1"/>
                <w:szCs w:val="1"/>
                <w:color w:val="auto"/>
              </w:rPr>
            </w:pPr>
          </w:p>
        </w:tc>
      </w:tr>
      <w:tr>
        <w:trPr>
          <w:trHeight w:val="68"/>
        </w:trPr>
        <w:tc>
          <w:tcPr>
            <w:tcW w:w="1640" w:type="dxa"/>
            <w:vAlign w:val="bottom"/>
            <w:tcBorders>
              <w:right w:val="single" w:sz="8" w:color="auto"/>
            </w:tcBorders>
            <w:vMerge w:val="continue"/>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23"/>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520" w:type="dxa"/>
            <w:vAlign w:val="bottom"/>
            <w:tcBorders>
              <w:right w:val="single" w:sz="8" w:color="auto"/>
            </w:tcBorders>
          </w:tcPr>
          <w:p>
            <w:pPr>
              <w:jc w:val="right"/>
              <w:ind w:right="130"/>
              <w:spacing w:after="0"/>
              <w:rPr>
                <w:sz w:val="20"/>
                <w:szCs w:val="20"/>
                <w:color w:val="auto"/>
              </w:rPr>
            </w:pPr>
            <w:r>
              <w:rPr>
                <w:rFonts w:ascii="Arial" w:cs="Arial" w:eastAsia="Arial" w:hAnsi="Arial"/>
                <w:sz w:val="18"/>
                <w:szCs w:val="18"/>
                <w:color w:val="auto"/>
              </w:rPr>
              <w:t>6</w:t>
            </w:r>
          </w:p>
        </w:tc>
        <w:tc>
          <w:tcPr>
            <w:tcW w:w="8500" w:type="dxa"/>
            <w:vAlign w:val="bottom"/>
          </w:tcPr>
          <w:p>
            <w:pPr>
              <w:ind w:left="6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BENEFICIALLY</w:t>
            </w:r>
          </w:p>
        </w:tc>
        <w:tc>
          <w:tcPr>
            <w:tcW w:w="520" w:type="dxa"/>
            <w:vAlign w:val="bottom"/>
            <w:tcBorders>
              <w:right w:val="single" w:sz="8" w:color="auto"/>
            </w:tcBorders>
          </w:tcPr>
          <w:p>
            <w:pPr>
              <w:spacing w:after="0"/>
              <w:rPr>
                <w:sz w:val="18"/>
                <w:szCs w:val="18"/>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22"/>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OWNED BY</w:t>
            </w:r>
          </w:p>
        </w:tc>
        <w:tc>
          <w:tcPr>
            <w:tcW w:w="520" w:type="dxa"/>
            <w:vAlign w:val="bottom"/>
            <w:tcBorders>
              <w:bottom w:val="single" w:sz="8" w:color="auto"/>
              <w:right w:val="single" w:sz="8" w:color="auto"/>
            </w:tcBorders>
          </w:tcPr>
          <w:p>
            <w:pPr>
              <w:spacing w:after="0"/>
              <w:rPr>
                <w:sz w:val="10"/>
                <w:szCs w:val="10"/>
                <w:color w:val="auto"/>
              </w:rPr>
            </w:pPr>
          </w:p>
        </w:tc>
        <w:tc>
          <w:tcPr>
            <w:tcW w:w="8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0"/>
        </w:trPr>
        <w:tc>
          <w:tcPr>
            <w:tcW w:w="1640" w:type="dxa"/>
            <w:vAlign w:val="bottom"/>
            <w:tcBorders>
              <w:right w:val="single" w:sz="8" w:color="auto"/>
            </w:tcBorders>
            <w:vMerge w:val="continue"/>
          </w:tcPr>
          <w:p>
            <w:pPr>
              <w:spacing w:after="0"/>
              <w:rPr>
                <w:sz w:val="6"/>
                <w:szCs w:val="6"/>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7</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93"/>
        </w:trPr>
        <w:tc>
          <w:tcPr>
            <w:tcW w:w="1640" w:type="dxa"/>
            <w:vAlign w:val="bottom"/>
            <w:tcBorders>
              <w:right w:val="single" w:sz="8" w:color="auto"/>
            </w:tcBorders>
          </w:tcPr>
          <w:p>
            <w:pPr>
              <w:jc w:val="center"/>
              <w:spacing w:after="0" w:line="193" w:lineRule="exact"/>
              <w:rPr>
                <w:sz w:val="20"/>
                <w:szCs w:val="20"/>
                <w:color w:val="auto"/>
              </w:rPr>
            </w:pPr>
            <w:r>
              <w:rPr>
                <w:rFonts w:ascii="Arial" w:cs="Arial" w:eastAsia="Arial" w:hAnsi="Arial"/>
                <w:sz w:val="18"/>
                <w:szCs w:val="18"/>
                <w:b w:val="1"/>
                <w:bCs w:val="1"/>
                <w:color w:val="auto"/>
              </w:rPr>
              <w:t>EACH</w:t>
            </w:r>
          </w:p>
        </w:tc>
        <w:tc>
          <w:tcPr>
            <w:tcW w:w="520" w:type="dxa"/>
            <w:vAlign w:val="bottom"/>
            <w:tcBorders>
              <w:right w:val="single" w:sz="8" w:color="auto"/>
            </w:tcBorders>
            <w:vMerge w:val="continue"/>
          </w:tcPr>
          <w:p>
            <w:pPr>
              <w:spacing w:after="0"/>
              <w:rPr>
                <w:sz w:val="16"/>
                <w:szCs w:val="16"/>
                <w:color w:val="auto"/>
              </w:rPr>
            </w:pPr>
          </w:p>
        </w:tc>
        <w:tc>
          <w:tcPr>
            <w:tcW w:w="85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6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REPORTING</w:t>
            </w: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2,324,319</w:t>
            </w:r>
          </w:p>
        </w:tc>
        <w:tc>
          <w:tcPr>
            <w:tcW w:w="0" w:type="dxa"/>
            <w:vAlign w:val="bottom"/>
          </w:tcPr>
          <w:p>
            <w:pPr>
              <w:spacing w:after="0"/>
              <w:rPr>
                <w:sz w:val="1"/>
                <w:szCs w:val="1"/>
                <w:color w:val="auto"/>
              </w:rPr>
            </w:pPr>
          </w:p>
        </w:tc>
      </w:tr>
      <w:tr>
        <w:trPr>
          <w:trHeight w:val="59"/>
        </w:trPr>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PERSON WITH</w:t>
            </w: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1640" w:type="dxa"/>
            <w:vAlign w:val="bottom"/>
            <w:tcBorders>
              <w:right w:val="single" w:sz="8" w:color="auto"/>
            </w:tcBorders>
            <w:vMerge w:val="continue"/>
          </w:tcPr>
          <w:p>
            <w:pPr>
              <w:spacing w:after="0"/>
              <w:rPr>
                <w:sz w:val="13"/>
                <w:szCs w:val="13"/>
                <w:color w:val="auto"/>
              </w:rPr>
            </w:pPr>
          </w:p>
        </w:tc>
        <w:tc>
          <w:tcPr>
            <w:tcW w:w="520" w:type="dxa"/>
            <w:vAlign w:val="bottom"/>
            <w:tcBorders>
              <w:right w:val="single" w:sz="8" w:color="auto"/>
            </w:tcBorders>
            <w:vMerge w:val="restart"/>
          </w:tcPr>
          <w:p>
            <w:pPr>
              <w:jc w:val="right"/>
              <w:ind w:right="130"/>
              <w:spacing w:after="0"/>
              <w:rPr>
                <w:sz w:val="20"/>
                <w:szCs w:val="20"/>
                <w:color w:val="auto"/>
              </w:rPr>
            </w:pPr>
            <w:r>
              <w:rPr>
                <w:rFonts w:ascii="Arial" w:cs="Arial" w:eastAsia="Arial" w:hAnsi="Arial"/>
                <w:sz w:val="18"/>
                <w:szCs w:val="18"/>
                <w:color w:val="auto"/>
              </w:rPr>
              <w:t>8</w:t>
            </w:r>
          </w:p>
        </w:tc>
        <w:tc>
          <w:tcPr>
            <w:tcW w:w="850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7"/>
        </w:trPr>
        <w:tc>
          <w:tcPr>
            <w:tcW w:w="1640" w:type="dxa"/>
            <w:vAlign w:val="bottom"/>
            <w:tcBorders>
              <w:right w:val="single" w:sz="8" w:color="auto"/>
            </w:tcBorders>
          </w:tcPr>
          <w:p>
            <w:pPr>
              <w:spacing w:after="0"/>
              <w:rPr>
                <w:sz w:val="9"/>
                <w:szCs w:val="9"/>
                <w:color w:val="auto"/>
              </w:rPr>
            </w:pPr>
          </w:p>
        </w:tc>
        <w:tc>
          <w:tcPr>
            <w:tcW w:w="520" w:type="dxa"/>
            <w:vAlign w:val="bottom"/>
            <w:tcBorders>
              <w:right w:val="single" w:sz="8" w:color="auto"/>
            </w:tcBorders>
            <w:vMerge w:val="continue"/>
          </w:tcPr>
          <w:p>
            <w:pPr>
              <w:spacing w:after="0"/>
              <w:rPr>
                <w:sz w:val="9"/>
                <w:szCs w:val="9"/>
                <w:color w:val="auto"/>
              </w:rPr>
            </w:pPr>
          </w:p>
        </w:tc>
        <w:tc>
          <w:tcPr>
            <w:tcW w:w="8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640" w:type="dxa"/>
            <w:vAlign w:val="bottom"/>
            <w:tcBorders>
              <w:right w:val="single" w:sz="8" w:color="auto"/>
            </w:tcBorders>
          </w:tcPr>
          <w:p>
            <w:pPr>
              <w:spacing w:after="0"/>
              <w:rPr>
                <w:sz w:val="20"/>
                <w:szCs w:val="20"/>
                <w:color w:val="auto"/>
              </w:rPr>
            </w:pPr>
          </w:p>
        </w:tc>
        <w:tc>
          <w:tcPr>
            <w:tcW w:w="520" w:type="dxa"/>
            <w:vAlign w:val="bottom"/>
            <w:tcBorders>
              <w:right w:val="single" w:sz="8" w:color="auto"/>
            </w:tcBorders>
          </w:tcPr>
          <w:p>
            <w:pPr>
              <w:spacing w:after="0"/>
              <w:rPr>
                <w:sz w:val="20"/>
                <w:szCs w:val="20"/>
                <w:color w:val="auto"/>
              </w:rPr>
            </w:pPr>
          </w:p>
        </w:tc>
        <w:tc>
          <w:tcPr>
            <w:tcW w:w="8500" w:type="dxa"/>
            <w:vAlign w:val="bottom"/>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640" w:type="dxa"/>
            <w:vAlign w:val="bottom"/>
            <w:tcBorders>
              <w:bottom w:val="single" w:sz="8" w:color="auto"/>
              <w:right w:val="single" w:sz="8" w:color="auto"/>
            </w:tcBorders>
          </w:tcPr>
          <w:p>
            <w:pPr>
              <w:spacing w:after="0"/>
              <w:rPr>
                <w:sz w:val="5"/>
                <w:szCs w:val="5"/>
                <w:color w:val="auto"/>
              </w:rPr>
            </w:pPr>
          </w:p>
        </w:tc>
        <w:tc>
          <w:tcPr>
            <w:tcW w:w="520" w:type="dxa"/>
            <w:vAlign w:val="bottom"/>
            <w:tcBorders>
              <w:bottom w:val="single" w:sz="8" w:color="auto"/>
              <w:right w:val="single" w:sz="8" w:color="auto"/>
            </w:tcBorders>
          </w:tcPr>
          <w:p>
            <w:pPr>
              <w:spacing w:after="0"/>
              <w:rPr>
                <w:sz w:val="5"/>
                <w:szCs w:val="5"/>
                <w:color w:val="auto"/>
              </w:rPr>
            </w:pPr>
          </w:p>
        </w:tc>
        <w:tc>
          <w:tcPr>
            <w:tcW w:w="8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620" w:right="3100" w:hanging="380"/>
        <w:spacing w:after="0" w:line="282" w:lineRule="auto"/>
        <w:tabs>
          <w:tab w:leader="none" w:pos="62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2,324,319</w:t>
      </w:r>
    </w:p>
    <w:p>
      <w:pPr>
        <w:spacing w:after="0" w:line="94" w:lineRule="exact"/>
        <w:rPr>
          <w:sz w:val="20"/>
          <w:szCs w:val="20"/>
          <w:color w:val="auto"/>
        </w:rPr>
      </w:pPr>
    </w:p>
    <w:p>
      <w:pPr>
        <w:ind w:left="620" w:right="258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 ]</w:t>
      </w:r>
    </w:p>
    <w:p>
      <w:pPr>
        <w:spacing w:after="0" w:line="94" w:lineRule="exact"/>
        <w:rPr>
          <w:rFonts w:ascii="Arial" w:cs="Arial" w:eastAsia="Arial" w:hAnsi="Arial"/>
          <w:sz w:val="18"/>
          <w:szCs w:val="18"/>
          <w:color w:val="auto"/>
        </w:rPr>
      </w:pPr>
    </w:p>
    <w:p>
      <w:pPr>
        <w:ind w:left="620" w:right="4720" w:hanging="422"/>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3.76%</w:t>
      </w:r>
    </w:p>
    <w:p>
      <w:pPr>
        <w:spacing w:after="0" w:line="94" w:lineRule="exact"/>
        <w:rPr>
          <w:rFonts w:ascii="Arial" w:cs="Arial" w:eastAsia="Arial" w:hAnsi="Arial"/>
          <w:sz w:val="18"/>
          <w:szCs w:val="18"/>
          <w:color w:val="auto"/>
        </w:rPr>
      </w:pPr>
    </w:p>
    <w:p>
      <w:pPr>
        <w:ind w:left="620" w:right="7360" w:hanging="425"/>
        <w:spacing w:after="0" w:line="282" w:lineRule="auto"/>
        <w:tabs>
          <w:tab w:leader="none" w:pos="62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sectPr>
          <w:pgSz w:w="11900" w:h="16838" w:orient="portrait"/>
          <w:cols w:equalWidth="0" w:num="1">
            <w:col w:w="10660"/>
          </w:cols>
          <w:pgMar w:left="240" w:top="931" w:right="999" w:bottom="1440" w:gutter="0" w:footer="0" w:header="0"/>
        </w:sectPr>
      </w:pPr>
    </w:p>
    <w:bookmarkStart w:id="2" w:name="page3"/>
    <w:bookmarkEnd w:id="2"/>
    <w:p>
      <w:pPr>
        <w:ind w:left="3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56418H100</w:t>
      </w:r>
    </w:p>
    <w:p>
      <w:pPr>
        <w:spacing w:after="0" w:line="200" w:lineRule="exact"/>
        <w:rPr>
          <w:sz w:val="20"/>
          <w:szCs w:val="20"/>
          <w:color w:val="auto"/>
        </w:rPr>
      </w:pPr>
    </w:p>
    <w:p>
      <w:pPr>
        <w:spacing w:after="0" w:line="3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NAME OF ISSUER: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MANPOWERGROUP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100 Manpower Place</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Milwaukee, Wisconsin 53212</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2(a).</w:t>
        <w:tab/>
        <w:t>NAME OF PERSON FILING:</w:t>
      </w:r>
    </w:p>
    <w:p>
      <w:pPr>
        <w:spacing w:after="0" w:line="310"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Boston Partners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One Beacon Street</w:t>
      </w:r>
    </w:p>
    <w:p>
      <w:pPr>
        <w:spacing w:after="0" w:line="23"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Boston, MA 02108</w:t>
      </w:r>
    </w:p>
    <w:p>
      <w:pPr>
        <w:spacing w:after="0" w:line="20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2(c).</w:t>
        <w:tab/>
        <w:t>CITIZENSHIP: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Delaware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Common Stock</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7"/>
          <w:szCs w:val="17"/>
          <w:b w:val="1"/>
          <w:bCs w:val="1"/>
          <w:color w:val="auto"/>
        </w:rPr>
        <w:t>CUSIP NUMBER:</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56418H100</w:t>
      </w:r>
    </w:p>
    <w:p>
      <w:pPr>
        <w:spacing w:after="0" w:line="221" w:lineRule="exact"/>
        <w:rPr>
          <w:sz w:val="20"/>
          <w:szCs w:val="20"/>
          <w:color w:val="auto"/>
        </w:rPr>
      </w:pPr>
    </w:p>
    <w:p>
      <w:pPr>
        <w:ind w:left="102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IF THIS STATEMENT IS FILED PURSUANT TO SECTION 240.13d-1(b), or 13d-2(b) or (c) CHECK WHETHER THE PERSON FILING IS A:</w:t>
      </w:r>
    </w:p>
    <w:p>
      <w:pPr>
        <w:spacing w:after="0" w:line="85" w:lineRule="exact"/>
        <w:rPr>
          <w:sz w:val="20"/>
          <w:szCs w:val="20"/>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Broker or dealer registered under Section 15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Bank as defined in Section 3(a)(6)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Insurance company as defined in Section 3(a)(19) of the Act (15 U.S.C. 78c);</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Investment company registered under Section 8 of the Investment Company Act of 1940 (15 U.S.C 80a-8);</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An employee benefit plan or endowment fund in accordance with 240.13d-1(b)(1)(ii)(F);</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parent holding company or control person in accordance with 240.13d-1(b)(1)(ii)(G);</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savings associations as defined in Section 3(b) of the Federal Deposit Insurance Act (12 U.S.C. 1813);</w:t>
      </w:r>
    </w:p>
    <w:p>
      <w:pPr>
        <w:spacing w:after="0" w:line="144" w:lineRule="exact"/>
        <w:rPr>
          <w:rFonts w:ascii="Arial" w:cs="Arial" w:eastAsia="Arial" w:hAnsi="Arial"/>
          <w:sz w:val="18"/>
          <w:szCs w:val="18"/>
          <w:color w:val="auto"/>
        </w:rPr>
      </w:pPr>
    </w:p>
    <w:p>
      <w:pPr>
        <w:ind w:left="2180" w:right="500" w:hanging="1157"/>
        <w:spacing w:after="0" w:line="277" w:lineRule="auto"/>
        <w:tabs>
          <w:tab w:leader="none" w:pos="1469" w:val="left"/>
        </w:tabs>
        <w:numPr>
          <w:ilvl w:val="0"/>
          <w:numId w:val="8"/>
        </w:numPr>
        <w:rPr>
          <w:rFonts w:ascii="Arial" w:cs="Arial" w:eastAsia="Arial" w:hAnsi="Arial"/>
          <w:sz w:val="18"/>
          <w:szCs w:val="18"/>
          <w:color w:val="auto"/>
        </w:rPr>
      </w:pPr>
      <w:r>
        <w:rPr>
          <w:rFonts w:ascii="Arial" w:cs="Arial" w:eastAsia="Arial" w:hAnsi="Arial"/>
          <w:sz w:val="18"/>
          <w:szCs w:val="18"/>
          <w:color w:val="auto"/>
        </w:rPr>
        <w:t>[ ]A church plan that is excluded from the definition of an investment company under Section 3(c)(14) of the Investment Company Act of 1940 (15 U.S.C. 80a-3);</w:t>
      </w:r>
    </w:p>
    <w:p>
      <w:pPr>
        <w:spacing w:after="0" w:line="89"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A non-U.S. institution in accordance with 240.13d-1(b)(1)(ii)(J);</w:t>
      </w:r>
    </w:p>
    <w:p>
      <w:pPr>
        <w:spacing w:after="0" w:line="144" w:lineRule="exact"/>
        <w:rPr>
          <w:rFonts w:ascii="Arial" w:cs="Arial" w:eastAsia="Arial" w:hAnsi="Arial"/>
          <w:sz w:val="18"/>
          <w:szCs w:val="18"/>
          <w:color w:val="auto"/>
        </w:rPr>
      </w:pPr>
    </w:p>
    <w:p>
      <w:pPr>
        <w:ind w:left="1480" w:hanging="457"/>
        <w:spacing w:after="0"/>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w:t>
      </w:r>
      <w:r>
        <w:rPr>
          <w:rFonts w:ascii="Arial" w:cs="Arial" w:eastAsia="Arial" w:hAnsi="Arial"/>
          <w:sz w:val="16"/>
          <w:szCs w:val="16"/>
          <w:color w:val="auto"/>
        </w:rPr>
        <w:t>Group, in accordance with 240.13d-1(b)(1)(ii)(K). If filing as a non-U.S. institution in accordance with</w:t>
      </w:r>
    </w:p>
    <w:p>
      <w:pPr>
        <w:spacing w:after="0" w:line="23" w:lineRule="exact"/>
        <w:rPr>
          <w:rFonts w:ascii="Arial" w:cs="Arial" w:eastAsia="Arial" w:hAnsi="Arial"/>
          <w:sz w:val="18"/>
          <w:szCs w:val="18"/>
          <w:color w:val="auto"/>
        </w:rPr>
      </w:pPr>
    </w:p>
    <w:p>
      <w:pPr>
        <w:ind w:left="2180"/>
        <w:spacing w:after="0"/>
        <w:rPr>
          <w:rFonts w:ascii="Arial" w:cs="Arial" w:eastAsia="Arial" w:hAnsi="Arial"/>
          <w:sz w:val="18"/>
          <w:szCs w:val="18"/>
          <w:color w:val="auto"/>
        </w:rPr>
      </w:pPr>
      <w:r>
        <w:rPr>
          <w:rFonts w:ascii="Arial" w:cs="Arial" w:eastAsia="Arial" w:hAnsi="Arial"/>
          <w:sz w:val="18"/>
          <w:szCs w:val="18"/>
          <w:color w:val="auto"/>
        </w:rPr>
        <w:t>240.13d1(b)(1)(ii)(J), please specify the type of institution:</w:t>
      </w:r>
    </w:p>
    <w:p>
      <w:pPr>
        <w:spacing w:after="0" w:line="200" w:lineRule="exact"/>
        <w:rPr>
          <w:sz w:val="20"/>
          <w:szCs w:val="20"/>
          <w:color w:val="auto"/>
        </w:rPr>
      </w:pPr>
    </w:p>
    <w:p>
      <w:pPr>
        <w:spacing w:after="0" w:line="23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OWNERSHIP</w:t>
      </w:r>
    </w:p>
    <w:p>
      <w:pPr>
        <w:spacing w:after="0" w:line="144"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(a) Amount beneficially owned:</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2,324,319</w:t>
      </w:r>
    </w:p>
    <w:p>
      <w:pPr>
        <w:spacing w:after="0" w:line="140" w:lineRule="exact"/>
        <w:rPr>
          <w:sz w:val="20"/>
          <w:szCs w:val="20"/>
          <w:color w:val="auto"/>
        </w:rPr>
      </w:pPr>
    </w:p>
    <w:p>
      <w:pPr>
        <w:ind w:left="1020"/>
        <w:spacing w:after="0"/>
        <w:rPr>
          <w:sz w:val="20"/>
          <w:szCs w:val="20"/>
          <w:color w:val="auto"/>
        </w:rPr>
      </w:pPr>
      <w:r>
        <w:rPr>
          <w:rFonts w:ascii="Arial" w:cs="Arial" w:eastAsia="Arial" w:hAnsi="Arial"/>
          <w:sz w:val="18"/>
          <w:szCs w:val="18"/>
          <w:b w:val="1"/>
          <w:bCs w:val="1"/>
          <w:color w:val="auto"/>
        </w:rPr>
        <w:t>(b) Percent of class:</w:t>
      </w:r>
    </w:p>
    <w:p>
      <w:pPr>
        <w:spacing w:after="0" w:line="148"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3.76%</w:t>
      </w:r>
    </w:p>
    <w:p>
      <w:pPr>
        <w:spacing w:after="0" w:line="140" w:lineRule="exact"/>
        <w:rPr>
          <w:sz w:val="20"/>
          <w:szCs w:val="20"/>
          <w:color w:val="auto"/>
        </w:rPr>
      </w:pPr>
    </w:p>
    <w:p>
      <w:pPr>
        <w:ind w:left="1260" w:hanging="237"/>
        <w:spacing w:after="0"/>
        <w:tabs>
          <w:tab w:leader="none" w:pos="12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as to which the person has:</w:t>
      </w:r>
    </w:p>
    <w:p>
      <w:pPr>
        <w:spacing w:after="0" w:line="148" w:lineRule="exact"/>
        <w:rPr>
          <w:rFonts w:ascii="Arial" w:cs="Arial" w:eastAsia="Arial" w:hAnsi="Arial"/>
          <w:sz w:val="18"/>
          <w:szCs w:val="18"/>
          <w:b w:val="1"/>
          <w:bCs w:val="1"/>
          <w:color w:val="auto"/>
        </w:rPr>
      </w:pPr>
    </w:p>
    <w:p>
      <w:pPr>
        <w:ind w:left="1340" w:right="5980" w:hanging="6"/>
        <w:spacing w:after="0" w:line="407" w:lineRule="auto"/>
        <w:tabs>
          <w:tab w:leader="none" w:pos="1555"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1,726,003</w:t>
      </w:r>
    </w:p>
    <w:p>
      <w:pPr>
        <w:ind w:left="1600" w:hanging="266"/>
        <w:spacing w:after="0"/>
        <w:tabs>
          <w:tab w:leader="none" w:pos="1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4" w:lineRule="exact"/>
        <w:rPr>
          <w:rFonts w:ascii="Arial" w:cs="Arial" w:eastAsia="Arial" w:hAnsi="Arial"/>
          <w:sz w:val="18"/>
          <w:szCs w:val="18"/>
          <w:color w:val="auto"/>
        </w:rPr>
      </w:pPr>
    </w:p>
    <w:p>
      <w:pPr>
        <w:ind w:left="1640" w:hanging="306"/>
        <w:spacing w:after="0"/>
        <w:tabs>
          <w:tab w:leader="none" w:pos="164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direct the disposition of:</w:t>
      </w:r>
    </w:p>
    <w:p>
      <w:pPr>
        <w:sectPr>
          <w:pgSz w:w="11900" w:h="16838" w:orient="portrait"/>
          <w:cols w:equalWidth="0" w:num="1">
            <w:col w:w="10360"/>
          </w:cols>
          <w:pgMar w:left="320" w:top="931" w:right="1219" w:bottom="0" w:gutter="0" w:footer="0" w:header="0"/>
        </w:sectPr>
      </w:pPr>
    </w:p>
    <w:bookmarkStart w:id="3" w:name="page4"/>
    <w:bookmarkEnd w:id="3"/>
    <w:p>
      <w:pPr>
        <w:ind w:left="1340"/>
        <w:spacing w:after="0"/>
        <w:rPr>
          <w:sz w:val="20"/>
          <w:szCs w:val="20"/>
          <w:color w:val="auto"/>
        </w:rPr>
      </w:pPr>
      <w:r>
        <w:rPr>
          <w:rFonts w:ascii="Arial" w:cs="Arial" w:eastAsia="Arial" w:hAnsi="Arial"/>
          <w:sz w:val="18"/>
          <w:szCs w:val="18"/>
          <w:color w:val="auto"/>
        </w:rPr>
        <w:t>2,324,319</w:t>
      </w:r>
    </w:p>
    <w:p>
      <w:pPr>
        <w:spacing w:after="0" w:line="144" w:lineRule="exact"/>
        <w:rPr>
          <w:sz w:val="20"/>
          <w:szCs w:val="20"/>
          <w:color w:val="auto"/>
        </w:rPr>
      </w:pPr>
    </w:p>
    <w:p>
      <w:pPr>
        <w:ind w:left="1640" w:hanging="306"/>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w:t>
      </w:r>
    </w:p>
    <w:p>
      <w:pPr>
        <w:spacing w:after="0" w:line="144" w:lineRule="exact"/>
        <w:rPr>
          <w:rFonts w:ascii="Arial" w:cs="Arial" w:eastAsia="Arial" w:hAnsi="Arial"/>
          <w:sz w:val="18"/>
          <w:szCs w:val="18"/>
          <w:color w:val="auto"/>
        </w:rPr>
      </w:pPr>
    </w:p>
    <w:p>
      <w:pPr>
        <w:ind w:left="1340"/>
        <w:spacing w:after="0"/>
        <w:rPr>
          <w:rFonts w:ascii="Arial" w:cs="Arial" w:eastAsia="Arial" w:hAnsi="Arial"/>
          <w:sz w:val="18"/>
          <w:szCs w:val="18"/>
          <w:color w:val="auto"/>
        </w:rPr>
      </w:pPr>
      <w:r>
        <w:rPr>
          <w:rFonts w:ascii="Arial" w:cs="Arial" w:eastAsia="Arial" w:hAnsi="Arial"/>
          <w:sz w:val="18"/>
          <w:szCs w:val="18"/>
          <w:color w:val="auto"/>
        </w:rPr>
        <w:t>0</w:t>
      </w:r>
    </w:p>
    <w:p>
      <w:pPr>
        <w:spacing w:after="0" w:line="140"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OWNERSHIP OF FIVE PERCENT OR LESS OF A CLASS:</w:t>
      </w:r>
    </w:p>
    <w:p>
      <w:pPr>
        <w:spacing w:after="0" w:line="94" w:lineRule="exact"/>
        <w:rPr>
          <w:sz w:val="20"/>
          <w:szCs w:val="20"/>
          <w:color w:val="auto"/>
        </w:rPr>
      </w:pPr>
    </w:p>
    <w:p>
      <w:pPr>
        <w:ind w:left="1020"/>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66"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OWNERSHIP OF MORE THAN FIVE PERCENT ON BEHALF OF ANOTHER PERSON:</w:t>
      </w:r>
    </w:p>
    <w:p>
      <w:pPr>
        <w:spacing w:after="0" w:line="94" w:lineRule="exact"/>
        <w:rPr>
          <w:sz w:val="20"/>
          <w:szCs w:val="20"/>
          <w:color w:val="auto"/>
        </w:rPr>
      </w:pPr>
    </w:p>
    <w:p>
      <w:pPr>
        <w:ind w:left="1020" w:right="3520"/>
        <w:spacing w:after="0" w:line="271" w:lineRule="auto"/>
        <w:rPr>
          <w:sz w:val="20"/>
          <w:szCs w:val="20"/>
          <w:color w:val="auto"/>
        </w:rPr>
      </w:pPr>
      <w:r>
        <w:rPr>
          <w:rFonts w:ascii="Arial" w:cs="Arial" w:eastAsia="Arial" w:hAnsi="Arial"/>
          <w:sz w:val="17"/>
          <w:szCs w:val="17"/>
          <w:color w:val="auto"/>
        </w:rPr>
        <w:t>This Schedule is being filed with respect to 2,324,319 shares Manpowergroup Inc (the Common Stock) held by Boston Partners on 12/31/2018 for the discretionary account of certain clients. By reason of rule 13d-3 under the act Boston Partners may be deemed to be a beneficial owner of such Common Stock. To the knowledge of Boston Partners no person has the right to receive or the power to direct the receipt of dividends from or the proceeds from the sale of such Common Stock which represents more than 5% of the outstanding shares of the Common Stock referred to in item 4(b) hereof.</w:t>
      </w:r>
    </w:p>
    <w:p>
      <w:pPr>
        <w:spacing w:after="0" w:line="175" w:lineRule="exact"/>
        <w:rPr>
          <w:sz w:val="20"/>
          <w:szCs w:val="20"/>
          <w:color w:val="auto"/>
        </w:rPr>
      </w:pPr>
    </w:p>
    <w:p>
      <w:pPr>
        <w:ind w:left="1020" w:right="240" w:hanging="1025"/>
        <w:spacing w:after="0" w:line="282" w:lineRule="auto"/>
        <w:tabs>
          <w:tab w:leader="none" w:pos="10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w:t>
      </w:r>
    </w:p>
    <w:p>
      <w:pPr>
        <w:spacing w:after="0" w:line="31"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8"/>
          <w:szCs w:val="18"/>
          <w:b w:val="1"/>
          <w:bCs w:val="1"/>
          <w:color w:val="auto"/>
        </w:rPr>
        <w:t>IDENTIFICATION AND CLASSIFICATION OF MEMBERS OF THE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NOTICE OF DISSOLUTION OF GROUP:</w:t>
      </w:r>
    </w:p>
    <w:p>
      <w:pPr>
        <w:spacing w:after="0" w:line="94"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10.</w:t>
        <w:tab/>
        <w:t>CERTIFICATION:</w:t>
      </w:r>
    </w:p>
    <w:p>
      <w:pPr>
        <w:spacing w:after="0" w:line="94" w:lineRule="exact"/>
        <w:rPr>
          <w:sz w:val="20"/>
          <w:szCs w:val="20"/>
          <w:color w:val="auto"/>
        </w:rPr>
      </w:pPr>
    </w:p>
    <w:p>
      <w:pPr>
        <w:ind w:left="1020" w:right="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0440"/>
          </w:cols>
          <w:pgMar w:left="320" w:top="125" w:right="1139" w:bottom="1440" w:gutter="0" w:footer="0" w:header="0"/>
        </w:sectPr>
      </w:pPr>
    </w:p>
    <w:bookmarkStart w:id="4" w:name="page5"/>
    <w:bookmarkEnd w:id="4"/>
    <w:p>
      <w:pPr>
        <w:ind w:left="3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541655</wp:posOffset>
            </wp:positionV>
            <wp:extent cx="2079625" cy="269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79625" cy="269875"/>
                    </a:xfrm>
                    <a:prstGeom prst="rect">
                      <a:avLst/>
                    </a:prstGeom>
                    <a:noFill/>
                  </pic:spPr>
                </pic:pic>
              </a:graphicData>
            </a:graphic>
          </wp:anchor>
        </w:drawing>
        <w:t>CUSIP No.: 56418H100</w:t>
      </w:r>
    </w:p>
    <w:p>
      <w:pPr>
        <w:spacing w:after="0" w:line="200" w:lineRule="exact"/>
        <w:rPr>
          <w:sz w:val="20"/>
          <w:szCs w:val="20"/>
          <w:color w:val="auto"/>
        </w:rPr>
      </w:pPr>
    </w:p>
    <w:p>
      <w:pPr>
        <w:spacing w:after="0" w:line="205" w:lineRule="exact"/>
        <w:rPr>
          <w:sz w:val="20"/>
          <w:szCs w:val="20"/>
          <w:color w:val="auto"/>
        </w:rPr>
      </w:pPr>
    </w:p>
    <w:p>
      <w:pPr>
        <w:jc w:val="center"/>
        <w:ind w:right="-420"/>
        <w:spacing w:after="0"/>
        <w:rPr>
          <w:sz w:val="20"/>
          <w:szCs w:val="20"/>
          <w:color w:val="auto"/>
        </w:rPr>
      </w:pPr>
      <w:r>
        <w:rPr>
          <w:rFonts w:ascii="Arial" w:cs="Arial" w:eastAsia="Arial" w:hAnsi="Arial"/>
          <w:sz w:val="22"/>
          <w:szCs w:val="22"/>
          <w:b w:val="1"/>
          <w:bCs w:val="1"/>
          <w:color w:val="auto"/>
        </w:rPr>
        <w:t>SIGNATURE</w:t>
      </w:r>
    </w:p>
    <w:p>
      <w:pPr>
        <w:spacing w:after="0" w:line="350" w:lineRule="exact"/>
        <w:rPr>
          <w:sz w:val="20"/>
          <w:szCs w:val="20"/>
          <w:color w:val="auto"/>
        </w:rPr>
      </w:pPr>
    </w:p>
    <w:p>
      <w:pPr>
        <w:ind w:left="900"/>
        <w:spacing w:after="0"/>
        <w:rPr>
          <w:sz w:val="20"/>
          <w:szCs w:val="20"/>
          <w:color w:val="auto"/>
        </w:rPr>
      </w:pPr>
      <w:r>
        <w:rPr>
          <w:rFonts w:ascii="Arial" w:cs="Arial" w:eastAsia="Arial" w:hAnsi="Arial"/>
          <w:sz w:val="13"/>
          <w:szCs w:val="13"/>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80" w:type="dxa"/>
            <w:vAlign w:val="bottom"/>
          </w:tcPr>
          <w:p>
            <w:pPr>
              <w:spacing w:after="0"/>
              <w:rPr>
                <w:sz w:val="20"/>
                <w:szCs w:val="20"/>
                <w:color w:val="auto"/>
              </w:rPr>
            </w:pPr>
            <w:r>
              <w:rPr>
                <w:rFonts w:ascii="Arial" w:cs="Arial" w:eastAsia="Arial" w:hAnsi="Arial"/>
                <w:sz w:val="16"/>
                <w:szCs w:val="16"/>
                <w:color w:val="auto"/>
              </w:rPr>
              <w:t>February 12 2019</w:t>
            </w:r>
          </w:p>
        </w:tc>
        <w:tc>
          <w:tcPr>
            <w:tcW w:w="6160" w:type="dxa"/>
            <w:vAlign w:val="bottom"/>
            <w:gridSpan w:val="2"/>
          </w:tcPr>
          <w:p>
            <w:pPr>
              <w:ind w:left="1020"/>
              <w:spacing w:after="0"/>
              <w:rPr>
                <w:sz w:val="20"/>
                <w:szCs w:val="20"/>
                <w:color w:val="auto"/>
              </w:rPr>
            </w:pPr>
            <w:r>
              <w:rPr>
                <w:rFonts w:ascii="Arial" w:cs="Arial" w:eastAsia="Arial" w:hAnsi="Arial"/>
                <w:sz w:val="16"/>
                <w:szCs w:val="16"/>
                <w:color w:val="auto"/>
              </w:rPr>
              <w:t>Boston Partners</w:t>
            </w:r>
          </w:p>
        </w:tc>
      </w:tr>
      <w:tr>
        <w:trPr>
          <w:trHeight w:val="283"/>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Liana Safanov</w:t>
            </w:r>
          </w:p>
        </w:tc>
      </w:tr>
      <w:tr>
        <w:trPr>
          <w:trHeight w:val="278"/>
        </w:trPr>
        <w:tc>
          <w:tcPr>
            <w:tcW w:w="2180" w:type="dxa"/>
            <w:vAlign w:val="bottom"/>
          </w:tcPr>
          <w:p>
            <w:pPr>
              <w:spacing w:after="0"/>
              <w:rPr>
                <w:sz w:val="24"/>
                <w:szCs w:val="24"/>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Name:</w:t>
            </w:r>
          </w:p>
        </w:tc>
        <w:tc>
          <w:tcPr>
            <w:tcW w:w="4480" w:type="dxa"/>
            <w:vAlign w:val="bottom"/>
          </w:tcPr>
          <w:p>
            <w:pPr>
              <w:spacing w:after="0"/>
              <w:rPr>
                <w:sz w:val="20"/>
                <w:szCs w:val="20"/>
                <w:color w:val="auto"/>
              </w:rPr>
            </w:pPr>
            <w:r>
              <w:rPr>
                <w:rFonts w:ascii="Arial" w:cs="Arial" w:eastAsia="Arial" w:hAnsi="Arial"/>
                <w:sz w:val="16"/>
                <w:szCs w:val="16"/>
                <w:color w:val="auto"/>
              </w:rPr>
              <w:t>Liana Safanov</w:t>
            </w:r>
          </w:p>
        </w:tc>
      </w:tr>
      <w:tr>
        <w:trPr>
          <w:trHeight w:val="270"/>
        </w:trPr>
        <w:tc>
          <w:tcPr>
            <w:tcW w:w="2180" w:type="dxa"/>
            <w:vAlign w:val="bottom"/>
          </w:tcPr>
          <w:p>
            <w:pPr>
              <w:spacing w:after="0"/>
              <w:rPr>
                <w:sz w:val="23"/>
                <w:szCs w:val="23"/>
                <w:color w:val="auto"/>
              </w:rPr>
            </w:pPr>
          </w:p>
        </w:tc>
        <w:tc>
          <w:tcPr>
            <w:tcW w:w="1680" w:type="dxa"/>
            <w:vAlign w:val="bottom"/>
          </w:tcPr>
          <w:p>
            <w:pPr>
              <w:ind w:left="1020"/>
              <w:spacing w:after="0"/>
              <w:rPr>
                <w:sz w:val="20"/>
                <w:szCs w:val="20"/>
                <w:color w:val="auto"/>
              </w:rPr>
            </w:pPr>
            <w:r>
              <w:rPr>
                <w:rFonts w:ascii="Arial" w:cs="Arial" w:eastAsia="Arial" w:hAnsi="Arial"/>
                <w:sz w:val="16"/>
                <w:szCs w:val="16"/>
                <w:color w:val="auto"/>
              </w:rPr>
              <w:t>Title:</w:t>
            </w:r>
          </w:p>
        </w:tc>
        <w:tc>
          <w:tcPr>
            <w:tcW w:w="4480" w:type="dxa"/>
            <w:vAlign w:val="bottom"/>
          </w:tcPr>
          <w:p>
            <w:pPr>
              <w:spacing w:after="0"/>
              <w:rPr>
                <w:sz w:val="20"/>
                <w:szCs w:val="20"/>
                <w:color w:val="auto"/>
              </w:rPr>
            </w:pPr>
            <w:r>
              <w:rPr>
                <w:rFonts w:ascii="Arial" w:cs="Arial" w:eastAsia="Arial" w:hAnsi="Arial"/>
                <w:sz w:val="16"/>
                <w:szCs w:val="16"/>
                <w:color w:val="auto"/>
              </w:rPr>
              <w:t>Senior Compliance Manager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Attention — Intentional misstatements or omissions of fact constitute Federal criminal violations (See 18 U.S.C. 1001).</w:t>
      </w:r>
    </w:p>
    <w:sectPr>
      <w:pgSz w:w="11900" w:h="16838" w:orient="portrait"/>
      <w:cols w:equalWidth="0" w:num="1">
        <w:col w:w="10219"/>
      </w:cols>
      <w:pgMar w:left="240" w:top="93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2]"/>
      <w:numFmt w:val="upperLetter"/>
      <w:start w:val="24"/>
    </w:lvl>
  </w:abstractNum>
  <w:abstractNum w:abstractNumId="1">
    <w:nsid w:val="507ED7AB"/>
    <w:multiLevelType w:val="hybridMultilevel"/>
    <w:lvl w:ilvl="0">
      <w:lvlJc w:val="left"/>
      <w:lvlText w:val="1"/>
      <w:numFmt w:val="bullet"/>
      <w:start w:val="1"/>
    </w:lvl>
  </w:abstractNum>
  <w:abstractNum w:abstractNumId="2">
    <w:nsid w:val="2EB141F2"/>
    <w:multiLevelType w:val="hybridMultilevel"/>
    <w:lvl w:ilvl="0">
      <w:lvlJc w:val="left"/>
      <w:lvlText w:val="2"/>
      <w:numFmt w:val="bullet"/>
      <w:start w:val="1"/>
    </w:lvl>
    <w:lvl w:ilvl="1">
      <w:lvlJc w:val="left"/>
      <w:lvlText w:val="(%2)"/>
      <w:numFmt w:val="lowerLetter"/>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4"/>
      <w:numFmt w:val="bullet"/>
      <w:start w:val="1"/>
    </w:lvl>
  </w:abstractNum>
  <w:abstractNum w:abstractNumId="5">
    <w:nsid w:val="7545E146"/>
    <w:multiLevelType w:val="hybridMultilevel"/>
    <w:lvl w:ilvl="0">
      <w:lvlJc w:val="left"/>
      <w:lvlText w:val="9"/>
      <w:numFmt w:val="bullet"/>
      <w:start w:val="1"/>
    </w:lvl>
  </w:abstractNum>
  <w:abstractNum w:abstractNumId="6">
    <w:nsid w:val="515F007C"/>
    <w:multiLevelType w:val="hybridMultilevel"/>
    <w:lvl w:ilvl="0">
      <w:lvlJc w:val="left"/>
      <w:lvlText w:val="%1"/>
      <w:numFmt w:val="decimal"/>
      <w:start w:val="10"/>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2019-12-05T00:23:03Z</dcterms:created>
  <dcterms:modified xsi:type="dcterms:W3CDTF">2019-12-05T00:23:03Z</dcterms:modified>
</cp:coreProperties>
</file>