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4, 2015</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620" w:type="dxa"/>
            <w:vAlign w:val="bottom"/>
          </w:tcPr>
          <w:p>
            <w:pPr>
              <w:jc w:val="right"/>
              <w:ind w:right="1010"/>
              <w:spacing w:after="0"/>
              <w:rPr>
                <w:sz w:val="20"/>
                <w:szCs w:val="20"/>
                <w:color w:val="auto"/>
              </w:rPr>
            </w:pPr>
            <w:r>
              <w:rPr>
                <w:rFonts w:ascii="Arial" w:cs="Arial" w:eastAsia="Arial" w:hAnsi="Arial"/>
                <w:sz w:val="18"/>
                <w:szCs w:val="18"/>
                <w:b w:val="1"/>
                <w:bCs w:val="1"/>
                <w:color w:val="auto"/>
              </w:rPr>
              <w:t>1-10686</w:t>
            </w:r>
          </w:p>
        </w:tc>
        <w:tc>
          <w:tcPr>
            <w:tcW w:w="3340" w:type="dxa"/>
            <w:vAlign w:val="bottom"/>
          </w:tcPr>
          <w:p>
            <w:pPr>
              <w:jc w:val="right"/>
              <w:ind w:right="115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4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43"/>
        </w:trPr>
        <w:tc>
          <w:tcPr>
            <w:tcW w:w="44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29"/>
        </w:trPr>
        <w:tc>
          <w:tcPr>
            <w:tcW w:w="4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100 Manpower Place</w:t>
            </w:r>
          </w:p>
        </w:tc>
        <w:tc>
          <w:tcPr>
            <w:tcW w:w="26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4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Milwaukee, Wisconsin</w:t>
            </w:r>
          </w:p>
        </w:tc>
        <w:tc>
          <w:tcPr>
            <w:tcW w:w="2620" w:type="dxa"/>
            <w:vAlign w:val="bottom"/>
          </w:tcPr>
          <w:p>
            <w:pPr>
              <w:spacing w:after="0"/>
              <w:rPr>
                <w:sz w:val="23"/>
                <w:szCs w:val="23"/>
                <w:color w:val="auto"/>
              </w:rPr>
            </w:pPr>
          </w:p>
        </w:tc>
        <w:tc>
          <w:tcPr>
            <w:tcW w:w="3340" w:type="dxa"/>
            <w:vAlign w:val="bottom"/>
          </w:tcPr>
          <w:p>
            <w:pPr>
              <w:jc w:val="right"/>
              <w:ind w:right="2090"/>
              <w:spacing w:after="0"/>
              <w:rPr>
                <w:sz w:val="20"/>
                <w:szCs w:val="20"/>
                <w:color w:val="auto"/>
              </w:rPr>
            </w:pPr>
            <w:r>
              <w:rPr>
                <w:rFonts w:ascii="Arial" w:cs="Arial" w:eastAsia="Arial" w:hAnsi="Arial"/>
                <w:sz w:val="18"/>
                <w:szCs w:val="18"/>
                <w:b w:val="1"/>
                <w:bCs w:val="1"/>
                <w:color w:val="auto"/>
              </w:rPr>
              <w:t>53212</w:t>
            </w:r>
          </w:p>
        </w:tc>
      </w:tr>
      <w:tr>
        <w:trPr>
          <w:trHeight w:val="34"/>
        </w:trPr>
        <w:tc>
          <w:tcPr>
            <w:tcW w:w="44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43"/>
        </w:trPr>
        <w:tc>
          <w:tcPr>
            <w:tcW w:w="4480" w:type="dxa"/>
            <w:vAlign w:val="bottom"/>
          </w:tcPr>
          <w:p>
            <w:pPr>
              <w:jc w:val="center"/>
              <w:ind w:left="10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620" w:type="dxa"/>
            <w:vAlign w:val="bottom"/>
          </w:tcPr>
          <w:p>
            <w:pPr>
              <w:spacing w:after="0"/>
              <w:rPr>
                <w:sz w:val="21"/>
                <w:szCs w:val="21"/>
                <w:color w:val="auto"/>
              </w:rPr>
            </w:pPr>
          </w:p>
        </w:tc>
        <w:tc>
          <w:tcPr>
            <w:tcW w:w="334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(Zip Code)</w:t>
            </w:r>
          </w:p>
        </w:tc>
      </w:tr>
    </w:tbl>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41" w:lineRule="exact"/>
        <w:rPr>
          <w:rFonts w:ascii="Arial" w:cs="Arial" w:eastAsia="Arial" w:hAnsi="Arial"/>
          <w:sz w:val="22"/>
          <w:szCs w:val="22"/>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1" w:lineRule="exact"/>
        <w:rPr>
          <w:rFonts w:ascii="Arial" w:cs="Arial" w:eastAsia="Arial" w:hAnsi="Arial"/>
          <w:sz w:val="22"/>
          <w:szCs w:val="22"/>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1" w:lineRule="exact"/>
        <w:rPr>
          <w:rFonts w:ascii="Arial" w:cs="Arial" w:eastAsia="Arial" w:hAnsi="Arial"/>
          <w:sz w:val="22"/>
          <w:szCs w:val="22"/>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89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9"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On September 4, 2015, ManpowerGroup priced its offering of €400 million senior notes. The notes, which will be due September 11, 2022, carry a 1.875% annual coupon, and were priced at 99.753% to yield 1.913%. The offering is expected to settle on September 11, 2015. A copy of the press release announcing the offering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7140" w:type="dxa"/>
            <w:vAlign w:val="bottom"/>
          </w:tcPr>
          <w:p>
            <w:pPr>
              <w:ind w:left="56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0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99.1</w:t>
            </w:r>
          </w:p>
        </w:tc>
        <w:tc>
          <w:tcPr>
            <w:tcW w:w="7140" w:type="dxa"/>
            <w:vAlign w:val="bottom"/>
          </w:tcPr>
          <w:p>
            <w:pPr>
              <w:ind w:left="360"/>
              <w:spacing w:after="0"/>
              <w:rPr>
                <w:sz w:val="20"/>
                <w:szCs w:val="20"/>
                <w:color w:val="auto"/>
              </w:rPr>
            </w:pPr>
            <w:r>
              <w:rPr>
                <w:rFonts w:ascii="Arial" w:cs="Arial" w:eastAsia="Arial" w:hAnsi="Arial"/>
                <w:sz w:val="18"/>
                <w:szCs w:val="18"/>
                <w:color w:val="auto"/>
              </w:rPr>
              <w:t>Press Release dated September 4,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5120" w:type="dxa"/>
            <w:vAlign w:val="bottom"/>
            <w:gridSpan w:val="2"/>
          </w:tcPr>
          <w:p>
            <w:pPr>
              <w:ind w:left="80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Dated: September 4, 2015</w:t>
            </w:r>
          </w:p>
        </w:tc>
        <w:tc>
          <w:tcPr>
            <w:tcW w:w="1420" w:type="dxa"/>
            <w:vAlign w:val="bottom"/>
          </w:tcPr>
          <w:p>
            <w:pPr>
              <w:ind w:left="800"/>
              <w:spacing w:after="0"/>
              <w:rPr>
                <w:sz w:val="20"/>
                <w:szCs w:val="20"/>
                <w:color w:val="auto"/>
              </w:rPr>
            </w:pPr>
            <w:r>
              <w:rPr>
                <w:rFonts w:ascii="Arial" w:cs="Arial" w:eastAsia="Arial" w:hAnsi="Arial"/>
                <w:sz w:val="18"/>
                <w:szCs w:val="18"/>
                <w:color w:val="auto"/>
              </w:rPr>
              <w:t>By:</w:t>
            </w:r>
          </w:p>
        </w:tc>
        <w:tc>
          <w:tcPr>
            <w:tcW w:w="370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420" w:type="dxa"/>
            <w:vAlign w:val="bottom"/>
            <w:vMerge w:val="restart"/>
          </w:tcPr>
          <w:p>
            <w:pPr>
              <w:ind w:left="800"/>
              <w:spacing w:after="0"/>
              <w:rPr>
                <w:sz w:val="20"/>
                <w:szCs w:val="20"/>
                <w:color w:val="auto"/>
              </w:rPr>
            </w:pPr>
            <w:r>
              <w:rPr>
                <w:rFonts w:ascii="Arial" w:cs="Arial" w:eastAsia="Arial" w:hAnsi="Arial"/>
                <w:sz w:val="18"/>
                <w:szCs w:val="18"/>
                <w:color w:val="auto"/>
              </w:rPr>
              <w:t>Name:</w:t>
            </w: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2"/>
                <w:szCs w:val="22"/>
                <w:color w:val="auto"/>
              </w:rPr>
            </w:pPr>
          </w:p>
        </w:tc>
        <w:tc>
          <w:tcPr>
            <w:tcW w:w="1420" w:type="dxa"/>
            <w:vAlign w:val="bottom"/>
          </w:tcPr>
          <w:p>
            <w:pPr>
              <w:ind w:left="800"/>
              <w:spacing w:after="0"/>
              <w:rPr>
                <w:sz w:val="20"/>
                <w:szCs w:val="20"/>
                <w:color w:val="auto"/>
              </w:rPr>
            </w:pPr>
            <w:r>
              <w:rPr>
                <w:rFonts w:ascii="Arial" w:cs="Arial" w:eastAsia="Arial" w:hAnsi="Arial"/>
                <w:sz w:val="18"/>
                <w:szCs w:val="18"/>
                <w:color w:val="auto"/>
              </w:rPr>
              <w:t>Title:</w:t>
            </w:r>
          </w:p>
        </w:tc>
        <w:tc>
          <w:tcPr>
            <w:tcW w:w="370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and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ectPr>
          <w:pgSz w:w="11900" w:h="16838" w:orient="portrait"/>
          <w:cols w:equalWidth="0" w:num="1">
            <w:col w:w="11280"/>
          </w:cols>
          <w:pgMar w:left="240" w:top="1013" w:right="37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4, 2015</w:t>
      </w:r>
    </w:p>
    <w:p>
      <w:pPr>
        <w:sectPr>
          <w:pgSz w:w="11900" w:h="16838" w:orient="portrait"/>
          <w:cols w:equalWidth="0" w:num="1">
            <w:col w:w="10219"/>
          </w:cols>
          <w:pgMar w:left="240" w:top="101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IMMEDIATE RELEASE </w:t>
      </w:r>
      <w:r>
        <w:rPr>
          <w:rFonts w:ascii="Arial" w:cs="Arial" w:eastAsia="Arial" w:hAnsi="Arial"/>
          <w:sz w:val="18"/>
          <w:szCs w:val="18"/>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Mike Van Handel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+1.414.906.6305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Michael.vanhandel@manpowergroup.com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Announces Pricing of Seven-Year Euro 400 Million Notes</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 xml:space="preserve">MILWAUKEE (September 4, 2015) - </w:t>
      </w:r>
      <w:r>
        <w:rPr>
          <w:rFonts w:ascii="Arial" w:cs="Arial" w:eastAsia="Arial" w:hAnsi="Arial"/>
          <w:sz w:val="18"/>
          <w:szCs w:val="18"/>
          <w:color w:val="auto"/>
        </w:rPr>
        <w:t>ManpowerGroup (NYSE: MAN) today announced that it has successfully priced its offering of € 400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senior notes. The notes, which will be due September 11, 2022, carry a 1.875% annual coupon, and were priced at 99.753% to yield 1.913%. The offering is expected to settle on September 11, 2015.</w:t>
      </w:r>
    </w:p>
    <w:p>
      <w:pPr>
        <w:spacing w:after="0" w:line="1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press release does not constitute an offer to sell or the solicitation of an offer to buy the securities in any jurisdiction in which such offering would be unlawful. Any offers of securities will be made only by means of a private offering circular. The notes will not be, and have not been, registered under the Securities Act of 1933, as amended, and may not be offered or sold in the United States absent registration or an applicable exemption from registration requirements.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2019-12-06T05:42:06Z</dcterms:created>
  <dcterms:modified xsi:type="dcterms:W3CDTF">2019-12-06T05:42:06Z</dcterms:modified>
</cp:coreProperties>
</file>