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11, 2006</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440" w:type="dxa"/>
            <w:vAlign w:val="bottom"/>
          </w:tcPr>
          <w:p>
            <w:pPr>
              <w:spacing w:after="0"/>
              <w:rPr>
                <w:sz w:val="23"/>
                <w:szCs w:val="23"/>
                <w:color w:val="auto"/>
              </w:rPr>
            </w:pPr>
          </w:p>
        </w:tc>
        <w:tc>
          <w:tcPr>
            <w:tcW w:w="3420" w:type="dxa"/>
            <w:vAlign w:val="bottom"/>
            <w:gridSpan w:val="4"/>
          </w:tcPr>
          <w:p>
            <w:pPr>
              <w:jc w:val="center"/>
              <w:ind w:right="1000"/>
              <w:spacing w:after="0"/>
              <w:rPr>
                <w:sz w:val="20"/>
                <w:szCs w:val="20"/>
                <w:color w:val="auto"/>
              </w:rPr>
            </w:pPr>
            <w:r>
              <w:rPr>
                <w:rFonts w:ascii="Arial" w:cs="Arial" w:eastAsia="Arial" w:hAnsi="Arial"/>
                <w:sz w:val="22"/>
                <w:szCs w:val="22"/>
                <w:color w:val="auto"/>
                <w:w w:val="90"/>
              </w:rPr>
              <w:t>(State or other jurisdiction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0"/>
              </w:rPr>
              <w:t>(Commission</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File Number)</w:t>
            </w:r>
          </w:p>
        </w:tc>
        <w:tc>
          <w:tcPr>
            <w:tcW w:w="1180" w:type="dxa"/>
            <w:vAlign w:val="bottom"/>
          </w:tcPr>
          <w:p>
            <w:pPr>
              <w:spacing w:after="0"/>
              <w:rPr>
                <w:sz w:val="23"/>
                <w:szCs w:val="23"/>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509"/>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center"/>
              <w:ind w:right="80"/>
              <w:spacing w:after="0" w:line="224" w:lineRule="exact"/>
              <w:rPr>
                <w:sz w:val="20"/>
                <w:szCs w:val="20"/>
                <w:color w:val="auto"/>
              </w:rPr>
            </w:pPr>
            <w:r>
              <w:rPr>
                <w:rFonts w:ascii="Arial" w:cs="Arial" w:eastAsia="Arial" w:hAnsi="Arial"/>
                <w:sz w:val="22"/>
                <w:szCs w:val="22"/>
                <w:color w:val="auto"/>
                <w:w w:val="91"/>
              </w:rPr>
              <w:t>Milwaukee, Wisconsin</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301"/>
        </w:trPr>
        <w:tc>
          <w:tcPr>
            <w:tcW w:w="3860" w:type="dxa"/>
            <w:vAlign w:val="bottom"/>
            <w:gridSpan w:val="5"/>
          </w:tcPr>
          <w:p>
            <w:pPr>
              <w:jc w:val="center"/>
              <w:ind w:left="292"/>
              <w:spacing w:after="0"/>
              <w:rPr>
                <w:sz w:val="20"/>
                <w:szCs w:val="20"/>
                <w:color w:val="auto"/>
              </w:rPr>
            </w:pPr>
            <w:r>
              <w:rPr>
                <w:rFonts w:ascii="Arial" w:cs="Arial" w:eastAsia="Arial" w:hAnsi="Arial"/>
                <w:sz w:val="22"/>
                <w:szCs w:val="22"/>
                <w:color w:val="auto"/>
                <w:w w:val="90"/>
              </w:rPr>
              <w:t>(Address of principal executive offices)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r>
      <w:tr>
        <w:trPr>
          <w:trHeight w:val="743"/>
        </w:trPr>
        <w:tc>
          <w:tcPr>
            <w:tcW w:w="5140" w:type="dxa"/>
            <w:vAlign w:val="bottom"/>
            <w:gridSpan w:val="7"/>
          </w:tcPr>
          <w:p>
            <w:pPr>
              <w:spacing w:after="0"/>
              <w:rPr>
                <w:sz w:val="20"/>
                <w:szCs w:val="20"/>
                <w:color w:val="auto"/>
              </w:rPr>
            </w:pPr>
            <w:r>
              <w:rPr>
                <w:rFonts w:ascii="Arial" w:cs="Arial" w:eastAsia="Arial" w:hAnsi="Arial"/>
                <w:sz w:val="22"/>
                <w:szCs w:val="22"/>
                <w:color w:val="auto"/>
                <w:w w:val="90"/>
              </w:rPr>
              <w:t>Registrant’s telephone number, including area code: (414)</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w w:val="92"/>
              </w:rPr>
              <w:t>961-1000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4"/>
          <w:szCs w:val="24"/>
          <w:color w:val="auto"/>
        </w:rPr>
      </w:pPr>
    </w:p>
    <w:p>
      <w:pPr>
        <w:spacing w:after="0" w:line="25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87" w:lineRule="exact"/>
        <w:rPr>
          <w:rFonts w:ascii="MS PGothic" w:cs="MS PGothic" w:eastAsia="MS PGothic" w:hAnsi="MS PGothic"/>
          <w:sz w:val="22"/>
          <w:szCs w:val="22"/>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87" w:lineRule="exact"/>
        <w:rPr>
          <w:rFonts w:ascii="MS PGothic" w:cs="MS PGothic" w:eastAsia="MS PGothic" w:hAnsi="MS PGothic"/>
          <w:sz w:val="22"/>
          <w:szCs w:val="22"/>
          <w:color w:val="auto"/>
        </w:rPr>
      </w:pPr>
    </w:p>
    <w:p>
      <w:pPr>
        <w:ind w:left="380" w:right="284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MS PGothic" w:cs="MS PGothic" w:eastAsia="MS PGothic" w:hAnsi="MS PGothic"/>
          <w:sz w:val="22"/>
          <w:szCs w:val="22"/>
          <w:color w:val="auto"/>
        </w:rPr>
      </w:pPr>
    </w:p>
    <w:p>
      <w:pPr>
        <w:ind w:left="380" w:right="286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1200"/>
          </w:cols>
          <w:pgMar w:left="240" w:top="712" w:right="4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u w:val="single" w:color="auto"/>
          <w:color w:val="auto"/>
        </w:rPr>
        <w:t>Entry into a Material Definitive Agreement</w:t>
      </w:r>
      <w:r>
        <w:rPr>
          <w:rFonts w:ascii="Arial" w:cs="Arial" w:eastAsia="Arial" w:hAnsi="Arial"/>
          <w:sz w:val="19"/>
          <w:szCs w:val="19"/>
          <w:b w:val="1"/>
          <w:bCs w:val="1"/>
          <w:color w:val="auto"/>
        </w:rPr>
        <w:t>.</w:t>
      </w:r>
    </w:p>
    <w:p>
      <w:pPr>
        <w:spacing w:after="0" w:line="239" w:lineRule="exact"/>
        <w:rPr>
          <w:sz w:val="20"/>
          <w:szCs w:val="20"/>
          <w:color w:val="auto"/>
        </w:rPr>
      </w:pPr>
    </w:p>
    <w:p>
      <w:pPr>
        <w:ind w:right="360" w:firstLine="648"/>
        <w:spacing w:after="0" w:line="236" w:lineRule="auto"/>
        <w:rPr>
          <w:sz w:val="20"/>
          <w:szCs w:val="20"/>
          <w:color w:val="auto"/>
        </w:rPr>
      </w:pPr>
      <w:r>
        <w:rPr>
          <w:rFonts w:ascii="Arial" w:cs="Arial" w:eastAsia="Arial" w:hAnsi="Arial"/>
          <w:sz w:val="22"/>
          <w:szCs w:val="22"/>
          <w:color w:val="auto"/>
        </w:rPr>
        <w:t>On May 11, 2006, Manpower Inc. (the “Company”) entered into a change of control severance agreement with Jonas Prising, Executive Vice President and President – United States and Canada of the Company. On May 12, 2006, the Company entered into a substantially similar change of control severance agreement with Barbara Beck, Executive Vice President and President – EMEA of the Company, which replaced the change of control severance agreement between the Company and Ms. Beck that had expired by its terms.</w:t>
      </w:r>
    </w:p>
    <w:p>
      <w:pPr>
        <w:spacing w:after="0" w:line="188" w:lineRule="exact"/>
        <w:rPr>
          <w:sz w:val="20"/>
          <w:szCs w:val="20"/>
          <w:color w:val="auto"/>
        </w:rPr>
      </w:pPr>
    </w:p>
    <w:p>
      <w:pPr>
        <w:jc w:val="both"/>
        <w:ind w:right="160" w:firstLine="648"/>
        <w:spacing w:after="0" w:line="273" w:lineRule="auto"/>
        <w:rPr>
          <w:sz w:val="20"/>
          <w:szCs w:val="20"/>
          <w:color w:val="auto"/>
        </w:rPr>
      </w:pPr>
      <w:r>
        <w:rPr>
          <w:rFonts w:ascii="Arial" w:cs="Arial" w:eastAsia="Arial" w:hAnsi="Arial"/>
          <w:sz w:val="19"/>
          <w:szCs w:val="19"/>
          <w:color w:val="auto"/>
        </w:rPr>
        <w:t>Under the agreements, if the executive’s employment is terminated by Manpower without “cause” or by the executive for “good reason” and there has been no change of control of Manpower, we will provide the executive with (1) the executive’s base salary through the date of termination, (2) any unpaid bonus attributable to a fiscal year that ended before the date of termination,</w:t>
      </w:r>
    </w:p>
    <w:p>
      <w:pPr>
        <w:spacing w:after="0" w:line="2" w:lineRule="exact"/>
        <w:rPr>
          <w:sz w:val="20"/>
          <w:szCs w:val="20"/>
          <w:color w:val="auto"/>
        </w:rPr>
      </w:pPr>
    </w:p>
    <w:p>
      <w:pPr>
        <w:ind w:right="220" w:firstLine="8"/>
        <w:spacing w:after="0" w:line="233"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a prorated bonus for the year in which the executive’s employment was terminated, (4) a lump sum payment equal to the executive’s base salary at the highest rate in effect during the term of the agreement plus the amount of the executive’s largest annual bonus for the three years prior to the date of termination, (5) continuation of medical and dental benefits for 12 months following the date of termination, and (6) an outplacement service program with a duration of not more than one year fol lowing the date of termination.</w:t>
      </w:r>
    </w:p>
    <w:p>
      <w:pPr>
        <w:spacing w:after="0" w:line="186"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In the event of a change of control of Manpower, if the executive’s employment is terminated without “cause” or by the executive for “good reason” in the protected period (which shall not be more than six months) before or two years after the change of control, the executive is entitled to (1) the executive’s base salary through the date of termination, (2) any unpaid bonus attributable to a fiscal year that ended before the date of termination, (3) a prorated bonus for the year in which the executive’s employment was terminated based on the greater of the largest annual bonus for the three years prior to the date of termination or the target bonus for the year in which the executive’s employment was terminated, (4) a lump sum payment equal to two times the executive’s base salary at the highest rate in effect during the term of the agreement plus two times the greate r of the executive’s highest annual bonus for the prior three years or the target bonus for the year in which the termination takes place, (5) continuation of medical, dental, life insurance and disability benefits for 12 months following the date of termination, and (6) an outplacement service program with a duration of not more than one year following the date of termination.</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Upon the death or disability of the executive, the executive is entitled under the severance agreement to receive (1) the executive’s base salary through the date of termination, (2) any unpaid bonus attributable to a fiscal year that ended before the date of termination, (3) a prorated bonus for the year in which the executive’s employment was terminated, and (4) all benefits provided under the Company’s benefit plans to which the executive is entitled. If the executive’s employment with Manpower is terminated for “cause” or by the executive other than for “good reason,” the executive will receive (1) the executive’s base salary through the date of termination, (2) any unpaid bonus attributable to a fiscal year that ended before the date of termination, and (3) all benefits provided under the Company’s benefit plans to which the executive is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40" w:top="585" w:right="319" w:bottom="1440" w:gutter="0" w:footer="0" w:header="0"/>
        </w:sectPr>
      </w:pPr>
    </w:p>
    <w:bookmarkStart w:id="2" w:name="page3"/>
    <w:bookmarkEnd w:id="2"/>
    <w:p>
      <w:pPr>
        <w:ind w:right="40" w:firstLine="648"/>
        <w:spacing w:after="0" w:line="249" w:lineRule="auto"/>
        <w:rPr>
          <w:sz w:val="20"/>
          <w:szCs w:val="20"/>
          <w:color w:val="auto"/>
        </w:rPr>
      </w:pPr>
      <w:r>
        <w:rPr>
          <w:rFonts w:ascii="Arial" w:cs="Arial" w:eastAsia="Arial" w:hAnsi="Arial"/>
          <w:sz w:val="21"/>
          <w:szCs w:val="21"/>
          <w:color w:val="auto"/>
        </w:rPr>
        <w:t>The agreements also contain nondisclosure provisions that are effective during the term of the executive’s employment with Manpower and during the two-year period following the termination of the executive’s employment with Manpower, and nonsolicitation provisions that are effective during the term of the executive’s employment with Manpower and during the one-year period following the termination of the executive’s employment with Manpower. The agreements also contain a noncompetition agreement that remains in effect for one year following termination of employment.</w:t>
      </w:r>
    </w:p>
    <w:p>
      <w:pPr>
        <w:spacing w:after="0" w:line="179"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Under the terms of the agreements, “cause” is defined as (1) repeated failure by the executive to perform duties in a competent, diligent and satisfactory manner as determined by the Company’s chief executive officer in his reasonable judgment, (2) insubordination, (3) commission by the executive of any material act of dishonesty or disloyalty involving Manpower, (4) the commission by the executive of an act of fraud, embezzlement or theft or a breach of trust or dereliction of duty in connection with the executive’s duties or in the course of the executive’s employment with the Company, (5) chronic absence from work other than by reason of a serious health condition, (6) commission of a crime which substantially relates to circumstances of the executive’s position with Manpower, or (7) the willful engaging by the executive in conduct which is demonstrably and materially injurious t o Manpower.</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Under the terms of the agreements, “good reason” is defined with certain exceptions as (1) a material reduction in the duties assigned to the executive to which the executive objects and which the Company fails to cure within the required time periods, (2) a material breach of the severance agreement by the Company or of any obligation for the payment of compensation or other benefits to the executive which remains uncured after the executive gives the required notice, (3) any reduction in the executive’s base salary or a failure by the Company to provide an arrangement for the executive to earn an incentive bonus for any year, or (4) within two years following a change of control of Manpower, any reduction of the executive’s annual bonus to an amount that is less than the annual bonus paid to the executive for either of the two years prior to the change of control.</w:t>
      </w:r>
    </w:p>
    <w:p>
      <w:pPr>
        <w:spacing w:after="0" w:line="15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The description of the agreements does not purport to describe all of the terms of the agreements and is qualified by reference to the full text of those documents, copies of which are attached to this report as Exhibits 10.1 and 10.2 and incorporated herein by reference.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30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7420" w:type="dxa"/>
            <w:vAlign w:val="bottom"/>
            <w:gridSpan w:val="7"/>
          </w:tcPr>
          <w:p>
            <w:pPr>
              <w:spacing w:after="0"/>
              <w:rPr>
                <w:sz w:val="20"/>
                <w:szCs w:val="20"/>
                <w:color w:val="auto"/>
              </w:rPr>
            </w:pPr>
            <w:r>
              <w:rPr>
                <w:rFonts w:ascii="Arial" w:cs="Arial" w:eastAsia="Arial" w:hAnsi="Arial"/>
                <w:sz w:val="22"/>
                <w:szCs w:val="22"/>
                <w:b w:val="1"/>
                <w:bCs w:val="1"/>
                <w:color w:val="auto"/>
              </w:rPr>
              <w:t>Financial Statements and Exhibits.</w:t>
            </w:r>
          </w:p>
        </w:tc>
      </w:tr>
      <w:tr>
        <w:trPr>
          <w:trHeight w:val="490"/>
        </w:trPr>
        <w:tc>
          <w:tcPr>
            <w:tcW w:w="1300" w:type="dxa"/>
            <w:vAlign w:val="bottom"/>
          </w:tcPr>
          <w:p>
            <w:pPr>
              <w:ind w:left="660"/>
              <w:spacing w:after="0"/>
              <w:rPr>
                <w:sz w:val="20"/>
                <w:szCs w:val="20"/>
                <w:color w:val="auto"/>
              </w:rPr>
            </w:pPr>
            <w:r>
              <w:rPr>
                <w:rFonts w:ascii="Arial" w:cs="Arial" w:eastAsia="Arial" w:hAnsi="Arial"/>
                <w:sz w:val="22"/>
                <w:szCs w:val="22"/>
                <w:b w:val="1"/>
                <w:bCs w:val="1"/>
                <w:color w:val="auto"/>
              </w:rPr>
              <w:t>(d)</w:t>
            </w:r>
          </w:p>
        </w:tc>
        <w:tc>
          <w:tcPr>
            <w:tcW w:w="134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22"/>
                <w:szCs w:val="22"/>
                <w:b w:val="1"/>
                <w:bCs w:val="1"/>
                <w:color w:val="auto"/>
                <w:w w:val="91"/>
              </w:rPr>
              <w:t>Exhibits</w:t>
            </w:r>
          </w:p>
        </w:tc>
        <w:tc>
          <w:tcPr>
            <w:tcW w:w="182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49"/>
        </w:trPr>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2500" w:type="dxa"/>
            <w:vAlign w:val="bottom"/>
          </w:tcPr>
          <w:p>
            <w:pPr>
              <w:spacing w:after="0"/>
              <w:rPr>
                <w:sz w:val="24"/>
                <w:szCs w:val="24"/>
                <w:color w:val="auto"/>
              </w:rPr>
            </w:pPr>
          </w:p>
        </w:tc>
      </w:tr>
      <w:tr>
        <w:trPr>
          <w:trHeight w:val="377"/>
        </w:trPr>
        <w:tc>
          <w:tcPr>
            <w:tcW w:w="1300" w:type="dxa"/>
            <w:vAlign w:val="bottom"/>
          </w:tcPr>
          <w:p>
            <w:pPr>
              <w:spacing w:after="0"/>
              <w:rPr>
                <w:sz w:val="24"/>
                <w:szCs w:val="24"/>
                <w:color w:val="auto"/>
              </w:rPr>
            </w:pPr>
          </w:p>
        </w:tc>
        <w:tc>
          <w:tcPr>
            <w:tcW w:w="1080" w:type="dxa"/>
            <w:vAlign w:val="bottom"/>
            <w:gridSpan w:val="2"/>
          </w:tcPr>
          <w:p>
            <w:pPr>
              <w:jc w:val="center"/>
              <w:ind w:right="152"/>
              <w:spacing w:after="0"/>
              <w:rPr>
                <w:sz w:val="20"/>
                <w:szCs w:val="20"/>
                <w:color w:val="auto"/>
              </w:rPr>
            </w:pPr>
            <w:r>
              <w:rPr>
                <w:rFonts w:ascii="Arial" w:cs="Arial" w:eastAsia="Arial" w:hAnsi="Arial"/>
                <w:sz w:val="22"/>
                <w:szCs w:val="22"/>
                <w:color w:val="auto"/>
                <w:w w:val="88"/>
              </w:rPr>
              <w:t>10.1</w:t>
            </w:r>
          </w:p>
        </w:tc>
        <w:tc>
          <w:tcPr>
            <w:tcW w:w="260" w:type="dxa"/>
            <w:vAlign w:val="bottom"/>
          </w:tcPr>
          <w:p>
            <w:pPr>
              <w:spacing w:after="0"/>
              <w:rPr>
                <w:sz w:val="24"/>
                <w:szCs w:val="24"/>
                <w:color w:val="auto"/>
              </w:rPr>
            </w:pPr>
          </w:p>
        </w:tc>
        <w:tc>
          <w:tcPr>
            <w:tcW w:w="6080" w:type="dxa"/>
            <w:vAlign w:val="bottom"/>
            <w:gridSpan w:val="4"/>
          </w:tcPr>
          <w:p>
            <w:pPr>
              <w:ind w:left="280"/>
              <w:spacing w:after="0"/>
              <w:rPr>
                <w:sz w:val="20"/>
                <w:szCs w:val="20"/>
                <w:color w:val="auto"/>
              </w:rPr>
            </w:pPr>
            <w:r>
              <w:rPr>
                <w:rFonts w:ascii="Arial" w:cs="Arial" w:eastAsia="Arial" w:hAnsi="Arial"/>
                <w:sz w:val="22"/>
                <w:szCs w:val="22"/>
                <w:color w:val="auto"/>
                <w:w w:val="88"/>
              </w:rPr>
              <w:t>Change of Control, Severance Agreement with Barbara Beck dated</w:t>
            </w:r>
          </w:p>
        </w:tc>
      </w:tr>
      <w:tr>
        <w:trPr>
          <w:trHeight w:val="275"/>
        </w:trPr>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80" w:type="dxa"/>
            <w:vAlign w:val="bottom"/>
            <w:gridSpan w:val="4"/>
          </w:tcPr>
          <w:p>
            <w:pPr>
              <w:ind w:left="280"/>
              <w:spacing w:after="0"/>
              <w:rPr>
                <w:sz w:val="20"/>
                <w:szCs w:val="20"/>
                <w:color w:val="auto"/>
              </w:rPr>
            </w:pPr>
            <w:r>
              <w:rPr>
                <w:rFonts w:ascii="Arial" w:cs="Arial" w:eastAsia="Arial" w:hAnsi="Arial"/>
                <w:sz w:val="22"/>
                <w:szCs w:val="22"/>
                <w:color w:val="auto"/>
              </w:rPr>
              <w:t>May 12, 2006.</w:t>
            </w:r>
          </w:p>
        </w:tc>
      </w:tr>
      <w:tr>
        <w:trPr>
          <w:trHeight w:val="914"/>
        </w:trPr>
        <w:tc>
          <w:tcPr>
            <w:tcW w:w="1300" w:type="dxa"/>
            <w:vAlign w:val="bottom"/>
          </w:tcPr>
          <w:p>
            <w:pPr>
              <w:spacing w:after="0"/>
              <w:rPr>
                <w:sz w:val="24"/>
                <w:szCs w:val="24"/>
                <w:color w:val="auto"/>
              </w:rPr>
            </w:pPr>
          </w:p>
        </w:tc>
        <w:tc>
          <w:tcPr>
            <w:tcW w:w="1080" w:type="dxa"/>
            <w:vAlign w:val="bottom"/>
            <w:gridSpan w:val="2"/>
          </w:tcPr>
          <w:p>
            <w:pPr>
              <w:jc w:val="center"/>
              <w:ind w:right="152"/>
              <w:spacing w:after="0"/>
              <w:rPr>
                <w:sz w:val="20"/>
                <w:szCs w:val="20"/>
                <w:color w:val="auto"/>
              </w:rPr>
            </w:pPr>
            <w:r>
              <w:rPr>
                <w:rFonts w:ascii="Arial" w:cs="Arial" w:eastAsia="Arial" w:hAnsi="Arial"/>
                <w:sz w:val="22"/>
                <w:szCs w:val="22"/>
                <w:color w:val="auto"/>
                <w:w w:val="88"/>
              </w:rPr>
              <w:t>10.2</w:t>
            </w:r>
          </w:p>
        </w:tc>
        <w:tc>
          <w:tcPr>
            <w:tcW w:w="260" w:type="dxa"/>
            <w:vAlign w:val="bottom"/>
          </w:tcPr>
          <w:p>
            <w:pPr>
              <w:spacing w:after="0"/>
              <w:rPr>
                <w:sz w:val="24"/>
                <w:szCs w:val="24"/>
                <w:color w:val="auto"/>
              </w:rPr>
            </w:pPr>
          </w:p>
        </w:tc>
        <w:tc>
          <w:tcPr>
            <w:tcW w:w="6080" w:type="dxa"/>
            <w:vAlign w:val="bottom"/>
            <w:gridSpan w:val="4"/>
          </w:tcPr>
          <w:p>
            <w:pPr>
              <w:ind w:left="280"/>
              <w:spacing w:after="0"/>
              <w:rPr>
                <w:sz w:val="20"/>
                <w:szCs w:val="20"/>
                <w:color w:val="auto"/>
              </w:rPr>
            </w:pPr>
            <w:r>
              <w:rPr>
                <w:rFonts w:ascii="Arial" w:cs="Arial" w:eastAsia="Arial" w:hAnsi="Arial"/>
                <w:sz w:val="22"/>
                <w:szCs w:val="22"/>
                <w:color w:val="auto"/>
                <w:w w:val="88"/>
              </w:rPr>
              <w:t>Change of Control, Severance Agreement with Jonas Prising dated</w:t>
            </w:r>
          </w:p>
        </w:tc>
      </w:tr>
      <w:tr>
        <w:trPr>
          <w:trHeight w:val="275"/>
        </w:trPr>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80" w:type="dxa"/>
            <w:vAlign w:val="bottom"/>
            <w:gridSpan w:val="4"/>
          </w:tcPr>
          <w:p>
            <w:pPr>
              <w:ind w:left="280"/>
              <w:spacing w:after="0"/>
              <w:rPr>
                <w:sz w:val="20"/>
                <w:szCs w:val="20"/>
                <w:color w:val="auto"/>
              </w:rPr>
            </w:pPr>
            <w:r>
              <w:rPr>
                <w:rFonts w:ascii="Arial" w:cs="Arial" w:eastAsia="Arial" w:hAnsi="Arial"/>
                <w:sz w:val="22"/>
                <w:szCs w:val="22"/>
                <w:color w:val="auto"/>
              </w:rPr>
              <w:t>May 11,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8"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May 17, 2006</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-17780</wp:posOffset>
            </wp:positionV>
            <wp:extent cx="24022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2205" cy="889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Jeffrey A. Joerres</w:t>
      </w:r>
    </w:p>
    <w:p>
      <w:pPr>
        <w:ind w:left="4760"/>
        <w:spacing w:after="0" w:line="234" w:lineRule="auto"/>
        <w:rPr>
          <w:sz w:val="20"/>
          <w:szCs w:val="20"/>
          <w:color w:val="auto"/>
        </w:rPr>
      </w:pPr>
      <w:r>
        <w:rPr>
          <w:rFonts w:ascii="Arial" w:cs="Arial" w:eastAsia="Arial" w:hAnsi="Arial"/>
          <w:sz w:val="22"/>
          <w:szCs w:val="22"/>
          <w:color w:val="auto"/>
        </w:rPr>
        <w:t>Chairman, Chief Executive Officer</w:t>
      </w:r>
    </w:p>
    <w:p>
      <w:pPr>
        <w:ind w:left="4760"/>
        <w:spacing w:after="0"/>
        <w:rPr>
          <w:sz w:val="20"/>
          <w:szCs w:val="20"/>
          <w:color w:val="auto"/>
        </w:rPr>
      </w:pPr>
      <w:r>
        <w:rPr>
          <w:rFonts w:ascii="Arial" w:cs="Arial" w:eastAsia="Arial" w:hAnsi="Arial"/>
          <w:sz w:val="22"/>
          <w:szCs w:val="22"/>
          <w:color w:val="auto"/>
        </w:rPr>
        <w:t>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240" w:top="847" w:right="439" w:bottom="1440" w:gutter="0" w:footer="0" w:header="0"/>
        </w:sectPr>
      </w:pPr>
    </w:p>
    <w:bookmarkStart w:id="4" w:name="page5"/>
    <w:bookmarkEnd w:id="4"/>
    <w:tbl>
      <w:tblPr>
        <w:tblLayout w:type="fixed"/>
        <w:tblInd w:w="1160" w:type="dxa"/>
        <w:tblCellMar>
          <w:top w:w="0" w:type="dxa"/>
          <w:left w:w="0" w:type="dxa"/>
          <w:bottom w:w="0" w:type="dxa"/>
          <w:right w:w="0" w:type="dxa"/>
        </w:tblCellMar>
      </w:tblPr>
      <w:tr>
        <w:trPr>
          <w:trHeight w:val="275"/>
        </w:trPr>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560" w:type="dxa"/>
            <w:vAlign w:val="bottom"/>
            <w:gridSpan w:val="3"/>
          </w:tcPr>
          <w:p>
            <w:pPr>
              <w:ind w:left="1300"/>
              <w:spacing w:after="0"/>
              <w:rPr>
                <w:sz w:val="20"/>
                <w:szCs w:val="20"/>
                <w:color w:val="auto"/>
              </w:rPr>
            </w:pPr>
            <w:r>
              <w:rPr>
                <w:rFonts w:ascii="Arial" w:cs="Arial" w:eastAsia="Arial" w:hAnsi="Arial"/>
                <w:sz w:val="22"/>
                <w:szCs w:val="22"/>
                <w:color w:val="auto"/>
              </w:rPr>
              <w:t>EXHIBIT INDEX</w:t>
            </w:r>
          </w:p>
        </w:tc>
      </w:tr>
      <w:tr>
        <w:trPr>
          <w:trHeight w:val="476"/>
        </w:trPr>
        <w:tc>
          <w:tcPr>
            <w:tcW w:w="126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560" w:type="dxa"/>
            <w:vAlign w:val="bottom"/>
            <w:gridSpan w:val="3"/>
          </w:tcPr>
          <w:p>
            <w:pPr>
              <w:ind w:left="2360"/>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77"/>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10.1</w:t>
            </w:r>
          </w:p>
        </w:tc>
        <w:tc>
          <w:tcPr>
            <w:tcW w:w="260" w:type="dxa"/>
            <w:vAlign w:val="bottom"/>
          </w:tcPr>
          <w:p>
            <w:pPr>
              <w:spacing w:after="0"/>
              <w:rPr>
                <w:sz w:val="24"/>
                <w:szCs w:val="24"/>
                <w:color w:val="auto"/>
              </w:rPr>
            </w:pPr>
          </w:p>
        </w:tc>
        <w:tc>
          <w:tcPr>
            <w:tcW w:w="5560" w:type="dxa"/>
            <w:vAlign w:val="bottom"/>
            <w:gridSpan w:val="3"/>
          </w:tcPr>
          <w:p>
            <w:pPr>
              <w:ind w:left="260"/>
              <w:spacing w:after="0"/>
              <w:rPr>
                <w:sz w:val="20"/>
                <w:szCs w:val="20"/>
                <w:color w:val="auto"/>
              </w:rPr>
            </w:pPr>
            <w:r>
              <w:rPr>
                <w:rFonts w:ascii="Arial" w:cs="Arial" w:eastAsia="Arial" w:hAnsi="Arial"/>
                <w:sz w:val="22"/>
                <w:szCs w:val="22"/>
                <w:color w:val="auto"/>
                <w:w w:val="88"/>
              </w:rPr>
              <w:t>Change of Control, Severance Agreement with Barbara Beck</w:t>
            </w:r>
          </w:p>
        </w:tc>
      </w:tr>
      <w:tr>
        <w:trPr>
          <w:trHeight w:val="275"/>
        </w:trPr>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560" w:type="dxa"/>
            <w:vAlign w:val="bottom"/>
            <w:gridSpan w:val="3"/>
          </w:tcPr>
          <w:p>
            <w:pPr>
              <w:ind w:left="260"/>
              <w:spacing w:after="0"/>
              <w:rPr>
                <w:sz w:val="20"/>
                <w:szCs w:val="20"/>
                <w:color w:val="auto"/>
              </w:rPr>
            </w:pPr>
            <w:r>
              <w:rPr>
                <w:rFonts w:ascii="Arial" w:cs="Arial" w:eastAsia="Arial" w:hAnsi="Arial"/>
                <w:sz w:val="22"/>
                <w:szCs w:val="22"/>
                <w:color w:val="auto"/>
              </w:rPr>
              <w:t>dated May 12, 2006.</w:t>
            </w:r>
          </w:p>
        </w:tc>
      </w:tr>
      <w:tr>
        <w:trPr>
          <w:trHeight w:val="914"/>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10.2</w:t>
            </w:r>
          </w:p>
        </w:tc>
        <w:tc>
          <w:tcPr>
            <w:tcW w:w="260" w:type="dxa"/>
            <w:vAlign w:val="bottom"/>
          </w:tcPr>
          <w:p>
            <w:pPr>
              <w:spacing w:after="0"/>
              <w:rPr>
                <w:sz w:val="24"/>
                <w:szCs w:val="24"/>
                <w:color w:val="auto"/>
              </w:rPr>
            </w:pPr>
          </w:p>
        </w:tc>
        <w:tc>
          <w:tcPr>
            <w:tcW w:w="5560" w:type="dxa"/>
            <w:vAlign w:val="bottom"/>
            <w:gridSpan w:val="3"/>
          </w:tcPr>
          <w:p>
            <w:pPr>
              <w:ind w:left="260"/>
              <w:spacing w:after="0"/>
              <w:rPr>
                <w:sz w:val="20"/>
                <w:szCs w:val="20"/>
                <w:color w:val="auto"/>
              </w:rPr>
            </w:pPr>
            <w:r>
              <w:rPr>
                <w:rFonts w:ascii="Arial" w:cs="Arial" w:eastAsia="Arial" w:hAnsi="Arial"/>
                <w:sz w:val="22"/>
                <w:szCs w:val="22"/>
                <w:color w:val="auto"/>
                <w:w w:val="89"/>
              </w:rPr>
              <w:t>Change of Control, Severance Agreement with Jonas Prising</w:t>
            </w:r>
          </w:p>
        </w:tc>
      </w:tr>
      <w:tr>
        <w:trPr>
          <w:trHeight w:val="275"/>
        </w:trPr>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560" w:type="dxa"/>
            <w:vAlign w:val="bottom"/>
            <w:gridSpan w:val="3"/>
          </w:tcPr>
          <w:p>
            <w:pPr>
              <w:ind w:left="260"/>
              <w:spacing w:after="0"/>
              <w:rPr>
                <w:sz w:val="20"/>
                <w:szCs w:val="20"/>
                <w:color w:val="auto"/>
              </w:rPr>
            </w:pPr>
            <w:r>
              <w:rPr>
                <w:rFonts w:ascii="Arial" w:cs="Arial" w:eastAsia="Arial" w:hAnsi="Arial"/>
                <w:sz w:val="22"/>
                <w:szCs w:val="22"/>
                <w:color w:val="auto"/>
              </w:rPr>
              <w:t>dated May 11, 2006.</w:t>
            </w:r>
          </w:p>
        </w:tc>
      </w:tr>
    </w:tbl>
    <w:p>
      <w:pPr>
        <w:sectPr>
          <w:pgSz w:w="11900" w:h="16838" w:orient="portrait"/>
          <w:cols w:equalWidth="0" w:num="1">
            <w:col w:w="9019"/>
          </w:cols>
          <w:pgMar w:left="1440" w:top="84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u w:val="single" w:color="auto"/>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 Inc.</w:t>
      </w:r>
    </w:p>
    <w:p>
      <w:pPr>
        <w:jc w:val="center"/>
        <w:spacing w:after="0" w:line="238" w:lineRule="auto"/>
        <w:rPr>
          <w:sz w:val="20"/>
          <w:szCs w:val="20"/>
          <w:color w:val="auto"/>
        </w:rPr>
      </w:pPr>
      <w:r>
        <w:rPr>
          <w:rFonts w:ascii="Arial" w:cs="Arial" w:eastAsia="Arial" w:hAnsi="Arial"/>
          <w:sz w:val="22"/>
          <w:szCs w:val="22"/>
          <w:color w:val="auto"/>
        </w:rPr>
        <w:t>5301 North Ironwood Road</w:t>
      </w:r>
    </w:p>
    <w:p>
      <w:pPr>
        <w:jc w:val="center"/>
        <w:spacing w:after="0"/>
        <w:rPr>
          <w:sz w:val="20"/>
          <w:szCs w:val="20"/>
          <w:color w:val="auto"/>
        </w:rPr>
      </w:pPr>
      <w:r>
        <w:rPr>
          <w:rFonts w:ascii="Arial" w:cs="Arial" w:eastAsia="Arial" w:hAnsi="Arial"/>
          <w:sz w:val="22"/>
          <w:szCs w:val="22"/>
          <w:color w:val="auto"/>
        </w:rPr>
        <w:t>Milwaukee, Wisconsin 53217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12,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Barbara Beck</w:t>
      </w:r>
    </w:p>
    <w:p>
      <w:pPr>
        <w:spacing w:after="0" w:line="238" w:lineRule="auto"/>
        <w:rPr>
          <w:sz w:val="20"/>
          <w:szCs w:val="20"/>
          <w:color w:val="auto"/>
        </w:rPr>
      </w:pPr>
      <w:r>
        <w:rPr>
          <w:rFonts w:ascii="Arial" w:cs="Arial" w:eastAsia="Arial" w:hAnsi="Arial"/>
          <w:sz w:val="22"/>
          <w:szCs w:val="22"/>
          <w:color w:val="auto"/>
        </w:rPr>
        <w:t>President – Europe, Middle East and Africa</w:t>
      </w:r>
    </w:p>
    <w:p>
      <w:pPr>
        <w:spacing w:after="0" w:line="230" w:lineRule="auto"/>
        <w:rPr>
          <w:sz w:val="20"/>
          <w:szCs w:val="20"/>
          <w:color w:val="auto"/>
        </w:rPr>
      </w:pPr>
      <w:r>
        <w:rPr>
          <w:rFonts w:ascii="Arial" w:cs="Arial" w:eastAsia="Arial" w:hAnsi="Arial"/>
          <w:sz w:val="22"/>
          <w:szCs w:val="22"/>
          <w:color w:val="auto"/>
        </w:rPr>
        <w:t>Manpower Plc</w:t>
      </w:r>
    </w:p>
    <w:p>
      <w:pPr>
        <w:spacing w:after="0" w:line="231" w:lineRule="auto"/>
        <w:rPr>
          <w:sz w:val="20"/>
          <w:szCs w:val="20"/>
          <w:color w:val="auto"/>
        </w:rPr>
      </w:pPr>
      <w:r>
        <w:rPr>
          <w:rFonts w:ascii="Arial" w:cs="Arial" w:eastAsia="Arial" w:hAnsi="Arial"/>
          <w:sz w:val="22"/>
          <w:szCs w:val="22"/>
          <w:color w:val="auto"/>
        </w:rPr>
        <w:t>Capital Court</w:t>
      </w:r>
    </w:p>
    <w:p>
      <w:pPr>
        <w:spacing w:after="0" w:line="231" w:lineRule="auto"/>
        <w:rPr>
          <w:sz w:val="20"/>
          <w:szCs w:val="20"/>
          <w:color w:val="auto"/>
        </w:rPr>
      </w:pPr>
      <w:r>
        <w:rPr>
          <w:rFonts w:ascii="Arial" w:cs="Arial" w:eastAsia="Arial" w:hAnsi="Arial"/>
          <w:sz w:val="22"/>
          <w:szCs w:val="22"/>
          <w:color w:val="auto"/>
        </w:rPr>
        <w:t>Windsor Street</w:t>
      </w:r>
    </w:p>
    <w:p>
      <w:pPr>
        <w:spacing w:after="0" w:line="230" w:lineRule="auto"/>
        <w:rPr>
          <w:sz w:val="20"/>
          <w:szCs w:val="20"/>
          <w:color w:val="auto"/>
        </w:rPr>
      </w:pPr>
      <w:r>
        <w:rPr>
          <w:rFonts w:ascii="Arial" w:cs="Arial" w:eastAsia="Arial" w:hAnsi="Arial"/>
          <w:sz w:val="22"/>
          <w:szCs w:val="22"/>
          <w:color w:val="auto"/>
        </w:rPr>
        <w:t>Uxbridge UB8 1AB</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Barbara:</w:t>
      </w:r>
    </w:p>
    <w:p>
      <w:pPr>
        <w:spacing w:after="0" w:line="233"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9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33" w:lineRule="exact"/>
        <w:rPr>
          <w:rFonts w:ascii="Arial" w:cs="Arial" w:eastAsia="Arial" w:hAnsi="Arial"/>
          <w:sz w:val="22"/>
          <w:szCs w:val="22"/>
          <w:color w:val="auto"/>
        </w:rPr>
      </w:pPr>
    </w:p>
    <w:p>
      <w:pPr>
        <w:ind w:left="1300" w:right="500" w:hanging="644"/>
        <w:spacing w:after="0" w:line="251"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186" w:lineRule="exact"/>
        <w:rPr>
          <w:rFonts w:ascii="Arial" w:cs="Arial" w:eastAsia="Arial" w:hAnsi="Arial"/>
          <w:sz w:val="22"/>
          <w:szCs w:val="22"/>
          <w:color w:val="auto"/>
        </w:rPr>
      </w:pPr>
    </w:p>
    <w:p>
      <w:pPr>
        <w:jc w:val="both"/>
        <w:ind w:left="1300" w:right="20" w:hanging="644"/>
        <w:spacing w:after="0" w:line="273"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w:t>
      </w:r>
    </w:p>
    <w:p>
      <w:pPr>
        <w:spacing w:after="0" w:line="1" w:lineRule="exact"/>
        <w:rPr>
          <w:rFonts w:ascii="Arial" w:cs="Arial" w:eastAsia="Arial" w:hAnsi="Arial"/>
          <w:sz w:val="19"/>
          <w:szCs w:val="19"/>
          <w:color w:val="auto"/>
        </w:rPr>
      </w:pPr>
    </w:p>
    <w:p>
      <w:pPr>
        <w:ind w:left="1300" w:right="120" w:firstLine="5"/>
        <w:spacing w:after="0" w:line="273" w:lineRule="auto"/>
        <w:tabs>
          <w:tab w:leader="none" w:pos="1618" w:val="left"/>
        </w:tabs>
        <w:numPr>
          <w:ilvl w:val="2"/>
          <w:numId w:val="3"/>
        </w:numPr>
        <w:rPr>
          <w:rFonts w:ascii="Arial" w:cs="Arial" w:eastAsia="Arial" w:hAnsi="Arial"/>
          <w:sz w:val="19"/>
          <w:szCs w:val="19"/>
          <w:color w:val="auto"/>
        </w:rPr>
      </w:pPr>
      <w:r>
        <w:rPr>
          <w:rFonts w:ascii="Arial" w:cs="Arial" w:eastAsia="Arial" w:hAnsi="Arial"/>
          <w:sz w:val="19"/>
          <w:szCs w:val="19"/>
          <w:color w:val="auto"/>
        </w:rPr>
        <w:t>insubordination, (iii) your commission of any material act of dishonesty or disloyalty involving the Manpower Group, (iv) your commission of an act of fraud, embezzlement or theft or your breach of trust or dereliction of duty in connection with your duties or in the course of your employment with the Manpower Group, (v) your chronic absence from work other than by reason of a serious health condition, (vi) your commission of a crime which substantially relates to the circumstances of your position with the Manpower Group or which has a material advers e effect on the Manpower Group, or (vii)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68" w:lineRule="exact"/>
        <w:rPr>
          <w:rFonts w:ascii="Arial" w:cs="Arial" w:eastAsia="Arial" w:hAnsi="Arial"/>
          <w:sz w:val="19"/>
          <w:szCs w:val="19"/>
          <w:color w:val="auto"/>
        </w:rPr>
      </w:pPr>
    </w:p>
    <w:p>
      <w:pPr>
        <w:ind w:left="1300" w:hanging="644"/>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2"/>
          <w:numId w:val="4"/>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w:t>
      </w:r>
    </w:p>
    <w:p>
      <w:pPr>
        <w:spacing w:after="0" w:line="42" w:lineRule="exact"/>
        <w:rPr>
          <w:rFonts w:ascii="Arial" w:cs="Arial" w:eastAsia="Arial" w:hAnsi="Arial"/>
          <w:sz w:val="19"/>
          <w:szCs w:val="19"/>
          <w:color w:val="auto"/>
        </w:rPr>
      </w:pPr>
    </w:p>
    <w:p>
      <w:pPr>
        <w:ind w:left="1960"/>
        <w:spacing w:after="0" w:line="270"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960" w:right="20" w:hanging="655"/>
        <w:spacing w:after="0" w:line="279" w:lineRule="auto"/>
        <w:tabs>
          <w:tab w:leader="none" w:pos="1960" w:val="left"/>
        </w:tabs>
        <w:numPr>
          <w:ilvl w:val="2"/>
          <w:numId w:val="4"/>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w:t>
      </w:r>
    </w:p>
    <w:p>
      <w:pPr>
        <w:sectPr>
          <w:pgSz w:w="11900" w:h="16838" w:orient="portrait"/>
          <w:cols w:equalWidth="0" w:num="1">
            <w:col w:w="11420"/>
          </w:cols>
          <w:pgMar w:left="240" w:top="604" w:right="239" w:bottom="0" w:gutter="0" w:footer="0" w:header="0"/>
        </w:sectPr>
      </w:pPr>
    </w:p>
    <w:bookmarkStart w:id="6" w:name="page7"/>
    <w:bookmarkEnd w:id="6"/>
    <w:p>
      <w:pPr>
        <w:ind w:left="1960" w:right="240"/>
        <w:spacing w:after="0" w:line="251" w:lineRule="auto"/>
        <w:rPr>
          <w:sz w:val="20"/>
          <w:szCs w:val="20"/>
          <w:color w:val="auto"/>
        </w:rPr>
      </w:pPr>
      <w:r>
        <w:rPr>
          <w:rFonts w:ascii="Arial" w:cs="Arial" w:eastAsia="Arial" w:hAnsi="Arial"/>
          <w:sz w:val="22"/>
          <w:szCs w:val="22"/>
          <w:color w:val="auto"/>
        </w:rPr>
        <w:t>immediately prior to such merger or consolidation, of the Corporation’s then outstanding common stock or then outstanding voting securities, as the case may be; or</w:t>
      </w:r>
    </w:p>
    <w:p>
      <w:pPr>
        <w:spacing w:after="0" w:line="187" w:lineRule="exact"/>
        <w:rPr>
          <w:sz w:val="20"/>
          <w:szCs w:val="20"/>
          <w:color w:val="auto"/>
        </w:rPr>
      </w:pPr>
    </w:p>
    <w:p>
      <w:pPr>
        <w:ind w:left="1960" w:right="160" w:hanging="655"/>
        <w:spacing w:after="0" w:line="251" w:lineRule="auto"/>
        <w:tabs>
          <w:tab w:leader="none" w:pos="19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00" w:lineRule="exact"/>
        <w:rPr>
          <w:rFonts w:ascii="Arial" w:cs="Arial" w:eastAsia="Arial" w:hAnsi="Arial"/>
          <w:sz w:val="22"/>
          <w:szCs w:val="22"/>
          <w:color w:val="auto"/>
        </w:rPr>
      </w:pPr>
    </w:p>
    <w:p>
      <w:pPr>
        <w:ind w:left="1960" w:hanging="655"/>
        <w:spacing w:after="0" w:line="275" w:lineRule="auto"/>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71" w:lineRule="exact"/>
        <w:rPr>
          <w:rFonts w:ascii="Arial" w:cs="Arial" w:eastAsia="Arial" w:hAnsi="Arial"/>
          <w:sz w:val="19"/>
          <w:szCs w:val="19"/>
          <w:color w:val="auto"/>
        </w:rPr>
      </w:pPr>
    </w:p>
    <w:p>
      <w:pPr>
        <w:ind w:left="1960" w:right="40" w:hanging="655"/>
        <w:spacing w:after="0" w:line="287" w:lineRule="auto"/>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72" w:lineRule="exact"/>
        <w:rPr>
          <w:sz w:val="20"/>
          <w:szCs w:val="20"/>
          <w:color w:val="auto"/>
        </w:rPr>
      </w:pPr>
    </w:p>
    <w:p>
      <w:pPr>
        <w:ind w:left="1300" w:right="60" w:hanging="644"/>
        <w:spacing w:after="0" w:line="251"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0" w:lineRule="exact"/>
        <w:rPr>
          <w:rFonts w:ascii="Arial" w:cs="Arial" w:eastAsia="Arial" w:hAnsi="Arial"/>
          <w:sz w:val="22"/>
          <w:szCs w:val="22"/>
          <w:color w:val="auto"/>
        </w:rPr>
      </w:pPr>
    </w:p>
    <w:p>
      <w:pPr>
        <w:ind w:left="1960" w:right="120" w:hanging="655"/>
        <w:spacing w:after="0" w:line="287" w:lineRule="auto"/>
        <w:tabs>
          <w:tab w:leader="none" w:pos="1960" w:val="left"/>
        </w:tabs>
        <w:numPr>
          <w:ilvl w:val="1"/>
          <w:numId w:val="6"/>
        </w:numPr>
        <w:rPr>
          <w:rFonts w:ascii="Arial" w:cs="Arial" w:eastAsia="Arial" w:hAnsi="Arial"/>
          <w:sz w:val="19"/>
          <w:szCs w:val="19"/>
          <w:color w:val="auto"/>
        </w:rPr>
      </w:pPr>
      <w:r>
        <w:rPr>
          <w:rFonts w:ascii="Arial" w:cs="Arial" w:eastAsia="Arial" w:hAnsi="Arial"/>
          <w:sz w:val="19"/>
          <w:szCs w:val="19"/>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56" w:lineRule="exact"/>
        <w:rPr>
          <w:rFonts w:ascii="Arial" w:cs="Arial" w:eastAsia="Arial" w:hAnsi="Arial"/>
          <w:sz w:val="19"/>
          <w:szCs w:val="19"/>
          <w:color w:val="auto"/>
        </w:rPr>
      </w:pPr>
    </w:p>
    <w:p>
      <w:pPr>
        <w:ind w:left="1960" w:right="80" w:hanging="655"/>
        <w:spacing w:after="0" w:line="297" w:lineRule="auto"/>
        <w:tabs>
          <w:tab w:leader="none" w:pos="196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any material breach of this agreement by the Corporation or of any material obligation of any member of the Manpower Group for the payment or provision of compensation or other benefits to you which remains uncured ten business days after you give written notice to the Corporation which specifies the breach;</w:t>
      </w:r>
    </w:p>
    <w:p>
      <w:pPr>
        <w:spacing w:after="0" w:line="147" w:lineRule="exact"/>
        <w:rPr>
          <w:rFonts w:ascii="Arial" w:cs="Arial" w:eastAsia="Arial" w:hAnsi="Arial"/>
          <w:sz w:val="19"/>
          <w:szCs w:val="19"/>
          <w:color w:val="auto"/>
        </w:rPr>
      </w:pPr>
    </w:p>
    <w:p>
      <w:pPr>
        <w:ind w:left="1960" w:right="380" w:hanging="655"/>
        <w:spacing w:after="0"/>
        <w:tabs>
          <w:tab w:leader="none" w:pos="1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any reduction in your base salary as in effect from time to time or a failure by the Manpower Group to provide an arrangement for you for any fiscal year of the Manpower Group giving you the opportunity to earn an incentive bonus for such year; or</w:t>
      </w:r>
    </w:p>
    <w:p>
      <w:pPr>
        <w:spacing w:after="0" w:line="213" w:lineRule="exact"/>
        <w:rPr>
          <w:rFonts w:ascii="Arial" w:cs="Arial" w:eastAsia="Arial" w:hAnsi="Arial"/>
          <w:sz w:val="22"/>
          <w:szCs w:val="22"/>
          <w:color w:val="auto"/>
        </w:rPr>
      </w:pPr>
    </w:p>
    <w:p>
      <w:pPr>
        <w:ind w:left="1960" w:right="40" w:hanging="655"/>
        <w:spacing w:after="0" w:line="282" w:lineRule="auto"/>
        <w:tabs>
          <w:tab w:leader="none" w:pos="196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Notwithstanding Subsections 1(d)(i)-(iii),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total cash compensation opportunity attributable to your base salary and annual bonus (as reflected by a dollar amount) at target performance for any year ending after the date of reassignment is not less than such total cash compensation opportunity in effect prior to such reassignment for the year in which such reassignment occurs. If the foregoing sentence does not apply, any such reassignment does not constitute Good Reason unless your employment with the Manpower Group is terminate d by you within ninety days after any notice to you of such reassignment. Your continued employment or failure to give Notice of Termination will not constitute consent to, or a waiver of rights with respect to, any circumstance constituting Good Reason hereunder except as otherwise provided.</w:t>
      </w:r>
    </w:p>
    <w:p>
      <w:pPr>
        <w:spacing w:after="0" w:line="175" w:lineRule="exact"/>
        <w:rPr>
          <w:sz w:val="20"/>
          <w:szCs w:val="20"/>
          <w:color w:val="auto"/>
        </w:rPr>
      </w:pPr>
    </w:p>
    <w:p>
      <w:pPr>
        <w:ind w:left="1300" w:right="20" w:hanging="644"/>
        <w:spacing w:after="0" w:line="248" w:lineRule="auto"/>
        <w:tabs>
          <w:tab w:leader="none" w:pos="1300"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0" w:lineRule="exact"/>
        <w:rPr>
          <w:rFonts w:ascii="Arial" w:cs="Arial" w:eastAsia="Arial" w:hAnsi="Arial"/>
          <w:sz w:val="21"/>
          <w:szCs w:val="21"/>
          <w:color w:val="auto"/>
        </w:rPr>
      </w:pPr>
    </w:p>
    <w:p>
      <w:pPr>
        <w:jc w:val="both"/>
        <w:ind w:left="1300" w:right="640" w:hanging="644"/>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ectPr>
          <w:pgSz w:w="11900" w:h="16838" w:orient="portrait"/>
          <w:cols w:equalWidth="0" w:num="1">
            <w:col w:w="11420"/>
          </w:cols>
          <w:pgMar w:left="240" w:top="118" w:right="239" w:bottom="0" w:gutter="0" w:footer="0" w:header="0"/>
        </w:sectPr>
      </w:pPr>
    </w:p>
    <w:bookmarkStart w:id="7" w:name="page8"/>
    <w:bookmarkEnd w:id="7"/>
    <w:p>
      <w:pPr>
        <w:ind w:left="1292" w:hanging="644"/>
        <w:spacing w:after="0"/>
        <w:tabs>
          <w:tab w:leader="none" w:pos="1292"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67" w:lineRule="exact"/>
        <w:rPr>
          <w:rFonts w:ascii="Arial" w:cs="Arial" w:eastAsia="Arial" w:hAnsi="Arial"/>
          <w:sz w:val="19"/>
          <w:szCs w:val="19"/>
          <w:color w:val="auto"/>
        </w:rPr>
      </w:pPr>
    </w:p>
    <w:p>
      <w:pPr>
        <w:ind w:left="1952" w:right="40" w:hanging="655"/>
        <w:spacing w:after="0" w:line="287" w:lineRule="auto"/>
        <w:tabs>
          <w:tab w:leader="none" w:pos="1952" w:val="left"/>
        </w:tabs>
        <w:numPr>
          <w:ilvl w:val="2"/>
          <w:numId w:val="8"/>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56" w:lineRule="exact"/>
        <w:rPr>
          <w:rFonts w:ascii="Arial" w:cs="Arial" w:eastAsia="Arial" w:hAnsi="Arial"/>
          <w:sz w:val="19"/>
          <w:szCs w:val="19"/>
          <w:color w:val="auto"/>
        </w:rPr>
      </w:pPr>
    </w:p>
    <w:p>
      <w:pPr>
        <w:ind w:left="1952" w:right="140" w:hanging="655"/>
        <w:spacing w:after="0" w:line="249" w:lineRule="auto"/>
        <w:tabs>
          <w:tab w:leader="none" w:pos="1952" w:val="left"/>
        </w:tabs>
        <w:numPr>
          <w:ilvl w:val="2"/>
          <w:numId w:val="8"/>
        </w:numPr>
        <w:rPr>
          <w:rFonts w:ascii="Arial" w:cs="Arial" w:eastAsia="Arial" w:hAnsi="Arial"/>
          <w:sz w:val="21"/>
          <w:szCs w:val="21"/>
          <w:color w:val="auto"/>
        </w:rPr>
      </w:pPr>
      <w:r>
        <w:rPr>
          <w:rFonts w:ascii="Arial" w:cs="Arial" w:eastAsia="Arial" w:hAnsi="Arial"/>
          <w:sz w:val="21"/>
          <w:szCs w:val="21"/>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92" w:lineRule="exact"/>
        <w:rPr>
          <w:rFonts w:ascii="Arial" w:cs="Arial" w:eastAsia="Arial" w:hAnsi="Arial"/>
          <w:sz w:val="21"/>
          <w:szCs w:val="21"/>
          <w:color w:val="auto"/>
        </w:rPr>
      </w:pPr>
    </w:p>
    <w:p>
      <w:pPr>
        <w:jc w:val="both"/>
        <w:ind w:left="1952" w:right="80" w:hanging="655"/>
        <w:spacing w:after="0"/>
        <w:tabs>
          <w:tab w:leader="none" w:pos="1952" w:val="left"/>
        </w:tabs>
        <w:numPr>
          <w:ilvl w:val="2"/>
          <w:numId w:val="8"/>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13" w:lineRule="exact"/>
        <w:rPr>
          <w:rFonts w:ascii="Arial" w:cs="Arial" w:eastAsia="Arial" w:hAnsi="Arial"/>
          <w:sz w:val="22"/>
          <w:szCs w:val="22"/>
          <w:color w:val="auto"/>
        </w:rPr>
      </w:pPr>
    </w:p>
    <w:p>
      <w:pPr>
        <w:jc w:val="both"/>
        <w:ind w:left="1292" w:right="380" w:hanging="644"/>
        <w:spacing w:after="0" w:line="276" w:lineRule="auto"/>
        <w:tabs>
          <w:tab w:leader="none" w:pos="1292"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will be a period beginning on the date of this letter indicated above and ending on the first to occur of the following: (a) the date which is the two-year anniversary of the occurrence of a Change of Control;</w:t>
      </w:r>
    </w:p>
    <w:p>
      <w:pPr>
        <w:spacing w:after="0" w:line="1" w:lineRule="exact"/>
        <w:rPr>
          <w:rFonts w:ascii="Arial" w:cs="Arial" w:eastAsia="Arial" w:hAnsi="Arial"/>
          <w:sz w:val="19"/>
          <w:szCs w:val="19"/>
          <w:color w:val="auto"/>
        </w:rPr>
      </w:pPr>
    </w:p>
    <w:p>
      <w:pPr>
        <w:ind w:left="1292" w:right="420"/>
        <w:spacing w:after="0" w:line="234" w:lineRule="auto"/>
        <w:rPr>
          <w:rFonts w:ascii="Arial" w:cs="Arial" w:eastAsia="Arial" w:hAnsi="Arial"/>
          <w:sz w:val="19"/>
          <w:szCs w:val="19"/>
          <w:color w:val="auto"/>
        </w:rPr>
      </w:pPr>
      <w:r>
        <w:rPr>
          <w:rFonts w:ascii="Arial" w:cs="Arial" w:eastAsia="Arial" w:hAnsi="Arial"/>
          <w:sz w:val="22"/>
          <w:szCs w:val="22"/>
          <w:color w:val="auto"/>
        </w:rPr>
        <w:t>(b) the date which is the three-year anniversary of the date of this letter indicated above if no Change of Control occurs between the date of this letter indicated above and such three-year anniversary; or (c) the Date of Termination.</w:t>
      </w:r>
    </w:p>
    <w:p>
      <w:pPr>
        <w:spacing w:after="0" w:line="200" w:lineRule="exact"/>
        <w:rPr>
          <w:rFonts w:ascii="Arial" w:cs="Arial" w:eastAsia="Arial" w:hAnsi="Arial"/>
          <w:sz w:val="19"/>
          <w:szCs w:val="19"/>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140" w:hanging="644"/>
        <w:spacing w:after="0" w:line="273"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Termination by the Manpower Group for Cause or by You Other Than for Good Reason</w:t>
      </w:r>
      <w:r>
        <w:rPr>
          <w:rFonts w:ascii="Arial" w:cs="Arial" w:eastAsia="Arial" w:hAnsi="Arial"/>
          <w:sz w:val="19"/>
          <w:szCs w:val="19"/>
          <w:color w:val="auto"/>
        </w:rPr>
        <w:t>. If your employment with the Manpower Group is terminated by the Manpower Group for Cause or by you other than for Good Reason, the Corporation will pay or provide you with (i) your full base salary as then in effect through the Date of Termination,</w:t>
      </w:r>
    </w:p>
    <w:p>
      <w:pPr>
        <w:spacing w:after="0" w:line="1" w:lineRule="exact"/>
        <w:rPr>
          <w:rFonts w:ascii="Arial" w:cs="Arial" w:eastAsia="Arial" w:hAnsi="Arial"/>
          <w:sz w:val="19"/>
          <w:szCs w:val="19"/>
          <w:color w:val="auto"/>
        </w:rPr>
      </w:pPr>
    </w:p>
    <w:p>
      <w:pPr>
        <w:ind w:left="1292" w:firstLine="5"/>
        <w:spacing w:after="0" w:line="233" w:lineRule="auto"/>
        <w:tabs>
          <w:tab w:leader="none" w:pos="1610" w:val="left"/>
        </w:tabs>
        <w:numPr>
          <w:ilvl w:val="2"/>
          <w:numId w:val="9"/>
        </w:numPr>
        <w:rPr>
          <w:rFonts w:ascii="Arial" w:cs="Arial" w:eastAsia="Arial" w:hAnsi="Arial"/>
          <w:sz w:val="22"/>
          <w:szCs w:val="22"/>
          <w:color w:val="auto"/>
        </w:rPr>
      </w:pPr>
      <w:r>
        <w:rPr>
          <w:rFonts w:ascii="Arial" w:cs="Arial" w:eastAsia="Arial" w:hAnsi="Arial"/>
          <w:sz w:val="22"/>
          <w:szCs w:val="22"/>
          <w:color w:val="auto"/>
        </w:rPr>
        <w:t>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15" w:lineRule="exact"/>
        <w:rPr>
          <w:rFonts w:ascii="Arial" w:cs="Arial" w:eastAsia="Arial" w:hAnsi="Arial"/>
          <w:sz w:val="22"/>
          <w:szCs w:val="22"/>
          <w:color w:val="auto"/>
        </w:rPr>
      </w:pPr>
    </w:p>
    <w:p>
      <w:pPr>
        <w:ind w:left="1292" w:hanging="644"/>
        <w:spacing w:after="0" w:line="270"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in amount to the bonus you would have received for the full fiscal year had your employment not terminated, determined by extrapolating to the full fiscal year performance, through the Date of Termination, on any non-discretionary financial goals and by basing any discretionary component on your progress, as determined at the sole discretion of the Chief Executive Officer of the Corporation, towards attainment of the relev ant performance goals for such component during the portion of the year you are employed,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80" w:lineRule="exact"/>
        <w:rPr>
          <w:rFonts w:ascii="Arial" w:cs="Arial" w:eastAsia="Arial" w:hAnsi="Arial"/>
          <w:sz w:val="19"/>
          <w:szCs w:val="19"/>
          <w:color w:val="auto"/>
        </w:rPr>
      </w:pPr>
    </w:p>
    <w:p>
      <w:pPr>
        <w:ind w:left="1292" w:hanging="644"/>
        <w:spacing w:after="0"/>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52" w:right="40" w:hanging="655"/>
        <w:spacing w:after="0"/>
        <w:tabs>
          <w:tab w:leader="none" w:pos="1952" w:val="left"/>
        </w:tabs>
        <w:numPr>
          <w:ilvl w:val="2"/>
          <w:numId w:val="10"/>
        </w:numPr>
        <w:rPr>
          <w:rFonts w:ascii="Arial" w:cs="Arial" w:eastAsia="Arial" w:hAnsi="Arial"/>
          <w:sz w:val="22"/>
          <w:szCs w:val="22"/>
          <w:color w:val="auto"/>
        </w:rPr>
      </w:pPr>
      <w:r>
        <w:rPr>
          <w:rFonts w:ascii="Arial" w:cs="Arial" w:eastAsia="Arial" w:hAnsi="Arial"/>
          <w:sz w:val="22"/>
          <w:szCs w:val="22"/>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213" w:lineRule="exact"/>
        <w:rPr>
          <w:rFonts w:ascii="Arial" w:cs="Arial" w:eastAsia="Arial" w:hAnsi="Arial"/>
          <w:sz w:val="22"/>
          <w:szCs w:val="22"/>
          <w:color w:val="auto"/>
        </w:rPr>
      </w:pPr>
    </w:p>
    <w:p>
      <w:pPr>
        <w:ind w:left="2592" w:right="460" w:hanging="647"/>
        <w:spacing w:after="0" w:line="251" w:lineRule="auto"/>
        <w:tabs>
          <w:tab w:leader="none" w:pos="2592" w:val="left"/>
        </w:tabs>
        <w:numPr>
          <w:ilvl w:val="3"/>
          <w:numId w:val="10"/>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59" w:lineRule="exact"/>
        <w:rPr>
          <w:rFonts w:ascii="Arial" w:cs="Arial" w:eastAsia="Arial" w:hAnsi="Arial"/>
          <w:sz w:val="22"/>
          <w:szCs w:val="22"/>
          <w:color w:val="auto"/>
        </w:rPr>
      </w:pPr>
    </w:p>
    <w:p>
      <w:pPr>
        <w:ind w:left="2592" w:right="280" w:hanging="647"/>
        <w:spacing w:after="0" w:line="251" w:lineRule="auto"/>
        <w:tabs>
          <w:tab w:leader="none" w:pos="2592" w:val="left"/>
        </w:tabs>
        <w:numPr>
          <w:ilvl w:val="3"/>
          <w:numId w:val="10"/>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59" w:lineRule="exact"/>
        <w:rPr>
          <w:rFonts w:ascii="Arial" w:cs="Arial" w:eastAsia="Arial" w:hAnsi="Arial"/>
          <w:sz w:val="22"/>
          <w:szCs w:val="22"/>
          <w:color w:val="auto"/>
        </w:rPr>
      </w:pPr>
    </w:p>
    <w:p>
      <w:pPr>
        <w:ind w:left="2592" w:right="400" w:hanging="647"/>
        <w:spacing w:after="0" w:line="297" w:lineRule="auto"/>
        <w:tabs>
          <w:tab w:leader="none" w:pos="2592" w:val="left"/>
        </w:tabs>
        <w:numPr>
          <w:ilvl w:val="3"/>
          <w:numId w:val="10"/>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greater of (1) your largest annual bonus for the three fiscal years of the Manpower Group immediately preceding the Date of Termination or (2) your target annual</w:t>
      </w:r>
    </w:p>
    <w:p>
      <w:pPr>
        <w:sectPr>
          <w:pgSz w:w="11900" w:h="16838" w:orient="portrait"/>
          <w:cols w:equalWidth="0" w:num="1">
            <w:col w:w="11392"/>
          </w:cols>
          <w:pgMar w:left="248" w:top="348" w:right="259" w:bottom="0" w:gutter="0" w:footer="0" w:header="0"/>
        </w:sectPr>
      </w:pPr>
    </w:p>
    <w:bookmarkStart w:id="8" w:name="page9"/>
    <w:bookmarkEnd w:id="8"/>
    <w:p>
      <w:pPr>
        <w:spacing w:after="0" w:line="61" w:lineRule="exact"/>
        <w:rPr>
          <w:sz w:val="20"/>
          <w:szCs w:val="20"/>
          <w:color w:val="auto"/>
        </w:rPr>
      </w:pPr>
    </w:p>
    <w:p>
      <w:pPr>
        <w:jc w:val="both"/>
        <w:ind w:left="1400" w:right="480"/>
        <w:spacing w:after="0" w:line="241" w:lineRule="auto"/>
        <w:rPr>
          <w:sz w:val="20"/>
          <w:szCs w:val="20"/>
          <w:color w:val="auto"/>
        </w:rPr>
      </w:pPr>
      <w:r>
        <w:rPr>
          <w:rFonts w:ascii="Arial" w:cs="Arial" w:eastAsia="Arial" w:hAnsi="Arial"/>
          <w:sz w:val="22"/>
          <w:szCs w:val="22"/>
          <w:color w:val="auto"/>
        </w:rPr>
        <w:t>bonus for the fiscal year in which the Date of Termination occurs; provided, however, that such bonus will be prorated for the actual number of days you were employed during the fiscal year during which the Date of Termination occurs;</w:t>
      </w:r>
    </w:p>
    <w:p>
      <w:pPr>
        <w:spacing w:after="0" w:line="170" w:lineRule="exact"/>
        <w:rPr>
          <w:sz w:val="20"/>
          <w:szCs w:val="20"/>
          <w:color w:val="auto"/>
        </w:rPr>
      </w:pPr>
    </w:p>
    <w:p>
      <w:pPr>
        <w:ind w:left="1400" w:right="120" w:hanging="647"/>
        <w:spacing w:after="0" w:line="236" w:lineRule="auto"/>
        <w:tabs>
          <w:tab w:leader="none" w:pos="14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lump-sum payment equal to two times the sum of (1) your annual base salary at the highest rate in effect during the Term and (2) the greater of (a) your largest annual bonus for the three fiscal years of the Manpower Group immediately preceding the Date of Termination or (b) your target annual bonus for the fiscal year in which the Date of Termination occurs;</w:t>
      </w:r>
    </w:p>
    <w:p>
      <w:pPr>
        <w:spacing w:after="0" w:line="187" w:lineRule="exact"/>
        <w:rPr>
          <w:rFonts w:ascii="Arial" w:cs="Arial" w:eastAsia="Arial" w:hAnsi="Arial"/>
          <w:sz w:val="22"/>
          <w:szCs w:val="22"/>
          <w:color w:val="auto"/>
        </w:rPr>
      </w:pPr>
    </w:p>
    <w:p>
      <w:pPr>
        <w:ind w:left="1400" w:right="120" w:hanging="647"/>
        <w:spacing w:after="0" w:line="273" w:lineRule="auto"/>
        <w:tabs>
          <w:tab w:leader="none" w:pos="14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at the Manpower Group’s expense, with Health Insurance Continuation (defined below) and coverage under the life and disability plans of the Corporation,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the Consolidated Omnibus Budget R econciliation Act of 1986, as amended (“COBRA”), or similar foreign or state laws will commence on the Date of Termination.</w:t>
      </w:r>
    </w:p>
    <w:p>
      <w:pPr>
        <w:spacing w:after="0" w:line="156" w:lineRule="exact"/>
        <w:rPr>
          <w:rFonts w:ascii="Arial" w:cs="Arial" w:eastAsia="Arial" w:hAnsi="Arial"/>
          <w:sz w:val="19"/>
          <w:szCs w:val="19"/>
          <w:color w:val="auto"/>
        </w:rPr>
      </w:pPr>
    </w:p>
    <w:p>
      <w:pPr>
        <w:ind w:left="1400" w:right="100"/>
        <w:spacing w:after="0" w:line="270" w:lineRule="auto"/>
        <w:rPr>
          <w:rFonts w:ascii="Arial" w:cs="Arial" w:eastAsia="Arial" w:hAnsi="Arial"/>
          <w:sz w:val="19"/>
          <w:szCs w:val="19"/>
          <w:color w:val="auto"/>
        </w:rPr>
      </w:pPr>
      <w:r>
        <w:rPr>
          <w:rFonts w:ascii="Arial" w:cs="Arial" w:eastAsia="Arial" w:hAnsi="Arial"/>
          <w:sz w:val="19"/>
          <w:szCs w:val="19"/>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twelve months for 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394" w:lineRule="exact"/>
        <w:rPr>
          <w:rFonts w:ascii="Arial" w:cs="Arial" w:eastAsia="Arial" w:hAnsi="Arial"/>
          <w:sz w:val="19"/>
          <w:szCs w:val="19"/>
          <w:color w:val="auto"/>
        </w:rPr>
      </w:pPr>
    </w:p>
    <w:p>
      <w:pPr>
        <w:ind w:left="1400" w:right="180" w:hanging="647"/>
        <w:spacing w:after="0" w:line="275" w:lineRule="auto"/>
        <w:tabs>
          <w:tab w:leader="none" w:pos="14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144" w:lineRule="exact"/>
        <w:rPr>
          <w:rFonts w:ascii="Arial" w:cs="Arial" w:eastAsia="Arial" w:hAnsi="Arial"/>
          <w:sz w:val="19"/>
          <w:szCs w:val="19"/>
          <w:color w:val="auto"/>
        </w:rPr>
      </w:pPr>
    </w:p>
    <w:p>
      <w:pPr>
        <w:ind w:left="760" w:hanging="655"/>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213" w:lineRule="exact"/>
        <w:rPr>
          <w:rFonts w:ascii="Arial" w:cs="Arial" w:eastAsia="Arial" w:hAnsi="Arial"/>
          <w:sz w:val="22"/>
          <w:szCs w:val="22"/>
          <w:color w:val="auto"/>
        </w:rPr>
      </w:pPr>
    </w:p>
    <w:p>
      <w:pPr>
        <w:ind w:left="1400" w:right="380" w:hanging="647"/>
        <w:spacing w:after="0" w:line="251" w:lineRule="auto"/>
        <w:tabs>
          <w:tab w:leader="none" w:pos="14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59" w:lineRule="exact"/>
        <w:rPr>
          <w:rFonts w:ascii="Arial" w:cs="Arial" w:eastAsia="Arial" w:hAnsi="Arial"/>
          <w:sz w:val="22"/>
          <w:szCs w:val="22"/>
          <w:color w:val="auto"/>
        </w:rPr>
      </w:pPr>
    </w:p>
    <w:p>
      <w:pPr>
        <w:ind w:left="1400" w:right="200" w:hanging="647"/>
        <w:spacing w:after="0" w:line="251" w:lineRule="auto"/>
        <w:tabs>
          <w:tab w:leader="none" w:pos="14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59" w:lineRule="exact"/>
        <w:rPr>
          <w:rFonts w:ascii="Arial" w:cs="Arial" w:eastAsia="Arial" w:hAnsi="Arial"/>
          <w:sz w:val="22"/>
          <w:szCs w:val="22"/>
          <w:color w:val="auto"/>
        </w:rPr>
      </w:pPr>
    </w:p>
    <w:p>
      <w:pPr>
        <w:ind w:left="1400" w:right="360" w:hanging="647"/>
        <w:spacing w:after="0" w:line="277" w:lineRule="auto"/>
        <w:tabs>
          <w:tab w:leader="none" w:pos="14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extrapolating to the full fiscal year performance, through the Date of Termination, on any non-discretionary financial goals and by basing any discretionary component on your progress, as determined at the sole discretion of the Chief Executive Officer of the Corporation, towards attainment of the relevant performance goals for such component during the portion of the year you were employed; provided, however, that such</w:t>
      </w:r>
    </w:p>
    <w:p>
      <w:pPr>
        <w:sectPr>
          <w:pgSz w:w="11900" w:h="16899" w:orient="portrait"/>
          <w:cols w:equalWidth="0" w:num="1">
            <w:col w:w="10120"/>
          </w:cols>
          <w:pgMar w:left="1440" w:top="118" w:right="339" w:bottom="0" w:gutter="0" w:footer="0" w:header="0"/>
        </w:sectPr>
      </w:pPr>
    </w:p>
    <w:bookmarkStart w:id="9" w:name="page10"/>
    <w:bookmarkEnd w:id="9"/>
    <w:p>
      <w:pPr>
        <w:ind w:left="2600" w:right="640"/>
        <w:spacing w:after="0" w:line="251" w:lineRule="auto"/>
        <w:rPr>
          <w:sz w:val="20"/>
          <w:szCs w:val="20"/>
          <w:color w:val="auto"/>
        </w:rPr>
      </w:pPr>
      <w:r>
        <w:rPr>
          <w:rFonts w:ascii="Arial" w:cs="Arial" w:eastAsia="Arial" w:hAnsi="Arial"/>
          <w:sz w:val="22"/>
          <w:szCs w:val="22"/>
          <w:color w:val="auto"/>
        </w:rPr>
        <w:t>bonus will be prorated for the actual number of days you were employed during the fiscal year during which the Date of Termination occurs;</w:t>
      </w:r>
    </w:p>
    <w:p>
      <w:pPr>
        <w:spacing w:after="0" w:line="160" w:lineRule="exact"/>
        <w:rPr>
          <w:sz w:val="20"/>
          <w:szCs w:val="20"/>
          <w:color w:val="auto"/>
        </w:rPr>
      </w:pPr>
    </w:p>
    <w:p>
      <w:pPr>
        <w:ind w:left="2600" w:right="200" w:hanging="647"/>
        <w:spacing w:after="0" w:line="238" w:lineRule="auto"/>
        <w:tabs>
          <w:tab w:leader="none" w:pos="2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 sum payment equal to the amount of your annual base salary at the highest rate in effect during the Term plus an amount equal to your largest annual bonus for the three fiscal years of the Manpower Group immediately preceding the Date of Termination;</w:t>
      </w:r>
    </w:p>
    <w:p>
      <w:pPr>
        <w:spacing w:after="0" w:line="212" w:lineRule="exact"/>
        <w:rPr>
          <w:rFonts w:ascii="Arial" w:cs="Arial" w:eastAsia="Arial" w:hAnsi="Arial"/>
          <w:sz w:val="22"/>
          <w:szCs w:val="22"/>
          <w:color w:val="auto"/>
        </w:rPr>
      </w:pPr>
    </w:p>
    <w:p>
      <w:pPr>
        <w:ind w:left="2600" w:right="220" w:hanging="647"/>
        <w:spacing w:after="0" w:line="275" w:lineRule="auto"/>
        <w:tabs>
          <w:tab w:leader="none" w:pos="26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85" w:lineRule="exact"/>
        <w:rPr>
          <w:rFonts w:ascii="Arial" w:cs="Arial" w:eastAsia="Arial" w:hAnsi="Arial"/>
          <w:sz w:val="19"/>
          <w:szCs w:val="19"/>
          <w:color w:val="auto"/>
        </w:rPr>
      </w:pPr>
    </w:p>
    <w:p>
      <w:pPr>
        <w:ind w:left="2600"/>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Company’s group medical and dental insurance plans toward such COBRA coverage for the first twelve months for 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 e to you or such eligible dependant shall terminate as of the date you or such dependant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 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2600" w:hanging="647"/>
        <w:spacing w:after="0" w:line="275" w:lineRule="auto"/>
        <w:tabs>
          <w:tab w:leader="none" w:pos="26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185" w:lineRule="exact"/>
        <w:rPr>
          <w:sz w:val="20"/>
          <w:szCs w:val="20"/>
          <w:color w:val="auto"/>
        </w:rPr>
      </w:pPr>
    </w:p>
    <w:p>
      <w:pPr>
        <w:ind w:right="400" w:firstLine="648"/>
        <w:spacing w:after="0" w:line="245" w:lineRule="auto"/>
        <w:rPr>
          <w:sz w:val="20"/>
          <w:szCs w:val="20"/>
          <w:color w:val="auto"/>
        </w:rPr>
      </w:pPr>
      <w:r>
        <w:rPr>
          <w:rFonts w:ascii="Arial" w:cs="Arial" w:eastAsia="Arial" w:hAnsi="Arial"/>
          <w:sz w:val="21"/>
          <w:szCs w:val="21"/>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United States Internal Revenue Code (or any similar tax that hereafter may be imposed), the amounts otherwise to be paid to you pursuant to Subsection 2(c)(i)(D) or 2(c)(ii)(D) will be reduced to the maximum amount that will result in no portion of the amo unts to be paid to you pursuant to Subsection 2(c)(i)(D) or 2(c)(ii)(D) being subject to such excise tax.</w:t>
      </w:r>
    </w:p>
    <w:p>
      <w:pPr>
        <w:spacing w:after="0" w:line="172" w:lineRule="exact"/>
        <w:rPr>
          <w:sz w:val="20"/>
          <w:szCs w:val="20"/>
          <w:color w:val="auto"/>
        </w:rPr>
      </w:pPr>
    </w:p>
    <w:p>
      <w:pPr>
        <w:ind w:left="1300" w:right="60" w:hanging="644"/>
        <w:spacing w:after="0" w:line="287" w:lineRule="auto"/>
        <w:tabs>
          <w:tab w:leader="none" w:pos="130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or 2(c) (ii)(C) will be paid on the date that is six months after the Date of Termination. The severance benefit provided for</w:t>
      </w:r>
    </w:p>
    <w:p>
      <w:pPr>
        <w:sectPr>
          <w:pgSz w:w="11900" w:h="16838" w:orient="portrait"/>
          <w:cols w:equalWidth="0" w:num="1">
            <w:col w:w="11420"/>
          </w:cols>
          <w:pgMar w:left="240" w:top="118" w:right="239" w:bottom="0" w:gutter="0" w:footer="0" w:header="0"/>
        </w:sectPr>
      </w:pPr>
    </w:p>
    <w:bookmarkStart w:id="10" w:name="page11"/>
    <w:bookmarkEnd w:id="10"/>
    <w:p>
      <w:pPr>
        <w:ind w:left="1292" w:right="60"/>
        <w:spacing w:after="0" w:line="247" w:lineRule="auto"/>
        <w:rPr>
          <w:sz w:val="20"/>
          <w:szCs w:val="20"/>
          <w:color w:val="auto"/>
        </w:rPr>
      </w:pPr>
      <w:r>
        <w:rPr>
          <w:rFonts w:ascii="Arial" w:cs="Arial" w:eastAsia="Arial" w:hAnsi="Arial"/>
          <w:sz w:val="21"/>
          <w:szCs w:val="21"/>
          <w:color w:val="auto"/>
        </w:rPr>
        <w:t xml:space="preserve">in Subsection 2(c)(i)(D) or 2(c)(ii)(D) will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 rrently the base rate on corporate loans posted by at least 75% of the 30 largest U.S. banks) in effect from time to time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Midwest edition (or, if not so reported, as reported in such other similar source(s) as the</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Corporation shall select).</w:t>
      </w:r>
    </w:p>
    <w:p>
      <w:pPr>
        <w:spacing w:after="0" w:line="192" w:lineRule="exact"/>
        <w:rPr>
          <w:sz w:val="20"/>
          <w:szCs w:val="20"/>
          <w:color w:val="auto"/>
        </w:rPr>
      </w:pPr>
    </w:p>
    <w:p>
      <w:pPr>
        <w:ind w:left="1292" w:hanging="644"/>
        <w:spacing w:after="0" w:line="273" w:lineRule="auto"/>
        <w:tabs>
          <w:tab w:leader="none" w:pos="1292"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2(c)(i)(C)-(F) or 2(c)(ii)(C)-(F),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188" w:lineRule="exact"/>
        <w:rPr>
          <w:rFonts w:ascii="Arial" w:cs="Arial" w:eastAsia="Arial" w:hAnsi="Arial"/>
          <w:sz w:val="19"/>
          <w:szCs w:val="19"/>
          <w:color w:val="auto"/>
        </w:rPr>
      </w:pPr>
    </w:p>
    <w:p>
      <w:pPr>
        <w:ind w:left="1292" w:right="40" w:hanging="644"/>
        <w:spacing w:after="0" w:line="236" w:lineRule="auto"/>
        <w:tabs>
          <w:tab w:leader="none" w:pos="129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01" w:lineRule="exact"/>
        <w:rPr>
          <w:rFonts w:ascii="Arial" w:cs="Arial" w:eastAsia="Arial" w:hAnsi="Arial"/>
          <w:sz w:val="22"/>
          <w:szCs w:val="22"/>
          <w:color w:val="auto"/>
        </w:rPr>
      </w:pPr>
    </w:p>
    <w:p>
      <w:pPr>
        <w:ind w:left="1292" w:right="40" w:hanging="644"/>
        <w:spacing w:after="0" w:line="247" w:lineRule="auto"/>
        <w:tabs>
          <w:tab w:leader="none" w:pos="1292"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Relocation Expenses</w:t>
      </w:r>
      <w:r>
        <w:rPr>
          <w:rFonts w:ascii="Arial" w:cs="Arial" w:eastAsia="Arial" w:hAnsi="Arial"/>
          <w:sz w:val="21"/>
          <w:szCs w:val="21"/>
          <w:color w:val="auto"/>
        </w:rPr>
        <w:t>. If your employment with the Manpower Group is terminated during the Term and, at the time of such termination, you are assigned to and reside in a location outside of the United States of America, the Corporation will reimburse you, pursuant to the Corporation’s then existing relocation expense reimbursement policies, for reasonable expenses actually incurred by you in connection with the relocation of you and your family to the United States of America; provided, however, that the Corporation shall have no obligation to pay such relocation expenses if your employment with the Manpower Group is terminated by the Manpower Group for Cause or by you other than for Good Reason.</w:t>
      </w:r>
    </w:p>
    <w:p>
      <w:pPr>
        <w:spacing w:after="0" w:line="191" w:lineRule="exact"/>
        <w:rPr>
          <w:rFonts w:ascii="Arial" w:cs="Arial" w:eastAsia="Arial" w:hAnsi="Arial"/>
          <w:sz w:val="21"/>
          <w:szCs w:val="21"/>
          <w:color w:val="auto"/>
        </w:rPr>
      </w:pPr>
    </w:p>
    <w:p>
      <w:pPr>
        <w:ind w:left="652" w:hanging="652"/>
        <w:spacing w:after="0"/>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60" w:hanging="644"/>
        <w:spacing w:after="0" w:line="270" w:lineRule="auto"/>
        <w:tabs>
          <w:tab w:leader="none" w:pos="1292" w:val="left"/>
        </w:tabs>
        <w:numPr>
          <w:ilvl w:val="1"/>
          <w:numId w:val="16"/>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 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1292" w:right="240" w:hanging="644"/>
        <w:spacing w:after="0" w:line="287" w:lineRule="auto"/>
        <w:tabs>
          <w:tab w:leader="none" w:pos="1292" w:val="left"/>
        </w:tabs>
        <w:numPr>
          <w:ilvl w:val="1"/>
          <w:numId w:val="16"/>
        </w:numPr>
        <w:rPr>
          <w:rFonts w:ascii="Arial" w:cs="Arial" w:eastAsia="Arial" w:hAnsi="Arial"/>
          <w:sz w:val="19"/>
          <w:szCs w:val="19"/>
          <w:color w:val="auto"/>
        </w:rPr>
      </w:pPr>
      <w:r>
        <w:rPr>
          <w:rFonts w:ascii="Arial" w:cs="Arial" w:eastAsia="Arial" w:hAnsi="Arial"/>
          <w:sz w:val="19"/>
          <w:szCs w:val="19"/>
          <w:color w:val="auto"/>
        </w:rPr>
        <w:t>Upon your termination, for whatever reason,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56" w:lineRule="exact"/>
        <w:rPr>
          <w:rFonts w:ascii="Arial" w:cs="Arial" w:eastAsia="Arial" w:hAnsi="Arial"/>
          <w:sz w:val="19"/>
          <w:szCs w:val="19"/>
          <w:color w:val="auto"/>
        </w:rPr>
      </w:pPr>
    </w:p>
    <w:p>
      <w:pPr>
        <w:ind w:left="652" w:right="60" w:hanging="652"/>
        <w:spacing w:after="0" w:line="234"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214" w:lineRule="exact"/>
        <w:rPr>
          <w:rFonts w:ascii="Arial" w:cs="Arial" w:eastAsia="Arial" w:hAnsi="Arial"/>
          <w:sz w:val="22"/>
          <w:szCs w:val="22"/>
          <w:color w:val="auto"/>
        </w:rPr>
      </w:pPr>
    </w:p>
    <w:p>
      <w:pPr>
        <w:ind w:left="652" w:hanging="652"/>
        <w:spacing w:after="0"/>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Customer Nonsolicitation</w:t>
      </w:r>
      <w:r>
        <w:rPr>
          <w:rFonts w:ascii="Arial" w:cs="Arial" w:eastAsia="Arial" w:hAnsi="Arial"/>
          <w:sz w:val="22"/>
          <w:szCs w:val="22"/>
          <w:color w:val="auto"/>
        </w:rPr>
        <w:t>.</w:t>
      </w:r>
    </w:p>
    <w:p>
      <w:pPr>
        <w:sectPr>
          <w:pgSz w:w="11900" w:h="16838" w:orient="portrait"/>
          <w:cols w:equalWidth="0" w:num="1">
            <w:col w:w="11412"/>
          </w:cols>
          <w:pgMar w:left="248" w:top="118" w:right="239" w:bottom="0" w:gutter="0" w:footer="0" w:header="0"/>
        </w:sectPr>
      </w:pPr>
    </w:p>
    <w:bookmarkStart w:id="11" w:name="page12"/>
    <w:bookmarkEnd w:id="11"/>
    <w:p>
      <w:pPr>
        <w:spacing w:after="0" w:line="13" w:lineRule="exact"/>
        <w:rPr>
          <w:sz w:val="20"/>
          <w:szCs w:val="20"/>
          <w:color w:val="auto"/>
        </w:rPr>
      </w:pPr>
    </w:p>
    <w:p>
      <w:pPr>
        <w:ind w:left="1292" w:right="80" w:hanging="644"/>
        <w:spacing w:after="0" w:line="251" w:lineRule="auto"/>
        <w:tabs>
          <w:tab w:leader="none" w:pos="1292" w:val="left"/>
        </w:tabs>
        <w:numPr>
          <w:ilvl w:val="1"/>
          <w:numId w:val="17"/>
        </w:numPr>
        <w:rPr>
          <w:rFonts w:ascii="Arial" w:cs="Arial" w:eastAsia="Arial" w:hAnsi="Arial"/>
          <w:sz w:val="22"/>
          <w:szCs w:val="22"/>
          <w:color w:val="auto"/>
        </w:rPr>
      </w:pPr>
      <w:r>
        <w:rPr>
          <w:rFonts w:ascii="Arial" w:cs="Arial" w:eastAsia="Arial" w:hAnsi="Arial"/>
          <w:sz w:val="22"/>
          <w:szCs w:val="22"/>
          <w:color w:val="auto"/>
        </w:rPr>
        <w:t>During the term of your employment with the Manpower Group, you will not assist any competitor of any company in the Manpower Group in any capacity anywhere the Manpower Group does business.</w:t>
      </w:r>
    </w:p>
    <w:p>
      <w:pPr>
        <w:spacing w:after="0" w:line="173" w:lineRule="exact"/>
        <w:rPr>
          <w:rFonts w:ascii="Arial" w:cs="Arial" w:eastAsia="Arial" w:hAnsi="Arial"/>
          <w:sz w:val="22"/>
          <w:szCs w:val="22"/>
          <w:color w:val="auto"/>
        </w:rPr>
      </w:pPr>
    </w:p>
    <w:p>
      <w:pPr>
        <w:ind w:left="1292" w:right="40" w:hanging="644"/>
        <w:spacing w:after="0" w:line="234" w:lineRule="auto"/>
        <w:tabs>
          <w:tab w:leader="none" w:pos="1292" w:val="left"/>
        </w:tabs>
        <w:numPr>
          <w:ilvl w:val="1"/>
          <w:numId w:val="17"/>
        </w:numPr>
        <w:rPr>
          <w:rFonts w:ascii="Arial" w:cs="Arial" w:eastAsia="Arial" w:hAnsi="Arial"/>
          <w:sz w:val="22"/>
          <w:szCs w:val="22"/>
          <w:color w:val="auto"/>
        </w:rPr>
      </w:pPr>
      <w:r>
        <w:rPr>
          <w:rFonts w:ascii="Arial" w:cs="Arial" w:eastAsia="Arial" w:hAnsi="Arial"/>
          <w:sz w:val="22"/>
          <w:szCs w:val="22"/>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77" w:lineRule="exact"/>
        <w:rPr>
          <w:rFonts w:ascii="Arial" w:cs="Arial" w:eastAsia="Arial" w:hAnsi="Arial"/>
          <w:sz w:val="22"/>
          <w:szCs w:val="22"/>
          <w:color w:val="auto"/>
        </w:rPr>
      </w:pPr>
    </w:p>
    <w:p>
      <w:pPr>
        <w:ind w:left="652" w:hanging="652"/>
        <w:spacing w:after="0" w:line="272"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391" w:lineRule="exact"/>
        <w:rPr>
          <w:rFonts w:ascii="Arial" w:cs="Arial" w:eastAsia="Arial" w:hAnsi="Arial"/>
          <w:sz w:val="19"/>
          <w:szCs w:val="19"/>
          <w:color w:val="auto"/>
        </w:rPr>
      </w:pPr>
    </w:p>
    <w:p>
      <w:pPr>
        <w:ind w:left="652" w:hanging="652"/>
        <w:spacing w:after="0"/>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92" w:right="60" w:hanging="644"/>
        <w:spacing w:after="0" w:line="275" w:lineRule="auto"/>
        <w:tabs>
          <w:tab w:leader="none" w:pos="1292"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 t with you.</w:t>
      </w:r>
    </w:p>
    <w:p>
      <w:pPr>
        <w:spacing w:after="0" w:line="144" w:lineRule="exact"/>
        <w:rPr>
          <w:rFonts w:ascii="Arial" w:cs="Arial" w:eastAsia="Arial" w:hAnsi="Arial"/>
          <w:sz w:val="19"/>
          <w:szCs w:val="19"/>
          <w:color w:val="auto"/>
        </w:rPr>
      </w:pPr>
    </w:p>
    <w:p>
      <w:pPr>
        <w:ind w:left="1292" w:right="280" w:hanging="644"/>
        <w:spacing w:after="0" w:line="251" w:lineRule="auto"/>
        <w:tabs>
          <w:tab w:leader="none" w:pos="1292"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Equitable Extension</w:t>
      </w:r>
      <w:r>
        <w:rPr>
          <w:rFonts w:ascii="Arial" w:cs="Arial" w:eastAsia="Arial" w:hAnsi="Arial"/>
          <w:sz w:val="22"/>
          <w:szCs w:val="22"/>
          <w:color w:val="auto"/>
        </w:rPr>
        <w:t>. The duration of any restriction in Section 3-6, above, will be extended by any period during which such restriction is violated by you.</w:t>
      </w:r>
    </w:p>
    <w:p>
      <w:pPr>
        <w:spacing w:after="0" w:line="159" w:lineRule="exact"/>
        <w:rPr>
          <w:rFonts w:ascii="Arial" w:cs="Arial" w:eastAsia="Arial" w:hAnsi="Arial"/>
          <w:sz w:val="22"/>
          <w:szCs w:val="22"/>
          <w:color w:val="auto"/>
        </w:rPr>
      </w:pPr>
    </w:p>
    <w:p>
      <w:pPr>
        <w:ind w:left="1292" w:right="300" w:hanging="644"/>
        <w:spacing w:after="0" w:line="258" w:lineRule="auto"/>
        <w:tabs>
          <w:tab w:leader="none" w:pos="1292"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Nonapplication</w:t>
      </w:r>
      <w:r>
        <w:rPr>
          <w:rFonts w:ascii="Arial" w:cs="Arial" w:eastAsia="Arial" w:hAnsi="Arial"/>
          <w:sz w:val="21"/>
          <w:szCs w:val="21"/>
          <w:color w:val="auto"/>
        </w:rPr>
        <w:t>. Notwithstanding the above, Sections 5 and 6, above, will not apply if your employment with the Manpower Group is terminated by you for Good Reason or by the Corporation without Cause either during a Protected Period or within two years after the occurrence of a Change of Control.</w:t>
      </w:r>
    </w:p>
    <w:p>
      <w:pPr>
        <w:spacing w:after="0" w:line="193" w:lineRule="exact"/>
        <w:rPr>
          <w:rFonts w:ascii="Arial" w:cs="Arial" w:eastAsia="Arial" w:hAnsi="Arial"/>
          <w:sz w:val="21"/>
          <w:szCs w:val="21"/>
          <w:color w:val="auto"/>
        </w:rPr>
      </w:pPr>
    </w:p>
    <w:p>
      <w:pPr>
        <w:ind w:left="652" w:right="80" w:hanging="652"/>
        <w:spacing w:after="0" w:line="251"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Vesting of Options</w:t>
      </w:r>
      <w:r>
        <w:rPr>
          <w:rFonts w:ascii="Arial" w:cs="Arial" w:eastAsia="Arial" w:hAnsi="Arial"/>
          <w:sz w:val="22"/>
          <w:szCs w:val="22"/>
          <w:color w:val="auto"/>
        </w:rPr>
        <w:t>. Any unvested options you hold at the time of a Change of Control to purchase stock of the Corporation will vest and become immediately exercisable at such time.</w:t>
      </w:r>
    </w:p>
    <w:p>
      <w:pPr>
        <w:spacing w:after="0" w:line="159" w:lineRule="exact"/>
        <w:rPr>
          <w:rFonts w:ascii="Arial" w:cs="Arial" w:eastAsia="Arial" w:hAnsi="Arial"/>
          <w:sz w:val="22"/>
          <w:szCs w:val="22"/>
          <w:color w:val="auto"/>
        </w:rPr>
      </w:pPr>
    </w:p>
    <w:p>
      <w:pPr>
        <w:ind w:left="652" w:right="100" w:hanging="652"/>
        <w:spacing w:after="0" w:line="236"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Unemployment Compensation</w:t>
      </w:r>
      <w:r>
        <w:rPr>
          <w:rFonts w:ascii="Arial" w:cs="Arial" w:eastAsia="Arial" w:hAnsi="Arial"/>
          <w:sz w:val="22"/>
          <w:szCs w:val="22"/>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74" w:lineRule="exact"/>
        <w:rPr>
          <w:rFonts w:ascii="Arial" w:cs="Arial" w:eastAsia="Arial" w:hAnsi="Arial"/>
          <w:sz w:val="22"/>
          <w:szCs w:val="22"/>
          <w:color w:val="auto"/>
        </w:rPr>
      </w:pPr>
    </w:p>
    <w:p>
      <w:pPr>
        <w:ind w:left="652" w:right="60" w:hanging="652"/>
        <w:spacing w:after="0" w:line="273"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 d will not preclude either party from providing truthful testimony pursuant to subpoena or other legal process or in the course of any proceeding that may be commenced for purposes of enforcing this letter agreement.</w:t>
      </w:r>
    </w:p>
    <w:p>
      <w:pPr>
        <w:spacing w:after="0" w:line="161" w:lineRule="exact"/>
        <w:rPr>
          <w:rFonts w:ascii="Arial" w:cs="Arial" w:eastAsia="Arial" w:hAnsi="Arial"/>
          <w:sz w:val="19"/>
          <w:szCs w:val="19"/>
          <w:color w:val="auto"/>
        </w:rPr>
      </w:pPr>
    </w:p>
    <w:p>
      <w:pPr>
        <w:ind w:left="652" w:right="100" w:hanging="652"/>
        <w:spacing w:after="0" w:line="274" w:lineRule="auto"/>
        <w:tabs>
          <w:tab w:leader="none" w:pos="652"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64" w:lineRule="exact"/>
        <w:rPr>
          <w:rFonts w:ascii="Arial" w:cs="Arial" w:eastAsia="Arial" w:hAnsi="Arial"/>
          <w:sz w:val="21"/>
          <w:szCs w:val="21"/>
          <w:color w:val="auto"/>
        </w:rPr>
      </w:pPr>
    </w:p>
    <w:p>
      <w:pPr>
        <w:ind w:left="652" w:right="20" w:hanging="652"/>
        <w:spacing w:after="0" w:line="328"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will be in writing and will be deemed to have been duly given when delivered in person, sent by telecopy, or two days after mailed by United States registered or certified mail,</w:t>
      </w:r>
    </w:p>
    <w:p>
      <w:pPr>
        <w:sectPr>
          <w:pgSz w:w="11900" w:h="16852" w:orient="portrait"/>
          <w:cols w:equalWidth="0" w:num="1">
            <w:col w:w="11412"/>
          </w:cols>
          <w:pgMar w:left="248" w:top="348" w:right="239" w:bottom="0" w:gutter="0" w:footer="0" w:header="0"/>
        </w:sectPr>
      </w:pPr>
    </w:p>
    <w:bookmarkStart w:id="12" w:name="page13"/>
    <w:bookmarkEnd w:id="12"/>
    <w:p>
      <w:pPr>
        <w:ind w:left="660"/>
        <w:spacing w:after="0"/>
        <w:rPr>
          <w:sz w:val="20"/>
          <w:szCs w:val="20"/>
          <w:color w:val="auto"/>
        </w:rPr>
      </w:pPr>
      <w:r>
        <w:rPr>
          <w:rFonts w:ascii="Arial" w:cs="Arial" w:eastAsia="Arial" w:hAnsi="Arial"/>
          <w:sz w:val="22"/>
          <w:szCs w:val="22"/>
          <w:color w:val="auto"/>
        </w:rPr>
        <w:t>return receipt requested, postage prepaid, and properly addressed to the other party.</w:t>
      </w:r>
    </w:p>
    <w:p>
      <w:pPr>
        <w:spacing w:after="0" w:line="220" w:lineRule="exact"/>
        <w:rPr>
          <w:sz w:val="20"/>
          <w:szCs w:val="20"/>
          <w:color w:val="auto"/>
        </w:rPr>
      </w:pPr>
    </w:p>
    <w:p>
      <w:pPr>
        <w:ind w:left="660" w:right="260" w:hanging="652"/>
        <w:spacing w:after="0" w:line="238"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 Right to Remain Employed</w:t>
      </w:r>
      <w:r>
        <w:rPr>
          <w:rFonts w:ascii="Arial" w:cs="Arial" w:eastAsia="Arial" w:hAnsi="Arial"/>
          <w:sz w:val="22"/>
          <w:szCs w:val="22"/>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212" w:lineRule="exact"/>
        <w:rPr>
          <w:rFonts w:ascii="Arial" w:cs="Arial" w:eastAsia="Arial" w:hAnsi="Arial"/>
          <w:sz w:val="22"/>
          <w:szCs w:val="22"/>
          <w:color w:val="auto"/>
        </w:rPr>
      </w:pPr>
    </w:p>
    <w:p>
      <w:pPr>
        <w:ind w:left="660" w:right="640" w:hanging="652"/>
        <w:spacing w:after="0" w:line="251"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186" w:lineRule="exact"/>
        <w:rPr>
          <w:rFonts w:ascii="Arial" w:cs="Arial" w:eastAsia="Arial" w:hAnsi="Arial"/>
          <w:sz w:val="22"/>
          <w:szCs w:val="22"/>
          <w:color w:val="auto"/>
        </w:rPr>
      </w:pPr>
    </w:p>
    <w:p>
      <w:pPr>
        <w:jc w:val="both"/>
        <w:ind w:left="660" w:right="3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99" w:lineRule="exact"/>
        <w:rPr>
          <w:rFonts w:ascii="Arial" w:cs="Arial" w:eastAsia="Arial" w:hAnsi="Arial"/>
          <w:sz w:val="22"/>
          <w:szCs w:val="22"/>
          <w:color w:val="auto"/>
        </w:rPr>
      </w:pPr>
    </w:p>
    <w:p>
      <w:pPr>
        <w:ind w:left="660" w:right="420" w:hanging="652"/>
        <w:spacing w:after="0" w:line="251"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200" w:lineRule="exact"/>
        <w:rPr>
          <w:rFonts w:ascii="Arial" w:cs="Arial" w:eastAsia="Arial" w:hAnsi="Arial"/>
          <w:sz w:val="22"/>
          <w:szCs w:val="22"/>
          <w:color w:val="auto"/>
        </w:rPr>
      </w:pPr>
    </w:p>
    <w:p>
      <w:pPr>
        <w:ind w:left="660" w:right="140" w:hanging="652"/>
        <w:spacing w:after="0" w:line="279"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64" w:lineRule="exact"/>
        <w:rPr>
          <w:rFonts w:ascii="Arial" w:cs="Arial" w:eastAsia="Arial" w:hAnsi="Arial"/>
          <w:sz w:val="19"/>
          <w:szCs w:val="19"/>
          <w:color w:val="auto"/>
        </w:rPr>
      </w:pPr>
    </w:p>
    <w:p>
      <w:pPr>
        <w:ind w:left="660" w:right="260" w:hanging="652"/>
        <w:spacing w:after="0" w:line="236"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Previous Agreements</w:t>
      </w:r>
      <w:r>
        <w:rPr>
          <w:rFonts w:ascii="Arial" w:cs="Arial" w:eastAsia="Arial" w:hAnsi="Arial"/>
          <w:sz w:val="22"/>
          <w:szCs w:val="22"/>
          <w:color w:val="auto"/>
        </w:rPr>
        <w:t>. This letter, upon acceptance by you, expressly supersedes any and all previous agreements or understandings relating to your employment by the Corporation or the Manpower Group, except for the letter from the Corporation to you, dated December 20, 2005, regarding your assignment for the Corporation, or the termination of such employment, and any such agreements or understandings shall, as of the date of your acceptance, have no further force or effect.</w:t>
      </w:r>
    </w:p>
    <w:p>
      <w:pPr>
        <w:spacing w:after="0" w:line="201" w:lineRule="exact"/>
        <w:rPr>
          <w:rFonts w:ascii="Arial" w:cs="Arial" w:eastAsia="Arial" w:hAnsi="Arial"/>
          <w:sz w:val="22"/>
          <w:szCs w:val="22"/>
          <w:color w:val="auto"/>
        </w:rPr>
      </w:pPr>
    </w:p>
    <w:p>
      <w:pPr>
        <w:ind w:left="660" w:right="80" w:hanging="652"/>
        <w:spacing w:after="0" w:line="282"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19, the party initiating arbitration shall be denominated the “Claimant” and the other party shall be denominated the “Respondent.”</w:t>
      </w:r>
    </w:p>
    <w:p>
      <w:pPr>
        <w:spacing w:after="0" w:line="174" w:lineRule="exact"/>
        <w:rPr>
          <w:rFonts w:ascii="Arial" w:cs="Arial" w:eastAsia="Arial" w:hAnsi="Arial"/>
          <w:sz w:val="19"/>
          <w:szCs w:val="19"/>
          <w:color w:val="auto"/>
        </w:rPr>
      </w:pPr>
    </w:p>
    <w:p>
      <w:pPr>
        <w:ind w:left="1300" w:hanging="644"/>
        <w:spacing w:after="0" w:line="271" w:lineRule="auto"/>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 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300" w:right="40" w:hanging="644"/>
        <w:spacing w:after="0" w:line="271" w:lineRule="auto"/>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 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ectPr>
          <w:pgSz w:w="11900" w:h="16838" w:orient="portrait"/>
          <w:cols w:equalWidth="0" w:num="1">
            <w:col w:w="11420"/>
          </w:cols>
          <w:pgMar w:left="240" w:top="118" w:right="239" w:bottom="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20"/>
          </w:cols>
          <w:pgMar w:left="240" w:top="118" w:right="239" w:bottom="0" w:gutter="0" w:footer="0" w:header="0"/>
          <w:type w:val="continuous"/>
        </w:sectPr>
      </w:pPr>
    </w:p>
    <w:bookmarkStart w:id="13" w:name="page14"/>
    <w:bookmarkEnd w:id="13"/>
    <w:p>
      <w:pPr>
        <w:spacing w:after="0" w:line="329" w:lineRule="auto"/>
        <w:rPr>
          <w:sz w:val="20"/>
          <w:szCs w:val="20"/>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obligations imposed by Paragraphs 3-7, above, of this agreement are severable and should be construed independently of each other. The invalidity of one such provision shall not affect the validity of any other such provision.</w:t>
      </w:r>
    </w:p>
    <w:p>
      <w:pPr>
        <w:sectPr>
          <w:pgSz w:w="11900" w:h="16838" w:orient="portrait"/>
          <w:cols w:equalWidth="0" w:num="1">
            <w:col w:w="10740"/>
          </w:cols>
          <w:pgMar w:left="900" w:top="118" w:right="259" w:bottom="1440" w:gutter="0" w:footer="0" w:header="0"/>
        </w:sectPr>
      </w:pPr>
    </w:p>
    <w:bookmarkStart w:id="14" w:name="page15"/>
    <w:bookmarkEnd w:id="14"/>
    <w:p>
      <w:pPr>
        <w:ind w:firstLine="648"/>
        <w:spacing w:after="0" w:line="251" w:lineRule="auto"/>
        <w:rPr>
          <w:sz w:val="20"/>
          <w:szCs w:val="20"/>
          <w:color w:val="auto"/>
        </w:rPr>
      </w:pPr>
      <w:r>
        <w:rPr>
          <w:rFonts w:ascii="Arial" w:cs="Arial" w:eastAsia="Arial" w:hAnsi="Arial"/>
          <w:sz w:val="22"/>
          <w:szCs w:val="22"/>
          <w:color w:val="auto"/>
        </w:rPr>
        <w:t>If you are in agreement with the foregoing, please sign and return one copy of this letter which will constitute our agreement with respect to the subject matter of this letter.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-17780</wp:posOffset>
            </wp:positionV>
            <wp:extent cx="2059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9305" cy="8890"/>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Jeffrey A. Joerres, President and</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12th day of May, 2006.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Barbara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18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80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Barbara Beck</w:t>
      </w:r>
    </w:p>
    <w:p>
      <w:pPr>
        <w:sectPr>
          <w:pgSz w:w="11900" w:h="16838" w:orient="portrait"/>
          <w:cols w:equalWidth="0" w:num="1">
            <w:col w:w="10460"/>
          </w:cols>
          <w:pgMar w:left="240" w:top="604" w:right="119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u w:val="single" w:color="auto"/>
          <w:color w:val="auto"/>
        </w:rPr>
        <w:t>Exhibit 10.2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 Inc.</w:t>
      </w:r>
    </w:p>
    <w:p>
      <w:pPr>
        <w:jc w:val="center"/>
        <w:spacing w:after="0" w:line="238" w:lineRule="auto"/>
        <w:rPr>
          <w:sz w:val="20"/>
          <w:szCs w:val="20"/>
          <w:color w:val="auto"/>
        </w:rPr>
      </w:pPr>
      <w:r>
        <w:rPr>
          <w:rFonts w:ascii="Arial" w:cs="Arial" w:eastAsia="Arial" w:hAnsi="Arial"/>
          <w:sz w:val="22"/>
          <w:szCs w:val="22"/>
          <w:color w:val="auto"/>
        </w:rPr>
        <w:t>5301 North Ironwood Road</w:t>
      </w:r>
    </w:p>
    <w:p>
      <w:pPr>
        <w:jc w:val="center"/>
        <w:spacing w:after="0"/>
        <w:rPr>
          <w:sz w:val="20"/>
          <w:szCs w:val="20"/>
          <w:color w:val="auto"/>
        </w:rPr>
      </w:pPr>
      <w:r>
        <w:rPr>
          <w:rFonts w:ascii="Arial" w:cs="Arial" w:eastAsia="Arial" w:hAnsi="Arial"/>
          <w:sz w:val="22"/>
          <w:szCs w:val="22"/>
          <w:color w:val="auto"/>
        </w:rPr>
        <w:t>Milwaukee, Wisconsin 53217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11, 2006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38" w:lineRule="auto"/>
        <w:rPr>
          <w:sz w:val="20"/>
          <w:szCs w:val="20"/>
          <w:color w:val="auto"/>
        </w:rPr>
      </w:pPr>
      <w:r>
        <w:rPr>
          <w:rFonts w:ascii="Arial" w:cs="Arial" w:eastAsia="Arial" w:hAnsi="Arial"/>
          <w:sz w:val="22"/>
          <w:szCs w:val="22"/>
          <w:color w:val="auto"/>
        </w:rPr>
        <w:t>President – United States and Canada</w:t>
      </w:r>
    </w:p>
    <w:p>
      <w:pPr>
        <w:spacing w:after="0" w:line="230" w:lineRule="auto"/>
        <w:rPr>
          <w:sz w:val="20"/>
          <w:szCs w:val="20"/>
          <w:color w:val="auto"/>
        </w:rPr>
      </w:pPr>
      <w:r>
        <w:rPr>
          <w:rFonts w:ascii="Arial" w:cs="Arial" w:eastAsia="Arial" w:hAnsi="Arial"/>
          <w:sz w:val="22"/>
          <w:szCs w:val="22"/>
          <w:color w:val="auto"/>
        </w:rPr>
        <w:t>Manpower Inc.</w:t>
      </w:r>
    </w:p>
    <w:p>
      <w:pPr>
        <w:spacing w:after="0" w:line="231" w:lineRule="auto"/>
        <w:rPr>
          <w:sz w:val="20"/>
          <w:szCs w:val="20"/>
          <w:color w:val="auto"/>
        </w:rPr>
      </w:pPr>
      <w:r>
        <w:rPr>
          <w:rFonts w:ascii="Arial" w:cs="Arial" w:eastAsia="Arial" w:hAnsi="Arial"/>
          <w:sz w:val="22"/>
          <w:szCs w:val="22"/>
          <w:color w:val="auto"/>
        </w:rPr>
        <w:t>5301 North Ironwood Road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Jonas:</w:t>
      </w:r>
    </w:p>
    <w:p>
      <w:pPr>
        <w:spacing w:after="0" w:line="233"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9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33" w:lineRule="exact"/>
        <w:rPr>
          <w:rFonts w:ascii="Arial" w:cs="Arial" w:eastAsia="Arial" w:hAnsi="Arial"/>
          <w:sz w:val="22"/>
          <w:szCs w:val="22"/>
          <w:color w:val="auto"/>
        </w:rPr>
      </w:pPr>
    </w:p>
    <w:p>
      <w:pPr>
        <w:ind w:left="1300" w:right="500" w:hanging="644"/>
        <w:spacing w:after="0" w:line="251" w:lineRule="auto"/>
        <w:tabs>
          <w:tab w:leader="none" w:pos="130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186" w:lineRule="exact"/>
        <w:rPr>
          <w:rFonts w:ascii="Arial" w:cs="Arial" w:eastAsia="Arial" w:hAnsi="Arial"/>
          <w:sz w:val="22"/>
          <w:szCs w:val="22"/>
          <w:color w:val="auto"/>
        </w:rPr>
      </w:pPr>
    </w:p>
    <w:p>
      <w:pPr>
        <w:jc w:val="both"/>
        <w:ind w:left="1300" w:right="20" w:hanging="644"/>
        <w:spacing w:after="0" w:line="273" w:lineRule="auto"/>
        <w:tabs>
          <w:tab w:leader="none" w:pos="1300"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w:t>
      </w:r>
    </w:p>
    <w:p>
      <w:pPr>
        <w:spacing w:after="0" w:line="1" w:lineRule="exact"/>
        <w:rPr>
          <w:rFonts w:ascii="Arial" w:cs="Arial" w:eastAsia="Arial" w:hAnsi="Arial"/>
          <w:sz w:val="19"/>
          <w:szCs w:val="19"/>
          <w:color w:val="auto"/>
        </w:rPr>
      </w:pPr>
    </w:p>
    <w:p>
      <w:pPr>
        <w:ind w:left="1300" w:right="120" w:firstLine="5"/>
        <w:spacing w:after="0" w:line="273" w:lineRule="auto"/>
        <w:tabs>
          <w:tab w:leader="none" w:pos="1618" w:val="left"/>
        </w:tabs>
        <w:numPr>
          <w:ilvl w:val="2"/>
          <w:numId w:val="20"/>
        </w:numPr>
        <w:rPr>
          <w:rFonts w:ascii="Arial" w:cs="Arial" w:eastAsia="Arial" w:hAnsi="Arial"/>
          <w:sz w:val="19"/>
          <w:szCs w:val="19"/>
          <w:color w:val="auto"/>
        </w:rPr>
      </w:pPr>
      <w:r>
        <w:rPr>
          <w:rFonts w:ascii="Arial" w:cs="Arial" w:eastAsia="Arial" w:hAnsi="Arial"/>
          <w:sz w:val="19"/>
          <w:szCs w:val="19"/>
          <w:color w:val="auto"/>
        </w:rPr>
        <w:t>insubordination, (iii) your commission of any material act of dishonesty or disloyalty involving the Manpower Group, (iv) your commission of an act of fraud, embezzlement or theft or your breach of trust or dereliction of duty in connection with your duties or in the course of your employment with the Manpower Group, (v) your chronic absence from work other than by reason of a serious health condition, (vi) your commission of a crime which substantially relates to the circumstances of your position with the Manpower Group or which has a material advers e effect on the Manpower Group, or (vii)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68" w:lineRule="exact"/>
        <w:rPr>
          <w:rFonts w:ascii="Arial" w:cs="Arial" w:eastAsia="Arial" w:hAnsi="Arial"/>
          <w:sz w:val="19"/>
          <w:szCs w:val="19"/>
          <w:color w:val="auto"/>
        </w:rPr>
      </w:pPr>
    </w:p>
    <w:p>
      <w:pPr>
        <w:ind w:left="1300" w:hanging="644"/>
        <w:spacing w:after="0"/>
        <w:tabs>
          <w:tab w:leader="none" w:pos="130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w:t>
      </w:r>
    </w:p>
    <w:p>
      <w:pPr>
        <w:spacing w:after="0" w:line="42" w:lineRule="exact"/>
        <w:rPr>
          <w:rFonts w:ascii="Arial" w:cs="Arial" w:eastAsia="Arial" w:hAnsi="Arial"/>
          <w:sz w:val="19"/>
          <w:szCs w:val="19"/>
          <w:color w:val="auto"/>
        </w:rPr>
      </w:pPr>
    </w:p>
    <w:p>
      <w:pPr>
        <w:ind w:left="1960"/>
        <w:spacing w:after="0" w:line="270"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960" w:right="20" w:hanging="655"/>
        <w:spacing w:after="0" w:line="275" w:lineRule="auto"/>
        <w:tabs>
          <w:tab w:leader="none" w:pos="1960"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118" w:right="239" w:bottom="0" w:gutter="0" w:footer="0" w:header="0"/>
        </w:sectPr>
      </w:pPr>
    </w:p>
    <w:bookmarkStart w:id="16" w:name="page17"/>
    <w:bookmarkEnd w:id="16"/>
    <w:p>
      <w:pPr>
        <w:ind w:left="1960" w:right="160"/>
        <w:spacing w:after="0" w:line="251" w:lineRule="auto"/>
        <w:rPr>
          <w:sz w:val="20"/>
          <w:szCs w:val="20"/>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187" w:lineRule="exact"/>
        <w:rPr>
          <w:sz w:val="20"/>
          <w:szCs w:val="20"/>
          <w:color w:val="auto"/>
        </w:rPr>
      </w:pPr>
    </w:p>
    <w:p>
      <w:pPr>
        <w:ind w:left="1960" w:hanging="655"/>
        <w:spacing w:after="0" w:line="275" w:lineRule="auto"/>
        <w:tabs>
          <w:tab w:leader="none" w:pos="19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85" w:lineRule="exact"/>
        <w:rPr>
          <w:rFonts w:ascii="Arial" w:cs="Arial" w:eastAsia="Arial" w:hAnsi="Arial"/>
          <w:sz w:val="19"/>
          <w:szCs w:val="19"/>
          <w:color w:val="auto"/>
        </w:rPr>
      </w:pPr>
    </w:p>
    <w:p>
      <w:pPr>
        <w:ind w:left="1960" w:right="40" w:hanging="655"/>
        <w:spacing w:after="0" w:line="287" w:lineRule="auto"/>
        <w:tabs>
          <w:tab w:leader="none" w:pos="19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72" w:lineRule="exact"/>
        <w:rPr>
          <w:sz w:val="20"/>
          <w:szCs w:val="20"/>
          <w:color w:val="auto"/>
        </w:rPr>
      </w:pPr>
    </w:p>
    <w:p>
      <w:pPr>
        <w:ind w:left="1300" w:right="60" w:hanging="644"/>
        <w:spacing w:after="0" w:line="251"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186" w:lineRule="exact"/>
        <w:rPr>
          <w:rFonts w:ascii="Arial" w:cs="Arial" w:eastAsia="Arial" w:hAnsi="Arial"/>
          <w:sz w:val="22"/>
          <w:szCs w:val="22"/>
          <w:color w:val="auto"/>
        </w:rPr>
      </w:pPr>
    </w:p>
    <w:p>
      <w:pPr>
        <w:ind w:left="1960" w:right="120" w:hanging="655"/>
        <w:spacing w:after="0" w:line="287" w:lineRule="auto"/>
        <w:tabs>
          <w:tab w:leader="none" w:pos="19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70" w:lineRule="exact"/>
        <w:rPr>
          <w:rFonts w:ascii="Arial" w:cs="Arial" w:eastAsia="Arial" w:hAnsi="Arial"/>
          <w:sz w:val="19"/>
          <w:szCs w:val="19"/>
          <w:color w:val="auto"/>
        </w:rPr>
      </w:pPr>
    </w:p>
    <w:p>
      <w:pPr>
        <w:ind w:left="1960" w:right="80" w:hanging="655"/>
        <w:spacing w:after="0" w:line="297" w:lineRule="auto"/>
        <w:tabs>
          <w:tab w:leader="none" w:pos="19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any material breach of this agreement by the Corporation or of any material obligation of any member of the Manpower Group for the payment or provision of compensation or other benefits to you which remains uncured ten business days after you give written notice to the Corporation which specifies the breach;</w:t>
      </w:r>
    </w:p>
    <w:p>
      <w:pPr>
        <w:spacing w:after="0" w:line="147" w:lineRule="exact"/>
        <w:rPr>
          <w:rFonts w:ascii="Arial" w:cs="Arial" w:eastAsia="Arial" w:hAnsi="Arial"/>
          <w:sz w:val="19"/>
          <w:szCs w:val="19"/>
          <w:color w:val="auto"/>
        </w:rPr>
      </w:pPr>
    </w:p>
    <w:p>
      <w:pPr>
        <w:ind w:left="1960" w:right="380" w:hanging="655"/>
        <w:spacing w:after="0"/>
        <w:tabs>
          <w:tab w:leader="none" w:pos="19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any reduction in your base salary as in effect from time to time or a failure by the Manpower Group to provide an arrangement for you for any fiscal year of the Manpower Group giving you the opportunity to earn an incentive bonus for such year; or</w:t>
      </w:r>
    </w:p>
    <w:p>
      <w:pPr>
        <w:spacing w:after="0" w:line="199" w:lineRule="exact"/>
        <w:rPr>
          <w:rFonts w:ascii="Arial" w:cs="Arial" w:eastAsia="Arial" w:hAnsi="Arial"/>
          <w:sz w:val="22"/>
          <w:szCs w:val="22"/>
          <w:color w:val="auto"/>
        </w:rPr>
      </w:pPr>
    </w:p>
    <w:p>
      <w:pPr>
        <w:ind w:left="1960" w:right="40" w:hanging="655"/>
        <w:spacing w:after="0" w:line="282" w:lineRule="auto"/>
        <w:tabs>
          <w:tab w:leader="none" w:pos="19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Notwithstanding Subsections 1(d)(i)-(iii),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total cash compensation opportunity attributable to your base salary and annual bonus (as reflected by a dollar amount) at target performance for any year ending after the date of reassignment is not less than such total cash compensation opportunity in effect prior to such reassignment for the year in which such reassignment occurs. If the foregoing sentence does not apply, any such reassignment does not constitute Good Reason unless your employment with the Manpower Group is terminate d by you within ninety days after any notice to you of such reassignment. Your continued employment or failure to give Notice of Termination will not constitute consent to, or a waiver of rights with respect to, any circumstance constituting Good Reason hereunder except as otherwise provided.</w:t>
      </w:r>
    </w:p>
    <w:p>
      <w:pPr>
        <w:spacing w:after="0" w:line="189" w:lineRule="exact"/>
        <w:rPr>
          <w:sz w:val="20"/>
          <w:szCs w:val="20"/>
          <w:color w:val="auto"/>
        </w:rPr>
      </w:pPr>
    </w:p>
    <w:p>
      <w:pPr>
        <w:ind w:left="1300" w:right="20" w:hanging="644"/>
        <w:spacing w:after="0" w:line="248" w:lineRule="auto"/>
        <w:tabs>
          <w:tab w:leader="none" w:pos="130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0" w:lineRule="exact"/>
        <w:rPr>
          <w:rFonts w:ascii="Arial" w:cs="Arial" w:eastAsia="Arial" w:hAnsi="Arial"/>
          <w:sz w:val="21"/>
          <w:szCs w:val="21"/>
          <w:color w:val="auto"/>
        </w:rPr>
      </w:pPr>
    </w:p>
    <w:p>
      <w:pPr>
        <w:jc w:val="both"/>
        <w:ind w:left="1300" w:right="64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99"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ectPr>
          <w:pgSz w:w="11900" w:h="16838" w:orient="portrait"/>
          <w:cols w:equalWidth="0" w:num="1">
            <w:col w:w="11420"/>
          </w:cols>
          <w:pgMar w:left="240" w:top="118" w:right="239" w:bottom="41" w:gutter="0" w:footer="0" w:header="0"/>
        </w:sectPr>
      </w:pPr>
    </w:p>
    <w:bookmarkStart w:id="17" w:name="page18"/>
    <w:bookmarkEnd w:id="17"/>
    <w:p>
      <w:pPr>
        <w:ind w:left="1952" w:right="40" w:hanging="655"/>
        <w:spacing w:after="0" w:line="287" w:lineRule="auto"/>
        <w:tabs>
          <w:tab w:leader="none" w:pos="1952" w:val="left"/>
        </w:tabs>
        <w:numPr>
          <w:ilvl w:val="2"/>
          <w:numId w:val="25"/>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57" w:lineRule="exact"/>
        <w:rPr>
          <w:rFonts w:ascii="Arial" w:cs="Arial" w:eastAsia="Arial" w:hAnsi="Arial"/>
          <w:sz w:val="19"/>
          <w:szCs w:val="19"/>
          <w:color w:val="auto"/>
        </w:rPr>
      </w:pPr>
    </w:p>
    <w:p>
      <w:pPr>
        <w:ind w:left="1952" w:right="140" w:hanging="655"/>
        <w:spacing w:after="0" w:line="249" w:lineRule="auto"/>
        <w:tabs>
          <w:tab w:leader="none" w:pos="1952" w:val="left"/>
        </w:tabs>
        <w:numPr>
          <w:ilvl w:val="2"/>
          <w:numId w:val="25"/>
        </w:numPr>
        <w:rPr>
          <w:rFonts w:ascii="Arial" w:cs="Arial" w:eastAsia="Arial" w:hAnsi="Arial"/>
          <w:sz w:val="21"/>
          <w:szCs w:val="21"/>
          <w:color w:val="auto"/>
        </w:rPr>
      </w:pPr>
      <w:r>
        <w:rPr>
          <w:rFonts w:ascii="Arial" w:cs="Arial" w:eastAsia="Arial" w:hAnsi="Arial"/>
          <w:sz w:val="21"/>
          <w:szCs w:val="21"/>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5" w:lineRule="exact"/>
        <w:rPr>
          <w:rFonts w:ascii="Arial" w:cs="Arial" w:eastAsia="Arial" w:hAnsi="Arial"/>
          <w:sz w:val="21"/>
          <w:szCs w:val="21"/>
          <w:color w:val="auto"/>
        </w:rPr>
      </w:pPr>
    </w:p>
    <w:p>
      <w:pPr>
        <w:jc w:val="both"/>
        <w:ind w:left="1952" w:right="80" w:hanging="655"/>
        <w:spacing w:after="0"/>
        <w:tabs>
          <w:tab w:leader="none" w:pos="1952" w:val="left"/>
        </w:tabs>
        <w:numPr>
          <w:ilvl w:val="2"/>
          <w:numId w:val="25"/>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99" w:lineRule="exact"/>
        <w:rPr>
          <w:rFonts w:ascii="Arial" w:cs="Arial" w:eastAsia="Arial" w:hAnsi="Arial"/>
          <w:sz w:val="22"/>
          <w:szCs w:val="22"/>
          <w:color w:val="auto"/>
        </w:rPr>
      </w:pPr>
    </w:p>
    <w:p>
      <w:pPr>
        <w:jc w:val="both"/>
        <w:ind w:left="1292" w:right="380" w:hanging="644"/>
        <w:spacing w:after="0" w:line="276" w:lineRule="auto"/>
        <w:tabs>
          <w:tab w:leader="none" w:pos="1292"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will be a period beginning on the date of this letter indicated above and ending on the first to occur of the following: (a) the date which is the two-year anniversary of the occurrence of a Change of Control;</w:t>
      </w:r>
    </w:p>
    <w:p>
      <w:pPr>
        <w:spacing w:after="0" w:line="1" w:lineRule="exact"/>
        <w:rPr>
          <w:rFonts w:ascii="Arial" w:cs="Arial" w:eastAsia="Arial" w:hAnsi="Arial"/>
          <w:sz w:val="19"/>
          <w:szCs w:val="19"/>
          <w:color w:val="auto"/>
        </w:rPr>
      </w:pPr>
    </w:p>
    <w:p>
      <w:pPr>
        <w:ind w:left="1292" w:right="420"/>
        <w:spacing w:after="0" w:line="234" w:lineRule="auto"/>
        <w:rPr>
          <w:rFonts w:ascii="Arial" w:cs="Arial" w:eastAsia="Arial" w:hAnsi="Arial"/>
          <w:sz w:val="19"/>
          <w:szCs w:val="19"/>
          <w:color w:val="auto"/>
        </w:rPr>
      </w:pPr>
      <w:r>
        <w:rPr>
          <w:rFonts w:ascii="Arial" w:cs="Arial" w:eastAsia="Arial" w:hAnsi="Arial"/>
          <w:sz w:val="22"/>
          <w:szCs w:val="22"/>
          <w:color w:val="auto"/>
        </w:rPr>
        <w:t>(b) the date which is the three-year anniversary of the date of this letter indicated above if no Change of Control occurs between the date of this letter indicated above and such three-year anniversary; or (c) the Date of Termination.</w:t>
      </w:r>
    </w:p>
    <w:p>
      <w:pPr>
        <w:spacing w:after="0" w:line="200" w:lineRule="exact"/>
        <w:rPr>
          <w:rFonts w:ascii="Arial" w:cs="Arial" w:eastAsia="Arial" w:hAnsi="Arial"/>
          <w:sz w:val="19"/>
          <w:szCs w:val="19"/>
          <w:color w:val="auto"/>
        </w:rPr>
      </w:pPr>
    </w:p>
    <w:p>
      <w:pPr>
        <w:ind w:left="652" w:hanging="652"/>
        <w:spacing w:after="0"/>
        <w:tabs>
          <w:tab w:leader="none" w:pos="6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140" w:hanging="644"/>
        <w:spacing w:after="0" w:line="273" w:lineRule="auto"/>
        <w:tabs>
          <w:tab w:leader="none" w:pos="129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Termination by the Manpower Group for Cause or by You Other Than for Good Reason</w:t>
      </w:r>
      <w:r>
        <w:rPr>
          <w:rFonts w:ascii="Arial" w:cs="Arial" w:eastAsia="Arial" w:hAnsi="Arial"/>
          <w:sz w:val="19"/>
          <w:szCs w:val="19"/>
          <w:color w:val="auto"/>
        </w:rPr>
        <w:t>. If your employment with the Manpower Group is terminated by the Manpower Group for Cause or by you other than for Good Reason, the Corporation will pay or provide you with (i) your full base salary as then in effect through the Date of Termination,</w:t>
      </w:r>
    </w:p>
    <w:p>
      <w:pPr>
        <w:spacing w:after="0" w:line="1" w:lineRule="exact"/>
        <w:rPr>
          <w:rFonts w:ascii="Arial" w:cs="Arial" w:eastAsia="Arial" w:hAnsi="Arial"/>
          <w:sz w:val="19"/>
          <w:szCs w:val="19"/>
          <w:color w:val="auto"/>
        </w:rPr>
      </w:pPr>
    </w:p>
    <w:p>
      <w:pPr>
        <w:ind w:left="1292" w:firstLine="5"/>
        <w:spacing w:after="0" w:line="233" w:lineRule="auto"/>
        <w:tabs>
          <w:tab w:leader="none" w:pos="1610" w:val="left"/>
        </w:tabs>
        <w:numPr>
          <w:ilvl w:val="2"/>
          <w:numId w:val="27"/>
        </w:numPr>
        <w:rPr>
          <w:rFonts w:ascii="Arial" w:cs="Arial" w:eastAsia="Arial" w:hAnsi="Arial"/>
          <w:sz w:val="22"/>
          <w:szCs w:val="22"/>
          <w:color w:val="auto"/>
        </w:rPr>
      </w:pPr>
      <w:r>
        <w:rPr>
          <w:rFonts w:ascii="Arial" w:cs="Arial" w:eastAsia="Arial" w:hAnsi="Arial"/>
          <w:sz w:val="22"/>
          <w:szCs w:val="22"/>
          <w:color w:val="auto"/>
        </w:rPr>
        <w:t>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01" w:lineRule="exact"/>
        <w:rPr>
          <w:rFonts w:ascii="Arial" w:cs="Arial" w:eastAsia="Arial" w:hAnsi="Arial"/>
          <w:sz w:val="22"/>
          <w:szCs w:val="22"/>
          <w:color w:val="auto"/>
        </w:rPr>
      </w:pPr>
    </w:p>
    <w:p>
      <w:pPr>
        <w:ind w:left="1292" w:hanging="644"/>
        <w:spacing w:after="0" w:line="270" w:lineRule="auto"/>
        <w:tabs>
          <w:tab w:leader="none" w:pos="129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in amount to the bonus you would have received for the full fiscal year had your employment not terminated, determined by extrapolating to the full fiscal year performance, through the Date of Termination, on any non-discretionary financial goals and by basing any discretionary component on your progress, as determined at the sole discretion of the Chief Executive Officer of the Corporation, towards attainment of the relev ant performance goals for such component during the portion of the year you are employed,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80" w:lineRule="exact"/>
        <w:rPr>
          <w:rFonts w:ascii="Arial" w:cs="Arial" w:eastAsia="Arial" w:hAnsi="Arial"/>
          <w:sz w:val="19"/>
          <w:szCs w:val="19"/>
          <w:color w:val="auto"/>
        </w:rPr>
      </w:pPr>
    </w:p>
    <w:p>
      <w:pPr>
        <w:ind w:left="1292" w:hanging="644"/>
        <w:spacing w:after="0"/>
        <w:tabs>
          <w:tab w:leader="none" w:pos="1292"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52" w:right="40" w:hanging="655"/>
        <w:spacing w:after="0"/>
        <w:tabs>
          <w:tab w:leader="none" w:pos="1952" w:val="left"/>
        </w:tabs>
        <w:numPr>
          <w:ilvl w:val="2"/>
          <w:numId w:val="28"/>
        </w:numPr>
        <w:rPr>
          <w:rFonts w:ascii="Arial" w:cs="Arial" w:eastAsia="Arial" w:hAnsi="Arial"/>
          <w:sz w:val="22"/>
          <w:szCs w:val="22"/>
          <w:color w:val="auto"/>
        </w:rPr>
      </w:pPr>
      <w:r>
        <w:rPr>
          <w:rFonts w:ascii="Arial" w:cs="Arial" w:eastAsia="Arial" w:hAnsi="Arial"/>
          <w:sz w:val="22"/>
          <w:szCs w:val="22"/>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99" w:lineRule="exact"/>
        <w:rPr>
          <w:rFonts w:ascii="Arial" w:cs="Arial" w:eastAsia="Arial" w:hAnsi="Arial"/>
          <w:sz w:val="22"/>
          <w:szCs w:val="22"/>
          <w:color w:val="auto"/>
        </w:rPr>
      </w:pPr>
    </w:p>
    <w:p>
      <w:pPr>
        <w:ind w:left="2592" w:right="460" w:hanging="647"/>
        <w:spacing w:after="0" w:line="251" w:lineRule="auto"/>
        <w:tabs>
          <w:tab w:leader="none" w:pos="2592"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59" w:lineRule="exact"/>
        <w:rPr>
          <w:rFonts w:ascii="Arial" w:cs="Arial" w:eastAsia="Arial" w:hAnsi="Arial"/>
          <w:sz w:val="22"/>
          <w:szCs w:val="22"/>
          <w:color w:val="auto"/>
        </w:rPr>
      </w:pPr>
    </w:p>
    <w:p>
      <w:pPr>
        <w:ind w:left="2592" w:right="280" w:hanging="647"/>
        <w:spacing w:after="0" w:line="251" w:lineRule="auto"/>
        <w:tabs>
          <w:tab w:leader="none" w:pos="2592"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73" w:lineRule="exact"/>
        <w:rPr>
          <w:rFonts w:ascii="Arial" w:cs="Arial" w:eastAsia="Arial" w:hAnsi="Arial"/>
          <w:sz w:val="22"/>
          <w:szCs w:val="22"/>
          <w:color w:val="auto"/>
        </w:rPr>
      </w:pPr>
    </w:p>
    <w:p>
      <w:pPr>
        <w:ind w:left="2592" w:right="400" w:hanging="647"/>
        <w:spacing w:after="0" w:line="248" w:lineRule="auto"/>
        <w:tabs>
          <w:tab w:leader="none" w:pos="2592" w:val="left"/>
        </w:tabs>
        <w:numPr>
          <w:ilvl w:val="3"/>
          <w:numId w:val="28"/>
        </w:numPr>
        <w:rPr>
          <w:rFonts w:ascii="Arial" w:cs="Arial" w:eastAsia="Arial" w:hAnsi="Arial"/>
          <w:sz w:val="21"/>
          <w:szCs w:val="21"/>
          <w:color w:val="auto"/>
        </w:rPr>
      </w:pPr>
      <w:r>
        <w:rPr>
          <w:rFonts w:ascii="Arial" w:cs="Arial" w:eastAsia="Arial" w:hAnsi="Arial"/>
          <w:sz w:val="21"/>
          <w:szCs w:val="21"/>
          <w:color w:val="auto"/>
        </w:rPr>
        <w:t>the Corporation will pay you, a bonus for the fiscal year during which the Date of Termination occurs equal in amount to the greater of (1) your largest annual bonus for the three fiscal years of the Manpower Group immediately preceding the Date of Termination or (2) your target annual bonus for the fiscal year in which the Date of Termination occurs; provided, however, that such bonus will be prorated for the actual number of days you were employed during the fiscal year during which the Date of Termination occurs;</w:t>
      </w:r>
    </w:p>
    <w:p>
      <w:pPr>
        <w:sectPr>
          <w:pgSz w:w="11900" w:h="16838" w:orient="portrait"/>
          <w:cols w:equalWidth="0" w:num="1">
            <w:col w:w="11392"/>
          </w:cols>
          <w:pgMar w:left="248" w:top="118" w:right="259" w:bottom="0" w:gutter="0" w:footer="0" w:header="0"/>
        </w:sectPr>
      </w:pPr>
    </w:p>
    <w:bookmarkStart w:id="18" w:name="page19"/>
    <w:bookmarkEnd w:id="18"/>
    <w:p>
      <w:pPr>
        <w:spacing w:after="0" w:line="20" w:lineRule="exact"/>
        <w:rPr>
          <w:sz w:val="20"/>
          <w:szCs w:val="20"/>
          <w:color w:val="auto"/>
        </w:rPr>
      </w:pPr>
    </w:p>
    <w:p>
      <w:pPr>
        <w:ind w:left="1400" w:right="120" w:hanging="647"/>
        <w:spacing w:after="0" w:line="236" w:lineRule="auto"/>
        <w:tabs>
          <w:tab w:leader="none" w:pos="14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lump-sum payment equal to two times the sum of (1) your annual base salary at the highest rate in effect during the Term and (2) the greater of (a) your largest annual bonus for the three fiscal years of the Manpower Group immediately preceding the Date of Termination or (b) your target annual bonus for the fiscal year in which the Date of Termination occurs;</w:t>
      </w:r>
    </w:p>
    <w:p>
      <w:pPr>
        <w:spacing w:after="0" w:line="174" w:lineRule="exact"/>
        <w:rPr>
          <w:rFonts w:ascii="Arial" w:cs="Arial" w:eastAsia="Arial" w:hAnsi="Arial"/>
          <w:sz w:val="22"/>
          <w:szCs w:val="22"/>
          <w:color w:val="auto"/>
        </w:rPr>
      </w:pPr>
    </w:p>
    <w:p>
      <w:pPr>
        <w:ind w:left="1400" w:right="120" w:hanging="647"/>
        <w:spacing w:after="0" w:line="273" w:lineRule="auto"/>
        <w:tabs>
          <w:tab w:leader="none" w:pos="14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at the Manpower Group’s expense, with Health Insurance Continuation (defined below) and coverage under the life and disability plans of the Corporation,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the Consolidated Omnibus Budget R econciliation Act of 1986, as amended (“COBRA”), or similar foreign or state laws will commence on the Date of Termination.</w:t>
      </w:r>
    </w:p>
    <w:p>
      <w:pPr>
        <w:spacing w:after="0" w:line="156" w:lineRule="exact"/>
        <w:rPr>
          <w:rFonts w:ascii="Arial" w:cs="Arial" w:eastAsia="Arial" w:hAnsi="Arial"/>
          <w:sz w:val="19"/>
          <w:szCs w:val="19"/>
          <w:color w:val="auto"/>
        </w:rPr>
      </w:pPr>
    </w:p>
    <w:p>
      <w:pPr>
        <w:ind w:left="1400" w:right="100"/>
        <w:spacing w:after="0" w:line="270" w:lineRule="auto"/>
        <w:rPr>
          <w:rFonts w:ascii="Arial" w:cs="Arial" w:eastAsia="Arial" w:hAnsi="Arial"/>
          <w:sz w:val="19"/>
          <w:szCs w:val="19"/>
          <w:color w:val="auto"/>
        </w:rPr>
      </w:pPr>
      <w:r>
        <w:rPr>
          <w:rFonts w:ascii="Arial" w:cs="Arial" w:eastAsia="Arial" w:hAnsi="Arial"/>
          <w:sz w:val="19"/>
          <w:szCs w:val="19"/>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twelve months for 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coverage to you or such eligible dependant shall terminate as of the date you or such dependant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400" w:right="180" w:hanging="647"/>
        <w:spacing w:after="0" w:line="275" w:lineRule="auto"/>
        <w:tabs>
          <w:tab w:leader="none" w:pos="14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144" w:lineRule="exact"/>
        <w:rPr>
          <w:rFonts w:ascii="Arial" w:cs="Arial" w:eastAsia="Arial" w:hAnsi="Arial"/>
          <w:sz w:val="19"/>
          <w:szCs w:val="19"/>
          <w:color w:val="auto"/>
        </w:rPr>
      </w:pPr>
    </w:p>
    <w:p>
      <w:pPr>
        <w:ind w:left="760" w:hanging="655"/>
        <w:spacing w:after="0"/>
        <w:tabs>
          <w:tab w:leader="none" w:pos="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99" w:lineRule="exact"/>
        <w:rPr>
          <w:rFonts w:ascii="Arial" w:cs="Arial" w:eastAsia="Arial" w:hAnsi="Arial"/>
          <w:sz w:val="22"/>
          <w:szCs w:val="22"/>
          <w:color w:val="auto"/>
        </w:rPr>
      </w:pPr>
    </w:p>
    <w:p>
      <w:pPr>
        <w:ind w:left="1400" w:right="380" w:hanging="647"/>
        <w:spacing w:after="0" w:line="251"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3" w:lineRule="exact"/>
        <w:rPr>
          <w:rFonts w:ascii="Arial" w:cs="Arial" w:eastAsia="Arial" w:hAnsi="Arial"/>
          <w:sz w:val="22"/>
          <w:szCs w:val="22"/>
          <w:color w:val="auto"/>
        </w:rPr>
      </w:pPr>
    </w:p>
    <w:p>
      <w:pPr>
        <w:ind w:left="1400" w:right="200" w:hanging="647"/>
        <w:spacing w:after="0" w:line="251"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59" w:lineRule="exact"/>
        <w:rPr>
          <w:rFonts w:ascii="Arial" w:cs="Arial" w:eastAsia="Arial" w:hAnsi="Arial"/>
          <w:sz w:val="22"/>
          <w:szCs w:val="22"/>
          <w:color w:val="auto"/>
        </w:rPr>
      </w:pPr>
    </w:p>
    <w:p>
      <w:pPr>
        <w:ind w:left="1400" w:right="360" w:hanging="647"/>
        <w:spacing w:after="0" w:line="274" w:lineRule="auto"/>
        <w:tabs>
          <w:tab w:leader="none" w:pos="14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extrapolating to the full fiscal year performance, through the Date of Termination, on any non-discretionary financial goals and by basing any discretionary component on your progress, as determined at the sole discretion of the Chief Executive Officer of the Corporation, towards attainment of the relevant performance goals for such component during the portion of the year you were employed; provided, however, that such bonus will be prorated for the actual number of days you were employed during the fiscal year during which the Date of Termination occurs;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w:t>
      </w:r>
    </w:p>
    <w:p>
      <w:pPr>
        <w:sectPr>
          <w:pgSz w:w="11900" w:h="16859" w:orient="portrait"/>
          <w:cols w:equalWidth="0" w:num="1">
            <w:col w:w="10120"/>
          </w:cols>
          <w:pgMar w:left="1440" w:top="118" w:right="339" w:bottom="0" w:gutter="0" w:footer="0" w:header="0"/>
        </w:sectPr>
      </w:pPr>
    </w:p>
    <w:bookmarkStart w:id="19" w:name="page20"/>
    <w:bookmarkEnd w:id="19"/>
    <w:p>
      <w:pPr>
        <w:spacing w:after="0" w:line="20" w:lineRule="exact"/>
        <w:rPr>
          <w:sz w:val="20"/>
          <w:szCs w:val="20"/>
          <w:color w:val="auto"/>
        </w:rPr>
      </w:pPr>
    </w:p>
    <w:p>
      <w:pPr>
        <w:ind w:left="2600" w:right="200"/>
        <w:spacing w:after="0" w:line="238" w:lineRule="auto"/>
        <w:rPr>
          <w:sz w:val="20"/>
          <w:szCs w:val="20"/>
          <w:color w:val="auto"/>
        </w:rPr>
      </w:pPr>
      <w:r>
        <w:rPr>
          <w:rFonts w:ascii="Arial" w:cs="Arial" w:eastAsia="Arial" w:hAnsi="Arial"/>
          <w:sz w:val="22"/>
          <w:szCs w:val="22"/>
          <w:color w:val="auto"/>
        </w:rPr>
        <w:t>the Corporation will pay, as a severance benefit to you, a lump sum payment equal to the amount of your annual base salary at the highest rate in effect during the Term plus an amount equal to your largest annual bonus for the three fiscal years of the Manpower Group immediately preceding the Date of Termination;</w:t>
      </w:r>
    </w:p>
    <w:p>
      <w:pPr>
        <w:spacing w:after="0" w:line="199" w:lineRule="exact"/>
        <w:rPr>
          <w:sz w:val="20"/>
          <w:szCs w:val="20"/>
          <w:color w:val="auto"/>
        </w:rPr>
      </w:pPr>
    </w:p>
    <w:p>
      <w:pPr>
        <w:ind w:left="2600" w:right="220" w:hanging="647"/>
        <w:spacing w:after="0" w:line="275" w:lineRule="auto"/>
        <w:tabs>
          <w:tab w:leader="none" w:pos="26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85" w:lineRule="exact"/>
        <w:rPr>
          <w:rFonts w:ascii="Arial" w:cs="Arial" w:eastAsia="Arial" w:hAnsi="Arial"/>
          <w:sz w:val="19"/>
          <w:szCs w:val="19"/>
          <w:color w:val="auto"/>
        </w:rPr>
      </w:pPr>
    </w:p>
    <w:p>
      <w:pPr>
        <w:ind w:left="2600"/>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Company’s group medical and dental insurance plans toward such COBRA coverage for the first twelve months for which you and/or your eligible dependents are eligible for such coverage; provided, however, that if you, your spouse or any other eligible dependant commences new employment during such twelve-month period and becomes eligible for health insurance benefits from such new employer, the Corporation’s obligation to provide such Corporation-subsidized COBRA coverag e to you or such eligible dependant shall terminate as of the date you or such dependant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 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left="2600" w:hanging="647"/>
        <w:spacing w:after="0" w:line="275" w:lineRule="auto"/>
        <w:tabs>
          <w:tab w:leader="none" w:pos="26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185" w:lineRule="exact"/>
        <w:rPr>
          <w:sz w:val="20"/>
          <w:szCs w:val="20"/>
          <w:color w:val="auto"/>
        </w:rPr>
      </w:pPr>
    </w:p>
    <w:p>
      <w:pPr>
        <w:ind w:right="400" w:firstLine="648"/>
        <w:spacing w:after="0" w:line="245" w:lineRule="auto"/>
        <w:rPr>
          <w:sz w:val="20"/>
          <w:szCs w:val="20"/>
          <w:color w:val="auto"/>
        </w:rPr>
      </w:pPr>
      <w:r>
        <w:rPr>
          <w:rFonts w:ascii="Arial" w:cs="Arial" w:eastAsia="Arial" w:hAnsi="Arial"/>
          <w:sz w:val="21"/>
          <w:szCs w:val="21"/>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United States Internal Revenue Code (or any similar tax that hereafter may be imposed), the amounts otherwise to be paid to you pursuant to Subsection 2(c)(i)(D) or 2(c)(ii)(D) will be reduced to the maximum amount that will result in no portion of the amo unts to be paid to you pursuant to Subsection 2(c)(i)(D) or 2(c)(ii)(D) being subject to such excise tax.</w:t>
      </w:r>
    </w:p>
    <w:p>
      <w:pPr>
        <w:spacing w:after="0" w:line="172" w:lineRule="exact"/>
        <w:rPr>
          <w:sz w:val="20"/>
          <w:szCs w:val="20"/>
          <w:color w:val="auto"/>
        </w:rPr>
      </w:pPr>
    </w:p>
    <w:p>
      <w:pPr>
        <w:ind w:left="1300" w:right="60" w:hanging="644"/>
        <w:spacing w:after="0" w:line="277" w:lineRule="auto"/>
        <w:tabs>
          <w:tab w:leader="none" w:pos="130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or 2(c) (ii)(C) will be paid on the date that is six months after the Date of Termination. The severance benefit provided for in Subsection 2(c)(i)(D) or 2(c)(ii)(D) will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w:t>
      </w:r>
    </w:p>
    <w:p>
      <w:pPr>
        <w:sectPr>
          <w:pgSz w:w="11900" w:h="16858" w:orient="portrait"/>
          <w:cols w:equalWidth="0" w:num="1">
            <w:col w:w="11420"/>
          </w:cols>
          <w:pgMar w:left="240" w:top="118" w:right="239" w:bottom="0" w:gutter="0" w:footer="0" w:header="0"/>
        </w:sectPr>
      </w:pPr>
    </w:p>
    <w:bookmarkStart w:id="20" w:name="page21"/>
    <w:bookmarkEnd w:id="20"/>
    <w:p>
      <w:pPr>
        <w:ind w:left="1292" w:right="60"/>
        <w:spacing w:after="0" w:line="238" w:lineRule="auto"/>
        <w:rPr>
          <w:sz w:val="20"/>
          <w:szCs w:val="20"/>
          <w:color w:val="auto"/>
        </w:rPr>
      </w:pPr>
      <w:r>
        <w:rPr>
          <w:rFonts w:ascii="Arial" w:cs="Arial" w:eastAsia="Arial" w:hAnsi="Arial"/>
          <w:sz w:val="22"/>
          <w:szCs w:val="22"/>
          <w:color w:val="auto"/>
        </w:rPr>
        <w:t xml:space="preserve">due computed at the prime rate, compounded monthly. Such prime rate shall be the prime rate (cu rrently the base rate on corporate loans posted by at least 75% of the 30 largest U.S. banks) in effect from time to time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Midwest edition (or, if not so reported, as reported in such other similar source(s)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 shall select).</w:t>
      </w:r>
    </w:p>
    <w:p>
      <w:pPr>
        <w:spacing w:after="0" w:line="199" w:lineRule="exact"/>
        <w:rPr>
          <w:sz w:val="20"/>
          <w:szCs w:val="20"/>
          <w:color w:val="auto"/>
        </w:rPr>
      </w:pPr>
    </w:p>
    <w:p>
      <w:pPr>
        <w:ind w:left="1292" w:hanging="644"/>
        <w:spacing w:after="0" w:line="273" w:lineRule="auto"/>
        <w:tabs>
          <w:tab w:leader="none" w:pos="129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2(c)(i)(C)-(F) or 2(c)(ii)(C)-(F),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188" w:lineRule="exact"/>
        <w:rPr>
          <w:rFonts w:ascii="Arial" w:cs="Arial" w:eastAsia="Arial" w:hAnsi="Arial"/>
          <w:sz w:val="19"/>
          <w:szCs w:val="19"/>
          <w:color w:val="auto"/>
        </w:rPr>
      </w:pPr>
    </w:p>
    <w:p>
      <w:pPr>
        <w:ind w:left="1292" w:right="40" w:hanging="644"/>
        <w:spacing w:after="0" w:line="236" w:lineRule="auto"/>
        <w:tabs>
          <w:tab w:leader="none" w:pos="129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01" w:lineRule="exact"/>
        <w:rPr>
          <w:rFonts w:ascii="Arial" w:cs="Arial" w:eastAsia="Arial" w:hAnsi="Arial"/>
          <w:sz w:val="22"/>
          <w:szCs w:val="22"/>
          <w:color w:val="auto"/>
        </w:rPr>
      </w:pPr>
    </w:p>
    <w:p>
      <w:pPr>
        <w:ind w:left="1292" w:right="60" w:hanging="644"/>
        <w:spacing w:after="0" w:line="279" w:lineRule="auto"/>
        <w:tabs>
          <w:tab w:leader="none" w:pos="129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Relocation Expenses</w:t>
      </w:r>
      <w:r>
        <w:rPr>
          <w:rFonts w:ascii="Arial" w:cs="Arial" w:eastAsia="Arial" w:hAnsi="Arial"/>
          <w:sz w:val="19"/>
          <w:szCs w:val="19"/>
          <w:color w:val="auto"/>
        </w:rPr>
        <w:t>. If your employment with the Manpower Group is terminated during the Term and, at the time of such termination, you are assigned to and reside in a location outside of Sweden, the Corporation will reimburse you, pursuant to the Corporation’s then existing relocation expense reimbursement policies, for reasonable expenses actually incurred by you in connection with the relocation of you and your family to Sweden; provided, however, that the Corporation shall have no obligation to pay such relocation expenses if your employment with the Manpower Group is terminated by the Manpower Group for Cause or by you other than for Good Reason.</w:t>
      </w:r>
    </w:p>
    <w:p>
      <w:pPr>
        <w:spacing w:after="0" w:line="164" w:lineRule="exact"/>
        <w:rPr>
          <w:rFonts w:ascii="Arial" w:cs="Arial" w:eastAsia="Arial" w:hAnsi="Arial"/>
          <w:sz w:val="19"/>
          <w:szCs w:val="19"/>
          <w:color w:val="auto"/>
        </w:rPr>
      </w:pPr>
    </w:p>
    <w:p>
      <w:pPr>
        <w:ind w:left="652" w:hanging="652"/>
        <w:spacing w:after="0"/>
        <w:tabs>
          <w:tab w:leader="none" w:pos="65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60" w:hanging="644"/>
        <w:spacing w:after="0" w:line="270" w:lineRule="auto"/>
        <w:tabs>
          <w:tab w:leader="none" w:pos="1292" w:val="left"/>
        </w:tabs>
        <w:numPr>
          <w:ilvl w:val="1"/>
          <w:numId w:val="34"/>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 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1292" w:right="240" w:hanging="644"/>
        <w:spacing w:after="0" w:line="287" w:lineRule="auto"/>
        <w:tabs>
          <w:tab w:leader="none" w:pos="1292" w:val="left"/>
        </w:tabs>
        <w:numPr>
          <w:ilvl w:val="1"/>
          <w:numId w:val="34"/>
        </w:numPr>
        <w:rPr>
          <w:rFonts w:ascii="Arial" w:cs="Arial" w:eastAsia="Arial" w:hAnsi="Arial"/>
          <w:sz w:val="19"/>
          <w:szCs w:val="19"/>
          <w:color w:val="auto"/>
        </w:rPr>
      </w:pPr>
      <w:r>
        <w:rPr>
          <w:rFonts w:ascii="Arial" w:cs="Arial" w:eastAsia="Arial" w:hAnsi="Arial"/>
          <w:sz w:val="19"/>
          <w:szCs w:val="19"/>
          <w:color w:val="auto"/>
        </w:rPr>
        <w:t>Upon your termination, for whatever reason,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56" w:lineRule="exact"/>
        <w:rPr>
          <w:rFonts w:ascii="Arial" w:cs="Arial" w:eastAsia="Arial" w:hAnsi="Arial"/>
          <w:sz w:val="19"/>
          <w:szCs w:val="19"/>
          <w:color w:val="auto"/>
        </w:rPr>
      </w:pPr>
    </w:p>
    <w:p>
      <w:pPr>
        <w:ind w:left="652" w:right="60" w:hanging="652"/>
        <w:spacing w:after="0" w:line="234" w:lineRule="auto"/>
        <w:tabs>
          <w:tab w:leader="none" w:pos="65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214" w:lineRule="exact"/>
        <w:rPr>
          <w:rFonts w:ascii="Arial" w:cs="Arial" w:eastAsia="Arial" w:hAnsi="Arial"/>
          <w:sz w:val="22"/>
          <w:szCs w:val="22"/>
          <w:color w:val="auto"/>
        </w:rPr>
      </w:pPr>
    </w:p>
    <w:p>
      <w:pPr>
        <w:ind w:left="652" w:hanging="652"/>
        <w:spacing w:after="0"/>
        <w:tabs>
          <w:tab w:leader="none" w:pos="65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Customer Nonsolicitation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80" w:hanging="644"/>
        <w:spacing w:after="0" w:line="251" w:lineRule="auto"/>
        <w:tabs>
          <w:tab w:leader="none" w:pos="12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During the term of your employment with the Manpower Group, you will not assist any competitor of any company in the Manpower Group in any capacity anywhere the Manpower Group does business.</w:t>
      </w:r>
    </w:p>
    <w:p>
      <w:pPr>
        <w:sectPr>
          <w:pgSz w:w="11900" w:h="16838" w:orient="portrait"/>
          <w:cols w:equalWidth="0" w:num="1">
            <w:col w:w="11412"/>
          </w:cols>
          <w:pgMar w:left="248" w:top="118" w:right="239" w:bottom="0" w:gutter="0" w:footer="0" w:header="0"/>
        </w:sectPr>
      </w:pPr>
    </w:p>
    <w:bookmarkStart w:id="21" w:name="page22"/>
    <w:bookmarkEnd w:id="21"/>
    <w:p>
      <w:pPr>
        <w:spacing w:after="0" w:line="81" w:lineRule="exact"/>
        <w:rPr>
          <w:sz w:val="20"/>
          <w:szCs w:val="20"/>
          <w:color w:val="auto"/>
        </w:rPr>
      </w:pPr>
    </w:p>
    <w:p>
      <w:pPr>
        <w:ind w:left="1292" w:right="40" w:hanging="644"/>
        <w:spacing w:after="0" w:line="234" w:lineRule="auto"/>
        <w:tabs>
          <w:tab w:leader="none" w:pos="12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78" w:lineRule="exact"/>
        <w:rPr>
          <w:rFonts w:ascii="Arial" w:cs="Arial" w:eastAsia="Arial" w:hAnsi="Arial"/>
          <w:sz w:val="22"/>
          <w:szCs w:val="22"/>
          <w:color w:val="auto"/>
        </w:rPr>
      </w:pPr>
    </w:p>
    <w:p>
      <w:pPr>
        <w:ind w:left="652" w:hanging="652"/>
        <w:spacing w:after="0" w:line="272" w:lineRule="auto"/>
        <w:tabs>
          <w:tab w:leader="none" w:pos="65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or human resources consulting services anywhere in the United States or any other country in which the Manpower Group conducts business as of the Date of Termi 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652" w:hanging="652"/>
        <w:spacing w:after="0"/>
        <w:tabs>
          <w:tab w:leader="none" w:pos="65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292" w:right="60" w:hanging="644"/>
        <w:spacing w:after="0" w:line="275" w:lineRule="auto"/>
        <w:tabs>
          <w:tab w:leader="none" w:pos="1292"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 t with you.</w:t>
      </w:r>
    </w:p>
    <w:p>
      <w:pPr>
        <w:spacing w:after="0" w:line="144" w:lineRule="exact"/>
        <w:rPr>
          <w:rFonts w:ascii="Arial" w:cs="Arial" w:eastAsia="Arial" w:hAnsi="Arial"/>
          <w:sz w:val="19"/>
          <w:szCs w:val="19"/>
          <w:color w:val="auto"/>
        </w:rPr>
      </w:pPr>
    </w:p>
    <w:p>
      <w:pPr>
        <w:ind w:left="1292" w:right="280" w:hanging="644"/>
        <w:spacing w:after="0" w:line="251" w:lineRule="auto"/>
        <w:tabs>
          <w:tab w:leader="none" w:pos="1292"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Equitable Extension</w:t>
      </w:r>
      <w:r>
        <w:rPr>
          <w:rFonts w:ascii="Arial" w:cs="Arial" w:eastAsia="Arial" w:hAnsi="Arial"/>
          <w:sz w:val="22"/>
          <w:szCs w:val="22"/>
          <w:color w:val="auto"/>
        </w:rPr>
        <w:t>. The duration of any restriction in Section 3-6, above, will be extended by any period during which such restriction is violated by you.</w:t>
      </w:r>
    </w:p>
    <w:p>
      <w:pPr>
        <w:spacing w:after="0" w:line="173" w:lineRule="exact"/>
        <w:rPr>
          <w:rFonts w:ascii="Arial" w:cs="Arial" w:eastAsia="Arial" w:hAnsi="Arial"/>
          <w:sz w:val="22"/>
          <w:szCs w:val="22"/>
          <w:color w:val="auto"/>
        </w:rPr>
      </w:pPr>
    </w:p>
    <w:p>
      <w:pPr>
        <w:ind w:left="1292" w:right="300" w:hanging="644"/>
        <w:spacing w:after="0" w:line="258" w:lineRule="auto"/>
        <w:tabs>
          <w:tab w:leader="none" w:pos="1292"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Nonapplication</w:t>
      </w:r>
      <w:r>
        <w:rPr>
          <w:rFonts w:ascii="Arial" w:cs="Arial" w:eastAsia="Arial" w:hAnsi="Arial"/>
          <w:sz w:val="21"/>
          <w:szCs w:val="21"/>
          <w:color w:val="auto"/>
        </w:rPr>
        <w:t>. Notwithstanding the above, Sections 5 and 6, above, will not apply if your employment with the Manpower Group is terminated by you for Good Reason or by the Corporation without Cause either during a Protected Period or within two years after the occurrence of a Change of Control.</w:t>
      </w:r>
    </w:p>
    <w:p>
      <w:pPr>
        <w:spacing w:after="0" w:line="180" w:lineRule="exact"/>
        <w:rPr>
          <w:rFonts w:ascii="Arial" w:cs="Arial" w:eastAsia="Arial" w:hAnsi="Arial"/>
          <w:sz w:val="21"/>
          <w:szCs w:val="21"/>
          <w:color w:val="auto"/>
        </w:rPr>
      </w:pPr>
    </w:p>
    <w:p>
      <w:pPr>
        <w:ind w:left="652" w:right="80" w:hanging="652"/>
        <w:spacing w:after="0" w:line="251" w:lineRule="auto"/>
        <w:tabs>
          <w:tab w:leader="none" w:pos="65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Vesting of Options</w:t>
      </w:r>
      <w:r>
        <w:rPr>
          <w:rFonts w:ascii="Arial" w:cs="Arial" w:eastAsia="Arial" w:hAnsi="Arial"/>
          <w:sz w:val="22"/>
          <w:szCs w:val="22"/>
          <w:color w:val="auto"/>
        </w:rPr>
        <w:t>. Any unvested options you hold at the time of a Change of Control to purchase stock of the Corporation will vest and become immediately exercisable at such time.</w:t>
      </w:r>
    </w:p>
    <w:p>
      <w:pPr>
        <w:spacing w:after="0" w:line="159" w:lineRule="exact"/>
        <w:rPr>
          <w:rFonts w:ascii="Arial" w:cs="Arial" w:eastAsia="Arial" w:hAnsi="Arial"/>
          <w:sz w:val="22"/>
          <w:szCs w:val="22"/>
          <w:color w:val="auto"/>
        </w:rPr>
      </w:pPr>
    </w:p>
    <w:p>
      <w:pPr>
        <w:ind w:left="652" w:right="100" w:hanging="652"/>
        <w:spacing w:after="0" w:line="236" w:lineRule="auto"/>
        <w:tabs>
          <w:tab w:leader="none" w:pos="65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Unemployment Compensation</w:t>
      </w:r>
      <w:r>
        <w:rPr>
          <w:rFonts w:ascii="Arial" w:cs="Arial" w:eastAsia="Arial" w:hAnsi="Arial"/>
          <w:sz w:val="22"/>
          <w:szCs w:val="22"/>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87" w:lineRule="exact"/>
        <w:rPr>
          <w:rFonts w:ascii="Arial" w:cs="Arial" w:eastAsia="Arial" w:hAnsi="Arial"/>
          <w:sz w:val="22"/>
          <w:szCs w:val="22"/>
          <w:color w:val="auto"/>
        </w:rPr>
      </w:pPr>
    </w:p>
    <w:p>
      <w:pPr>
        <w:ind w:left="652" w:right="60" w:hanging="652"/>
        <w:spacing w:after="0" w:line="273" w:lineRule="auto"/>
        <w:tabs>
          <w:tab w:leader="none" w:pos="65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 d will not preclude either party from providing truthful testimony pursuant to subpoena or other legal process or in the course of any proceeding that may be commenced for purposes of enforcing this letter agreement.</w:t>
      </w:r>
    </w:p>
    <w:p>
      <w:pPr>
        <w:spacing w:after="0" w:line="148" w:lineRule="exact"/>
        <w:rPr>
          <w:rFonts w:ascii="Arial" w:cs="Arial" w:eastAsia="Arial" w:hAnsi="Arial"/>
          <w:sz w:val="19"/>
          <w:szCs w:val="19"/>
          <w:color w:val="auto"/>
        </w:rPr>
      </w:pPr>
    </w:p>
    <w:p>
      <w:pPr>
        <w:ind w:left="652" w:right="100" w:hanging="652"/>
        <w:spacing w:after="0" w:line="274" w:lineRule="auto"/>
        <w:tabs>
          <w:tab w:leader="none" w:pos="65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64" w:lineRule="exact"/>
        <w:rPr>
          <w:rFonts w:ascii="Arial" w:cs="Arial" w:eastAsia="Arial" w:hAnsi="Arial"/>
          <w:sz w:val="21"/>
          <w:szCs w:val="21"/>
          <w:color w:val="auto"/>
        </w:rPr>
      </w:pPr>
    </w:p>
    <w:p>
      <w:pPr>
        <w:ind w:left="652" w:right="20" w:hanging="652"/>
        <w:spacing w:after="0" w:line="258" w:lineRule="auto"/>
        <w:tabs>
          <w:tab w:leader="none" w:pos="65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93" w:lineRule="exact"/>
        <w:rPr>
          <w:rFonts w:ascii="Arial" w:cs="Arial" w:eastAsia="Arial" w:hAnsi="Arial"/>
          <w:sz w:val="21"/>
          <w:szCs w:val="21"/>
          <w:color w:val="auto"/>
        </w:rPr>
      </w:pPr>
    </w:p>
    <w:p>
      <w:pPr>
        <w:ind w:left="652" w:right="260" w:hanging="652"/>
        <w:spacing w:after="0" w:line="328" w:lineRule="auto"/>
        <w:tabs>
          <w:tab w:leader="none" w:pos="65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will be construed as conferring upon you any right to remain employed by the Corporation or any member of the Manpower Group or affect the right of the Corporation or any</w:t>
      </w:r>
    </w:p>
    <w:p>
      <w:pPr>
        <w:sectPr>
          <w:pgSz w:w="11900" w:h="16919" w:orient="portrait"/>
          <w:cols w:equalWidth="0" w:num="1">
            <w:col w:w="11412"/>
          </w:cols>
          <w:pgMar w:left="248" w:top="118" w:right="239" w:bottom="0" w:gutter="0" w:footer="0" w:header="0"/>
        </w:sectPr>
      </w:pPr>
    </w:p>
    <w:bookmarkStart w:id="22" w:name="page23"/>
    <w:bookmarkEnd w:id="22"/>
    <w:p>
      <w:pPr>
        <w:ind w:left="660" w:right="360"/>
        <w:spacing w:after="0" w:line="251" w:lineRule="auto"/>
        <w:rPr>
          <w:sz w:val="20"/>
          <w:szCs w:val="20"/>
          <w:color w:val="auto"/>
        </w:rPr>
      </w:pPr>
      <w:r>
        <w:rPr>
          <w:rFonts w:ascii="Arial" w:cs="Arial" w:eastAsia="Arial" w:hAnsi="Arial"/>
          <w:sz w:val="22"/>
          <w:szCs w:val="22"/>
          <w:color w:val="auto"/>
        </w:rPr>
        <w:t>member of the Manpower Group to terminate your employment at any time for any reason or no reason, with or without cause, subject to the obligations of the Corporation as set forth herein.</w:t>
      </w:r>
    </w:p>
    <w:p>
      <w:pPr>
        <w:spacing w:after="0" w:line="187" w:lineRule="exact"/>
        <w:rPr>
          <w:sz w:val="20"/>
          <w:szCs w:val="20"/>
          <w:color w:val="auto"/>
        </w:rPr>
      </w:pPr>
    </w:p>
    <w:p>
      <w:pPr>
        <w:ind w:left="660" w:right="640" w:hanging="652"/>
        <w:spacing w:after="0" w:line="251"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200" w:lineRule="exact"/>
        <w:rPr>
          <w:rFonts w:ascii="Arial" w:cs="Arial" w:eastAsia="Arial" w:hAnsi="Arial"/>
          <w:sz w:val="22"/>
          <w:szCs w:val="22"/>
          <w:color w:val="auto"/>
        </w:rPr>
      </w:pPr>
    </w:p>
    <w:p>
      <w:pPr>
        <w:jc w:val="both"/>
        <w:ind w:left="660" w:right="360" w:hanging="652"/>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99" w:lineRule="exact"/>
        <w:rPr>
          <w:rFonts w:ascii="Arial" w:cs="Arial" w:eastAsia="Arial" w:hAnsi="Arial"/>
          <w:sz w:val="22"/>
          <w:szCs w:val="22"/>
          <w:color w:val="auto"/>
        </w:rPr>
      </w:pPr>
    </w:p>
    <w:p>
      <w:pPr>
        <w:ind w:left="660" w:right="420" w:hanging="652"/>
        <w:spacing w:after="0" w:line="251"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186" w:lineRule="exact"/>
        <w:rPr>
          <w:rFonts w:ascii="Arial" w:cs="Arial" w:eastAsia="Arial" w:hAnsi="Arial"/>
          <w:sz w:val="22"/>
          <w:szCs w:val="22"/>
          <w:color w:val="auto"/>
        </w:rPr>
      </w:pPr>
    </w:p>
    <w:p>
      <w:pPr>
        <w:ind w:left="660" w:right="140" w:hanging="652"/>
        <w:spacing w:after="0" w:line="279"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77" w:lineRule="exact"/>
        <w:rPr>
          <w:rFonts w:ascii="Arial" w:cs="Arial" w:eastAsia="Arial" w:hAnsi="Arial"/>
          <w:sz w:val="19"/>
          <w:szCs w:val="19"/>
          <w:color w:val="auto"/>
        </w:rPr>
      </w:pPr>
    </w:p>
    <w:p>
      <w:pPr>
        <w:ind w:left="660" w:right="260" w:hanging="652"/>
        <w:spacing w:after="0" w:line="236"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Previous Agreements</w:t>
      </w:r>
      <w:r>
        <w:rPr>
          <w:rFonts w:ascii="Arial" w:cs="Arial" w:eastAsia="Arial" w:hAnsi="Arial"/>
          <w:sz w:val="22"/>
          <w:szCs w:val="22"/>
          <w:color w:val="auto"/>
        </w:rPr>
        <w:t>. This letter, upon acceptance by you, expressly supersedes any and all previous agreements or understandings relating to your employment by the Corporation or the Manpower Group, except for the letter from the Corporation to you, dated December 16, 2005, regarding your assignment for the Corporation, or the termination of such employment, and any such agreements or understandings shall, as of the date of your acceptance, have no further force or effect.</w:t>
      </w:r>
    </w:p>
    <w:p>
      <w:pPr>
        <w:spacing w:after="0" w:line="201" w:lineRule="exact"/>
        <w:rPr>
          <w:rFonts w:ascii="Arial" w:cs="Arial" w:eastAsia="Arial" w:hAnsi="Arial"/>
          <w:sz w:val="22"/>
          <w:szCs w:val="22"/>
          <w:color w:val="auto"/>
        </w:rPr>
      </w:pPr>
    </w:p>
    <w:p>
      <w:pPr>
        <w:ind w:left="660" w:right="80" w:hanging="652"/>
        <w:spacing w:after="0" w:line="282"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19, the party initiating arbitration shall be denominated the “Claimant” and the other party shall be denominated the “Respondent.”</w:t>
      </w:r>
    </w:p>
    <w:p>
      <w:pPr>
        <w:spacing w:after="0" w:line="161" w:lineRule="exact"/>
        <w:rPr>
          <w:rFonts w:ascii="Arial" w:cs="Arial" w:eastAsia="Arial" w:hAnsi="Arial"/>
          <w:sz w:val="19"/>
          <w:szCs w:val="19"/>
          <w:color w:val="auto"/>
        </w:rPr>
      </w:pPr>
    </w:p>
    <w:p>
      <w:pPr>
        <w:ind w:left="1300" w:hanging="644"/>
        <w:spacing w:after="0" w:line="271" w:lineRule="auto"/>
        <w:tabs>
          <w:tab w:leader="none" w:pos="13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 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1300" w:right="40" w:hanging="644"/>
        <w:spacing w:after="0" w:line="271" w:lineRule="auto"/>
        <w:tabs>
          <w:tab w:leader="none" w:pos="13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 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78" w:lineRule="exact"/>
        <w:rPr>
          <w:rFonts w:ascii="Arial" w:cs="Arial" w:eastAsia="Arial" w:hAnsi="Arial"/>
          <w:sz w:val="19"/>
          <w:szCs w:val="19"/>
          <w:color w:val="auto"/>
        </w:rPr>
      </w:pPr>
    </w:p>
    <w:p>
      <w:pPr>
        <w:ind w:left="660" w:right="20" w:hanging="652"/>
        <w:spacing w:after="0" w:line="328"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132" w:lineRule="exact"/>
        <w:rPr>
          <w:sz w:val="20"/>
          <w:szCs w:val="20"/>
          <w:color w:val="auto"/>
        </w:rPr>
      </w:pPr>
    </w:p>
    <w:p>
      <w:pPr>
        <w:ind w:right="960" w:firstLine="648"/>
        <w:spacing w:after="0" w:line="251" w:lineRule="auto"/>
        <w:rPr>
          <w:sz w:val="20"/>
          <w:szCs w:val="20"/>
          <w:color w:val="auto"/>
        </w:rPr>
      </w:pPr>
      <w:r>
        <w:rPr>
          <w:rFonts w:ascii="Arial" w:cs="Arial" w:eastAsia="Arial" w:hAnsi="Arial"/>
          <w:sz w:val="22"/>
          <w:szCs w:val="22"/>
          <w:color w:val="auto"/>
        </w:rPr>
        <w:t>If you are in agreement with the foregoing, please sign and return one copy of this letter which will constitute our agreement with respect to the subject matter of this letter.</w:t>
      </w:r>
    </w:p>
    <w:p>
      <w:pPr>
        <w:sectPr>
          <w:pgSz w:w="11900" w:h="16838" w:orient="portrait"/>
          <w:cols w:equalWidth="0" w:num="1">
            <w:col w:w="11420"/>
          </w:cols>
          <w:pgMar w:left="240" w:top="118" w:right="239" w:bottom="0" w:gutter="0" w:footer="0" w:header="0"/>
        </w:sectPr>
      </w:pPr>
    </w:p>
    <w:bookmarkStart w:id="23" w:name="page24"/>
    <w:bookmarkEnd w:id="23"/>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2196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6465" cy="8890"/>
                    </a:xfrm>
                    <a:prstGeom prst="rect">
                      <a:avLst/>
                    </a:prstGeom>
                    <a:noFill/>
                  </pic:spPr>
                </pic:pic>
              </a:graphicData>
            </a:graphic>
          </wp:anchor>
        </w:drawing>
      </w:r>
    </w:p>
    <w:p>
      <w:pPr>
        <w:jc w:val="right"/>
        <w:ind w:right="3199"/>
        <w:spacing w:after="0" w:line="238" w:lineRule="auto"/>
        <w:rPr>
          <w:sz w:val="20"/>
          <w:szCs w:val="20"/>
          <w:color w:val="auto"/>
        </w:rPr>
      </w:pPr>
      <w:r>
        <w:rPr>
          <w:rFonts w:ascii="Arial" w:cs="Arial" w:eastAsia="Arial" w:hAnsi="Arial"/>
          <w:sz w:val="22"/>
          <w:szCs w:val="22"/>
          <w:color w:val="auto"/>
        </w:rPr>
        <w:t>Jeffrey A. Joerres, President and</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11th day of May, 2006.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30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01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Jonas Prising</w:t>
      </w:r>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3"/>
    </w:lvl>
  </w:abstractNum>
  <w:abstractNum w:abstractNumId="2">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628C895D"/>
    <w:multiLevelType w:val="hybridMultilevel"/>
    <w:lvl w:ilvl="0">
      <w:lvlJc w:val="left"/>
      <w:lvlText w:val="(%1)"/>
      <w:numFmt w:val="lowerRoman"/>
      <w:start w:val="3"/>
    </w:lvl>
  </w:abstractNum>
  <w:abstractNum w:abstractNumId="5">
    <w:nsid w:val="333AB105"/>
    <w:multiLevelType w:val="hybridMultilevel"/>
    <w:lvl w:ilvl="0">
      <w:lvlJc w:val="left"/>
      <w:lvlText w:val="(%1)"/>
      <w:numFmt w:val="lowerLetter"/>
      <w:start w:val="4"/>
    </w:lvl>
    <w:lvl w:ilvl="1">
      <w:lvlJc w:val="left"/>
      <w:lvlText w:val="(%2)"/>
      <w:numFmt w:val="lowerRoman"/>
      <w:start w:val="1"/>
    </w:lvl>
  </w:abstractNum>
  <w:abstractNum w:abstractNumId="6">
    <w:nsid w:val="721DA317"/>
    <w:multiLevelType w:val="hybridMultilevel"/>
    <w:lvl w:ilvl="0">
      <w:lvlJc w:val="left"/>
      <w:lvlText w:val="(%1)"/>
      <w:numFmt w:val="lowerLetter"/>
      <w:start w:val="5"/>
    </w:lvl>
  </w:abstractNum>
  <w:abstractNum w:abstractNumId="7">
    <w:nsid w:val="2443A85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8">
    <w:nsid w:val="2D1D5A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
    <w:nsid w:val="75A2A8D4"/>
    <w:multiLevelType w:val="hybridMultilevel"/>
    <w:lvl w:ilvl="0">
      <w:lvlJc w:val="left"/>
      <w:lvlText w:val="%1"/>
      <w:numFmt w:val="lowerRoman"/>
      <w:start w:val="1"/>
    </w:lvl>
    <w:lvl w:ilvl="1">
      <w:lvlJc w:val="left"/>
      <w:lvlText w:val="(%2)"/>
      <w:numFmt w:val="upperLetter"/>
      <w:start w:val="4"/>
    </w:lvl>
  </w:abstractNum>
  <w:abstractNum w:abstractNumId="11">
    <w:nsid w:val="8EDBDAB"/>
    <w:multiLevelType w:val="hybridMultilevel"/>
    <w:lvl w:ilvl="0">
      <w:lvlJc w:val="left"/>
      <w:lvlText w:val="(%1)"/>
      <w:numFmt w:val="lowerRoman"/>
      <w:start w:val="2"/>
    </w:lvl>
    <w:lvl w:ilvl="1">
      <w:lvlJc w:val="left"/>
      <w:lvlText w:val="(%2)"/>
      <w:numFmt w:val="upperLetter"/>
      <w:start w:val="1"/>
    </w:lvl>
  </w:abstractNum>
  <w:abstractNum w:abstractNumId="12">
    <w:nsid w:val="79838CB2"/>
    <w:multiLevelType w:val="hybridMultilevel"/>
    <w:lvl w:ilvl="0">
      <w:lvlJc w:val="left"/>
      <w:lvlText w:val="(%1)"/>
      <w:numFmt w:val="upperLetter"/>
      <w:start w:val="4"/>
    </w:lvl>
  </w:abstractNum>
  <w:abstractNum w:abstractNumId="13">
    <w:nsid w:val="4353D0CD"/>
    <w:multiLevelType w:val="hybridMultilevel"/>
    <w:lvl w:ilvl="0">
      <w:lvlJc w:val="left"/>
      <w:lvlText w:val="(%1)"/>
      <w:numFmt w:val="lowerLetter"/>
      <w:start w:val="4"/>
    </w:lvl>
  </w:abstractNum>
  <w:abstractNum w:abstractNumId="14">
    <w:nsid w:val="B03E0C6"/>
    <w:multiLevelType w:val="hybridMultilevel"/>
    <w:lvl w:ilvl="0">
      <w:lvlJc w:val="left"/>
      <w:lvlText w:val="%1"/>
      <w:numFmt w:val="decimal"/>
      <w:start w:val="1"/>
    </w:lvl>
    <w:lvl w:ilvl="1">
      <w:lvlJc w:val="left"/>
      <w:lvlText w:val="(%2)"/>
      <w:numFmt w:val="lowerLetter"/>
      <w:start w:val="5"/>
    </w:lvl>
  </w:abstractNum>
  <w:abstractNum w:abstractNumId="15">
    <w:nsid w:val="189A769B"/>
    <w:multiLevelType w:val="hybridMultilevel"/>
    <w:lvl w:ilvl="0">
      <w:lvlJc w:val="left"/>
      <w:lvlText w:val="%1."/>
      <w:numFmt w:val="decimal"/>
      <w:start w:val="3"/>
    </w:lvl>
    <w:lvl w:ilvl="1">
      <w:lvlJc w:val="left"/>
      <w:lvlText w:val="(%2)"/>
      <w:numFmt w:val="lowerLetter"/>
      <w:start w:val="1"/>
    </w:lvl>
  </w:abstractNum>
  <w:abstractNum w:abstractNumId="16">
    <w:nsid w:val="54E49EB4"/>
    <w:multiLevelType w:val="hybridMultilevel"/>
    <w:lvl w:ilvl="0">
      <w:lvlJc w:val="left"/>
      <w:lvlText w:val="%1"/>
      <w:numFmt w:val="decimal"/>
      <w:start w:val="1"/>
    </w:lvl>
    <w:lvl w:ilvl="1">
      <w:lvlJc w:val="left"/>
      <w:lvlText w:val="(%2)"/>
      <w:numFmt w:val="lowerLetter"/>
      <w:start w:val="1"/>
    </w:lvl>
  </w:abstractNum>
  <w:abstractNum w:abstractNumId="17">
    <w:nsid w:val="71F32454"/>
    <w:multiLevelType w:val="hybridMultilevel"/>
    <w:lvl w:ilvl="0">
      <w:lvlJc w:val="left"/>
      <w:lvlText w:val="%1."/>
      <w:numFmt w:val="decimal"/>
      <w:start w:val="6"/>
    </w:lvl>
    <w:lvl w:ilvl="1">
      <w:lvlJc w:val="left"/>
      <w:lvlText w:val="(%2)"/>
      <w:numFmt w:val="lowerLetter"/>
      <w:start w:val="1"/>
    </w:lvl>
  </w:abstractNum>
  <w:abstractNum w:abstractNumId="18">
    <w:nsid w:val="2CA88611"/>
    <w:multiLevelType w:val="hybridMultilevel"/>
    <w:lvl w:ilvl="0">
      <w:lvlJc w:val="left"/>
      <w:lvlText w:val="%1."/>
      <w:numFmt w:val="decimal"/>
      <w:start w:val="13"/>
    </w:lvl>
    <w:lvl w:ilvl="1">
      <w:lvlJc w:val="left"/>
      <w:lvlText w:val="(%2)"/>
      <w:numFmt w:val="lowerLetter"/>
      <w:start w:val="1"/>
    </w:lvl>
  </w:abstractNum>
  <w:abstractNum w:abstractNumId="19">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3A95F874"/>
    <w:multiLevelType w:val="hybridMultilevel"/>
    <w:lvl w:ilvl="0">
      <w:lvlJc w:val="left"/>
      <w:lvlText w:val="(%1)"/>
      <w:numFmt w:val="lowerRoman"/>
      <w:start w:val="4"/>
    </w:lvl>
  </w:abstractNum>
  <w:abstractNum w:abstractNumId="22">
    <w:nsid w:val="8138641"/>
    <w:multiLevelType w:val="hybridMultilevel"/>
    <w:lvl w:ilvl="0">
      <w:lvlJc w:val="left"/>
      <w:lvlText w:val="(%1)"/>
      <w:numFmt w:val="lowerLetter"/>
      <w:start w:val="4"/>
    </w:lvl>
    <w:lvl w:ilvl="1">
      <w:lvlJc w:val="left"/>
      <w:lvlText w:val="(%2)"/>
      <w:numFmt w:val="lowerRoman"/>
      <w:start w:val="1"/>
    </w:lvl>
  </w:abstractNum>
  <w:abstractNum w:abstractNumId="23">
    <w:nsid w:val="1E7FF521"/>
    <w:multiLevelType w:val="hybridMultilevel"/>
    <w:lvl w:ilvl="0">
      <w:lvlJc w:val="left"/>
      <w:lvlText w:val="(%1)"/>
      <w:numFmt w:val="lowerLetter"/>
      <w:start w:val="5"/>
    </w:lvl>
  </w:abstractNum>
  <w:abstractNum w:abstractNumId="24">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
    <w:nsid w:val="737B8DD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26">
    <w:nsid w:val="6CEAF0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
    <w:nsid w:val="4516DDE9"/>
    <w:multiLevelType w:val="hybridMultilevel"/>
    <w:lvl w:ilvl="0">
      <w:lvlJc w:val="left"/>
      <w:lvlText w:val="%1"/>
      <w:numFmt w:val="lowerRoman"/>
      <w:start w:val="1"/>
    </w:lvl>
    <w:lvl w:ilvl="1">
      <w:lvlJc w:val="left"/>
      <w:lvlText w:val="(%2)"/>
      <w:numFmt w:val="upperLetter"/>
      <w:start w:val="4"/>
    </w:lvl>
  </w:abstractNum>
  <w:abstractNum w:abstractNumId="29">
    <w:nsid w:val="3006C83E"/>
    <w:multiLevelType w:val="hybridMultilevel"/>
    <w:lvl w:ilvl="0">
      <w:lvlJc w:val="left"/>
      <w:lvlText w:val="(%1)"/>
      <w:numFmt w:val="lowerRoman"/>
      <w:start w:val="2"/>
    </w:lvl>
    <w:lvl w:ilvl="1">
      <w:lvlJc w:val="left"/>
      <w:lvlText w:val="(%2)"/>
      <w:numFmt w:val="upperLetter"/>
      <w:start w:val="1"/>
    </w:lvl>
  </w:abstractNum>
  <w:abstractNum w:abstractNumId="30">
    <w:nsid w:val="614FD4A1"/>
    <w:multiLevelType w:val="hybridMultilevel"/>
    <w:lvl w:ilvl="0">
      <w:lvlJc w:val="left"/>
      <w:lvlText w:val="(%1)"/>
      <w:numFmt w:val="upperLetter"/>
      <w:start w:val="5"/>
    </w:lvl>
  </w:abstractNum>
  <w:abstractNum w:abstractNumId="31">
    <w:nsid w:val="419AC241"/>
    <w:multiLevelType w:val="hybridMultilevel"/>
    <w:lvl w:ilvl="0">
      <w:lvlJc w:val="left"/>
      <w:lvlText w:val="(%1)"/>
      <w:numFmt w:val="lowerLetter"/>
      <w:start w:val="4"/>
    </w:lvl>
  </w:abstractNum>
  <w:abstractNum w:abstractNumId="32">
    <w:nsid w:val="5577F8E1"/>
    <w:multiLevelType w:val="hybridMultilevel"/>
    <w:lvl w:ilvl="0">
      <w:lvlJc w:val="left"/>
      <w:lvlText w:val="%1"/>
      <w:numFmt w:val="decimal"/>
      <w:start w:val="1"/>
    </w:lvl>
    <w:lvl w:ilvl="1">
      <w:lvlJc w:val="left"/>
      <w:lvlText w:val="(%2)"/>
      <w:numFmt w:val="lowerLetter"/>
      <w:start w:val="5"/>
    </w:lvl>
  </w:abstractNum>
  <w:abstractNum w:abstractNumId="33">
    <w:nsid w:val="440BADFC"/>
    <w:multiLevelType w:val="hybridMultilevel"/>
    <w:lvl w:ilvl="0">
      <w:lvlJc w:val="left"/>
      <w:lvlText w:val="%1."/>
      <w:numFmt w:val="decimal"/>
      <w:start w:val="3"/>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2"/>
    </w:lvl>
  </w:abstractNum>
  <w:abstractNum w:abstractNumId="35">
    <w:nsid w:val="3804823E"/>
    <w:multiLevelType w:val="hybridMultilevel"/>
    <w:lvl w:ilvl="0">
      <w:lvlJc w:val="left"/>
      <w:lvlText w:val="%1."/>
      <w:numFmt w:val="decimal"/>
      <w:start w:val="6"/>
    </w:lvl>
    <w:lvl w:ilvl="1">
      <w:lvlJc w:val="left"/>
      <w:lvlText w:val="(%2)"/>
      <w:numFmt w:val="lowerLetter"/>
      <w:start w:val="1"/>
    </w:lvl>
  </w:abstractNum>
  <w:abstractNum w:abstractNumId="36">
    <w:nsid w:val="77465F01"/>
    <w:multiLevelType w:val="hybridMultilevel"/>
    <w:lvl w:ilvl="0">
      <w:lvlJc w:val="left"/>
      <w:lvlText w:val="%1."/>
      <w:numFmt w:val="decimal"/>
      <w:start w:val="1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2019-12-19T23:39:42Z</dcterms:created>
  <dcterms:modified xsi:type="dcterms:W3CDTF">2019-12-19T23:39:42Z</dcterms:modified>
</cp:coreProperties>
</file>