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SWAN MARA 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7,186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11,768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02/14/2020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2,339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9,429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acquired in settlement of performance share units granted in 2017 (which were not derivative securities received under the Company's 2011 Equity Incentive Plan, exempt under Rule 16b-3).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by the Issuer to satisfy the tax withholding obligations on shares acquired on February 13, 2020 in settlement of performance share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14,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2020-02-18T15:33:28Z</dcterms:created>
  <dcterms:modified xsi:type="dcterms:W3CDTF">2020-02-18T15:33:28Z</dcterms:modified>
</cp:coreProperties>
</file>