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3</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7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ind w:left="580"/>
              <w:spacing w:after="0"/>
              <w:rPr>
                <w:sz w:val="20"/>
                <w:szCs w:val="20"/>
                <w:color w:val="auto"/>
              </w:rPr>
            </w:pPr>
            <w:r>
              <w:rPr>
                <w:rFonts w:ascii="Arial" w:cs="Arial" w:eastAsia="Arial" w:hAnsi="Arial"/>
                <w:sz w:val="24"/>
                <w:szCs w:val="24"/>
                <w:b w:val="1"/>
                <w:bCs w:val="1"/>
                <w:color w:val="auto"/>
              </w:rPr>
              <w:t>FORM 3</w:t>
            </w:r>
          </w:p>
        </w:tc>
        <w:tc>
          <w:tcPr>
            <w:tcW w:w="7580" w:type="dxa"/>
            <w:vAlign w:val="bottom"/>
            <w:gridSpan w:val="7"/>
          </w:tcPr>
          <w:p>
            <w:pPr>
              <w:jc w:val="center"/>
              <w:ind w:left="39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20" w:type="dxa"/>
            <w:vAlign w:val="bottom"/>
            <w:gridSpan w:val="4"/>
            <w:vMerge w:val="restart"/>
          </w:tcPr>
          <w:p>
            <w:pPr>
              <w:jc w:val="center"/>
              <w:ind w:right="2560"/>
              <w:spacing w:after="0" w:line="143"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52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3"/>
            <w:vMerge w:val="restart"/>
          </w:tcPr>
          <w:p>
            <w:pPr>
              <w:ind w:left="38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500" w:type="dxa"/>
            <w:vAlign w:val="bottom"/>
            <w:gridSpan w:val="6"/>
            <w:vMerge w:val="restart"/>
          </w:tcPr>
          <w:p>
            <w:pPr>
              <w:jc w:val="center"/>
              <w:ind w:right="580"/>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32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500" w:type="dxa"/>
            <w:vAlign w:val="bottom"/>
            <w:gridSpan w:val="6"/>
            <w:vMerge w:val="continue"/>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2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520" w:type="dxa"/>
            <w:vAlign w:val="bottom"/>
            <w:gridSpan w:val="4"/>
            <w:vMerge w:val="restart"/>
          </w:tcPr>
          <w:p>
            <w:pPr>
              <w:jc w:val="center"/>
              <w:ind w:right="2560"/>
              <w:spacing w:after="0"/>
              <w:rPr>
                <w:sz w:val="20"/>
                <w:szCs w:val="20"/>
                <w:color w:val="auto"/>
              </w:rPr>
            </w:pPr>
            <w:r>
              <w:rPr>
                <w:rFonts w:ascii="Arial" w:cs="Arial" w:eastAsia="Arial" w:hAnsi="Arial"/>
                <w:sz w:val="22"/>
                <w:szCs w:val="22"/>
                <w:b w:val="1"/>
                <w:bCs w:val="1"/>
                <w:color w:val="auto"/>
                <w:w w:val="96"/>
              </w:rPr>
              <w:t>SECURITIES</w:t>
            </w:r>
          </w:p>
        </w:tc>
        <w:tc>
          <w:tcPr>
            <w:tcW w:w="40" w:type="dxa"/>
            <w:vAlign w:val="bottom"/>
          </w:tcPr>
          <w:p>
            <w:pPr>
              <w:spacing w:after="0"/>
              <w:rPr>
                <w:sz w:val="16"/>
                <w:szCs w:val="16"/>
                <w:color w:val="auto"/>
              </w:rPr>
            </w:pPr>
          </w:p>
        </w:tc>
        <w:tc>
          <w:tcPr>
            <w:tcW w:w="21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52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960" w:type="dxa"/>
            <w:vAlign w:val="bottom"/>
            <w:gridSpan w:val="5"/>
            <w:vMerge w:val="restart"/>
          </w:tcPr>
          <w:p>
            <w:pPr>
              <w:jc w:val="center"/>
              <w:ind w:right="1120"/>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3"/>
                <w:szCs w:val="3"/>
                <w:color w:val="auto"/>
              </w:rPr>
            </w:pPr>
          </w:p>
        </w:tc>
        <w:tc>
          <w:tcPr>
            <w:tcW w:w="132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960" w:type="dxa"/>
            <w:vAlign w:val="bottom"/>
            <w:gridSpan w:val="5"/>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960" w:type="dxa"/>
            <w:vAlign w:val="bottom"/>
            <w:gridSpan w:val="5"/>
            <w:vMerge w:val="continue"/>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960" w:type="dxa"/>
            <w:vAlign w:val="bottom"/>
            <w:gridSpan w:val="5"/>
          </w:tcPr>
          <w:p>
            <w:pPr>
              <w:jc w:val="center"/>
              <w:ind w:right="1120"/>
              <w:spacing w:after="0"/>
              <w:rPr>
                <w:sz w:val="20"/>
                <w:szCs w:val="20"/>
                <w:color w:val="auto"/>
              </w:rPr>
            </w:pPr>
            <w:r>
              <w:rPr>
                <w:rFonts w:ascii="Arial" w:cs="Arial" w:eastAsia="Arial" w:hAnsi="Arial"/>
                <w:sz w:val="14"/>
                <w:szCs w:val="14"/>
                <w:color w:val="auto"/>
                <w:w w:val="96"/>
              </w:rPr>
              <w:t>or Section 30(h) of the Investment Company Act of 1940</w:t>
            </w: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18"/>
                <w:szCs w:val="18"/>
                <w:color w:val="auto"/>
              </w:rPr>
            </w:pPr>
          </w:p>
        </w:tc>
        <w:tc>
          <w:tcPr>
            <w:tcW w:w="5960" w:type="dxa"/>
            <w:vAlign w:val="bottom"/>
            <w:gridSpan w:val="5"/>
          </w:tcPr>
          <w:p>
            <w:pPr>
              <w:ind w:left="160"/>
              <w:spacing w:after="0"/>
              <w:rPr>
                <w:sz w:val="20"/>
                <w:szCs w:val="20"/>
                <w:color w:val="auto"/>
              </w:rPr>
            </w:pPr>
            <w:r>
              <w:rPr>
                <w:rFonts w:ascii="Arial" w:cs="Arial" w:eastAsia="Arial" w:hAnsi="Arial"/>
                <w:sz w:val="14"/>
                <w:szCs w:val="14"/>
                <w:color w:val="auto"/>
              </w:rPr>
              <w:t xml:space="preserve">2. Date of Event Requiring  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60" w:type="dxa"/>
            <w:vAlign w:val="bottom"/>
            <w:vMerge w:val="restart"/>
          </w:tcPr>
          <w:p>
            <w:pPr>
              <w:spacing w:after="0"/>
              <w:rPr>
                <w:rFonts w:ascii="Arial" w:cs="Arial" w:eastAsia="Arial" w:hAnsi="Arial"/>
                <w:sz w:val="22"/>
                <w:szCs w:val="22"/>
                <w:color w:val="0000EE"/>
                <w:w w:val="91"/>
              </w:rPr>
            </w:pPr>
            <w:hyperlink r:id="rId8">
              <w:r>
                <w:rPr>
                  <w:rFonts w:ascii="Arial" w:cs="Arial" w:eastAsia="Arial" w:hAnsi="Arial"/>
                  <w:sz w:val="22"/>
                  <w:szCs w:val="22"/>
                  <w:color w:val="0000EE"/>
                  <w:w w:val="91"/>
                </w:rPr>
                <w:t>LEENTJES HANS</w:t>
              </w:r>
            </w:hyperlink>
          </w:p>
        </w:tc>
        <w:tc>
          <w:tcPr>
            <w:tcW w:w="10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40" w:type="dxa"/>
            <w:vAlign w:val="bottom"/>
            <w:vMerge w:val="restart"/>
          </w:tcPr>
          <w:p>
            <w:pPr>
              <w:ind w:left="160"/>
              <w:spacing w:after="0" w:line="135" w:lineRule="exact"/>
              <w:rPr>
                <w:sz w:val="20"/>
                <w:szCs w:val="20"/>
                <w:color w:val="auto"/>
              </w:rPr>
            </w:pPr>
            <w:r>
              <w:rPr>
                <w:rFonts w:ascii="Arial" w:cs="Arial" w:eastAsia="Arial" w:hAnsi="Arial"/>
                <w:sz w:val="14"/>
                <w:szCs w:val="14"/>
                <w:color w:val="auto"/>
              </w:rPr>
              <w:t>Statement</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80" w:type="dxa"/>
            <w:vAlign w:val="bottom"/>
            <w:gridSpan w:val="2"/>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MANPOWER INC /WI/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40" w:type="dxa"/>
            <w:vAlign w:val="bottom"/>
            <w:vMerge w:val="restart"/>
          </w:tcPr>
          <w:p>
            <w:pPr>
              <w:ind w:left="160"/>
              <w:spacing w:after="0" w:line="136" w:lineRule="exact"/>
              <w:rPr>
                <w:sz w:val="20"/>
                <w:szCs w:val="20"/>
                <w:color w:val="auto"/>
              </w:rPr>
            </w:pPr>
            <w:r>
              <w:rPr>
                <w:rFonts w:ascii="Arial" w:cs="Arial" w:eastAsia="Arial" w:hAnsi="Arial"/>
                <w:sz w:val="14"/>
                <w:szCs w:val="14"/>
                <w:color w:val="auto"/>
              </w:rPr>
              <w:t>(Month/Day/Year)</w:t>
            </w: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140" w:type="dxa"/>
            <w:vAlign w:val="bottom"/>
            <w:tcBorders>
              <w:bottom w:val="single" w:sz="8" w:color="0000EE"/>
            </w:tcBorders>
          </w:tcPr>
          <w:p>
            <w:pPr>
              <w:spacing w:after="0"/>
              <w:rPr>
                <w:sz w:val="4"/>
                <w:szCs w:val="4"/>
                <w:color w:val="auto"/>
              </w:rPr>
            </w:pPr>
          </w:p>
        </w:tc>
        <w:tc>
          <w:tcPr>
            <w:tcW w:w="1940" w:type="dxa"/>
            <w:vAlign w:val="bottom"/>
          </w:tcPr>
          <w:p>
            <w:pPr>
              <w:spacing w:after="0"/>
              <w:rPr>
                <w:sz w:val="4"/>
                <w:szCs w:val="4"/>
                <w:color w:val="auto"/>
              </w:rPr>
            </w:pPr>
          </w:p>
        </w:tc>
        <w:tc>
          <w:tcPr>
            <w:tcW w:w="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60" w:type="dxa"/>
            <w:vAlign w:val="bottom"/>
            <w:tcBorders>
              <w:bottom w:val="single" w:sz="8" w:color="0000EE"/>
            </w:tcBorders>
            <w:vMerge w:val="continue"/>
          </w:tcPr>
          <w:p>
            <w:pPr>
              <w:spacing w:after="0"/>
              <w:rPr>
                <w:sz w:val="5"/>
                <w:szCs w:val="5"/>
                <w:color w:val="auto"/>
              </w:rPr>
            </w:pPr>
          </w:p>
        </w:tc>
        <w:tc>
          <w:tcPr>
            <w:tcW w:w="10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66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1440" w:type="dxa"/>
            <w:vAlign w:val="bottom"/>
          </w:tcPr>
          <w:p>
            <w:pPr>
              <w:ind w:left="160"/>
              <w:spacing w:after="0" w:line="170" w:lineRule="exact"/>
              <w:rPr>
                <w:sz w:val="20"/>
                <w:szCs w:val="20"/>
                <w:color w:val="auto"/>
              </w:rPr>
            </w:pPr>
            <w:r>
              <w:rPr>
                <w:rFonts w:ascii="Arial" w:cs="Arial" w:eastAsia="Arial" w:hAnsi="Arial"/>
                <w:sz w:val="18"/>
                <w:szCs w:val="18"/>
                <w:color w:val="0000FF"/>
              </w:rPr>
              <w:t>02/16/2011</w:t>
            </w:r>
          </w:p>
        </w:tc>
        <w:tc>
          <w:tcPr>
            <w:tcW w:w="380" w:type="dxa"/>
            <w:vAlign w:val="bottom"/>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140" w:type="dxa"/>
            <w:vAlign w:val="bottom"/>
            <w:tcBorders>
              <w:bottom w:val="single" w:sz="8" w:color="2C2C2C"/>
            </w:tcBorders>
          </w:tcPr>
          <w:p>
            <w:pPr>
              <w:spacing w:after="0"/>
              <w:rPr>
                <w:sz w:val="19"/>
                <w:szCs w:val="19"/>
                <w:color w:val="auto"/>
              </w:rPr>
            </w:pPr>
          </w:p>
        </w:tc>
        <w:tc>
          <w:tcPr>
            <w:tcW w:w="19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32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-1426845</wp:posOffset>
            </wp:positionV>
            <wp:extent cx="7378700" cy="6105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378700" cy="6105525"/>
                    </a:xfrm>
                    <a:prstGeom prst="rect">
                      <a:avLst/>
                    </a:prstGeom>
                    <a:noFill/>
                  </pic:spPr>
                </pic:pic>
              </a:graphicData>
            </a:graphic>
          </wp:anchor>
        </w:drawing>
      </w:r>
    </w:p>
    <w:p>
      <w:pPr>
        <w:sectPr>
          <w:pgSz w:w="11900" w:h="16838" w:orient="portrait"/>
          <w:cols w:equalWidth="0" w:num="1">
            <w:col w:w="11620"/>
          </w:cols>
          <w:pgMar w:left="140" w:top="125" w:right="139" w:bottom="1440" w:gutter="0" w:footer="0" w:header="0"/>
        </w:sectPr>
      </w:pPr>
    </w:p>
    <w:p>
      <w:pPr>
        <w:spacing w:after="0" w:line="121"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4"/>
                <w:szCs w:val="14"/>
                <w:color w:val="auto"/>
              </w:rPr>
              <w:t>(Last)</w:t>
            </w:r>
          </w:p>
        </w:tc>
        <w:tc>
          <w:tcPr>
            <w:tcW w:w="780" w:type="dxa"/>
            <w:vAlign w:val="bottom"/>
          </w:tcPr>
          <w:p>
            <w:pPr>
              <w:ind w:left="40"/>
              <w:spacing w:after="0"/>
              <w:rPr>
                <w:sz w:val="20"/>
                <w:szCs w:val="20"/>
                <w:color w:val="auto"/>
              </w:rPr>
            </w:pPr>
            <w:r>
              <w:rPr>
                <w:rFonts w:ascii="Arial" w:cs="Arial" w:eastAsia="Arial" w:hAnsi="Arial"/>
                <w:sz w:val="14"/>
                <w:szCs w:val="14"/>
                <w:color w:val="auto"/>
              </w:rPr>
              <w:t>(First)</w:t>
            </w:r>
          </w:p>
        </w:tc>
        <w:tc>
          <w:tcPr>
            <w:tcW w:w="144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0000FF"/>
                <w:w w:val="96"/>
              </w:rPr>
              <w:t>MANPOWER</w:t>
            </w: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DIEMERHOF 16-18</w:t>
            </w:r>
          </w:p>
        </w:tc>
        <w:tc>
          <w:tcPr>
            <w:tcW w:w="144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0000FF"/>
              </w:rPr>
              <w:t>XN DIEMEN</w:t>
            </w:r>
          </w:p>
        </w:tc>
        <w:tc>
          <w:tcPr>
            <w:tcW w:w="780" w:type="dxa"/>
            <w:vAlign w:val="bottom"/>
          </w:tcPr>
          <w:p>
            <w:pPr>
              <w:ind w:left="40"/>
              <w:spacing w:after="0"/>
              <w:rPr>
                <w:sz w:val="20"/>
                <w:szCs w:val="20"/>
                <w:color w:val="auto"/>
              </w:rPr>
            </w:pPr>
            <w:r>
              <w:rPr>
                <w:rFonts w:ascii="Arial" w:cs="Arial" w:eastAsia="Arial" w:hAnsi="Arial"/>
                <w:sz w:val="18"/>
                <w:szCs w:val="18"/>
                <w:color w:val="0000FF"/>
              </w:rPr>
              <w:t>P7</w:t>
            </w:r>
          </w:p>
        </w:tc>
        <w:tc>
          <w:tcPr>
            <w:tcW w:w="1440" w:type="dxa"/>
            <w:vAlign w:val="bottom"/>
          </w:tcPr>
          <w:p>
            <w:pPr>
              <w:ind w:left="360"/>
              <w:spacing w:after="0"/>
              <w:rPr>
                <w:sz w:val="20"/>
                <w:szCs w:val="20"/>
                <w:color w:val="auto"/>
              </w:rPr>
            </w:pPr>
            <w:r>
              <w:rPr>
                <w:rFonts w:ascii="Arial" w:cs="Arial" w:eastAsia="Arial" w:hAnsi="Arial"/>
                <w:sz w:val="18"/>
                <w:szCs w:val="18"/>
                <w:color w:val="0000FF"/>
              </w:rPr>
              <w:t>1112</w:t>
            </w:r>
          </w:p>
        </w:tc>
      </w:tr>
    </w:tbl>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1" w:right="220" w:firstLine="1"/>
        <w:spacing w:after="0" w:line="231" w:lineRule="auto"/>
        <w:tabs>
          <w:tab w:leader="none" w:pos="15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199"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4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79"/>
        <w:spacing w:after="0"/>
        <w:rPr>
          <w:sz w:val="20"/>
          <w:szCs w:val="20"/>
          <w:color w:val="auto"/>
        </w:rPr>
      </w:pPr>
      <w:r>
        <w:rPr>
          <w:rFonts w:ascii="Arial" w:cs="Arial" w:eastAsia="Arial" w:hAnsi="Arial"/>
          <w:sz w:val="18"/>
          <w:szCs w:val="18"/>
          <w:color w:val="0000FF"/>
        </w:rPr>
        <w:t>EVP/Northern Europe</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9" w:right="540" w:hanging="9"/>
        <w:spacing w:after="0" w:line="231" w:lineRule="auto"/>
        <w:tabs>
          <w:tab w:leader="none" w:pos="159"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9" w:right="420" w:hanging="9"/>
        <w:spacing w:after="0" w:line="231" w:lineRule="auto"/>
        <w:tabs>
          <w:tab w:leader="none" w:pos="159"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0"/>
          <w:szCs w:val="20"/>
          <w:color w:val="auto"/>
        </w:rPr>
      </w:pPr>
    </w:p>
    <w:p>
      <w:pPr>
        <w:ind w:left="489" w:hanging="316"/>
        <w:spacing w:after="0"/>
        <w:tabs>
          <w:tab w:leader="none" w:pos="489"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9" w:right="66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0"/>
          <w:szCs w:val="20"/>
          <w:color w:val="auto"/>
        </w:rPr>
      </w:pPr>
    </w:p>
    <w:p>
      <w:pPr>
        <w:sectPr>
          <w:pgSz w:w="11900" w:h="16838" w:orient="portrait"/>
          <w:cols w:equalWidth="0" w:num="3">
            <w:col w:w="4561" w:space="720"/>
            <w:col w:w="3059" w:space="411"/>
            <w:col w:w="2869"/>
          </w:cols>
          <w:pgMar w:left="140" w:top="125" w:right="139" w:bottom="1440" w:gutter="0" w:footer="0" w:header="0"/>
          <w:type w:val="continuous"/>
        </w:sectPr>
      </w:pPr>
    </w:p>
    <w:p>
      <w:pPr>
        <w:spacing w:after="0" w:line="71" w:lineRule="exact"/>
        <w:rPr>
          <w:sz w:val="20"/>
          <w:szCs w:val="20"/>
          <w:color w:val="auto"/>
        </w:rPr>
      </w:pPr>
    </w:p>
    <w:p>
      <w:pPr>
        <w:ind w:left="120"/>
        <w:spacing w:after="0"/>
        <w:tabs>
          <w:tab w:leader="none" w:pos="1200" w:val="left"/>
          <w:tab w:leader="none" w:pos="23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700" w:type="dxa"/>
            <w:vAlign w:val="bottom"/>
          </w:tcPr>
          <w:p>
            <w:pPr>
              <w:ind w:left="1680"/>
              <w:spacing w:after="0"/>
              <w:rPr>
                <w:sz w:val="20"/>
                <w:szCs w:val="20"/>
                <w:color w:val="auto"/>
              </w:rPr>
            </w:pPr>
            <w:r>
              <w:rPr>
                <w:rFonts w:ascii="Arial" w:cs="Arial" w:eastAsia="Arial" w:hAnsi="Arial"/>
                <w:sz w:val="14"/>
                <w:szCs w:val="14"/>
                <w:b w:val="1"/>
                <w:bCs w:val="1"/>
                <w:color w:val="auto"/>
              </w:rPr>
              <w:t>2. Amount of Securities</w:t>
            </w:r>
          </w:p>
        </w:tc>
        <w:tc>
          <w:tcPr>
            <w:tcW w:w="134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80" w:type="dxa"/>
            <w:vAlign w:val="bottom"/>
          </w:tcPr>
          <w:p>
            <w:pPr>
              <w:ind w:left="14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700" w:type="dxa"/>
            <w:vAlign w:val="bottom"/>
          </w:tcPr>
          <w:p>
            <w:pPr>
              <w:ind w:left="168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4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34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8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34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8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80" w:type="dxa"/>
            <w:vAlign w:val="bottom"/>
            <w:tcBorders>
              <w:bottom w:val="single" w:sz="8" w:color="2C2C2C"/>
            </w:tcBorders>
          </w:tcPr>
          <w:p>
            <w:pPr>
              <w:spacing w:after="0"/>
              <w:rPr>
                <w:sz w:val="5"/>
                <w:szCs w:val="5"/>
                <w:color w:val="auto"/>
              </w:rPr>
            </w:pPr>
          </w:p>
        </w:tc>
        <w:tc>
          <w:tcPr>
            <w:tcW w:w="37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80" w:type="dxa"/>
            <w:vAlign w:val="bottom"/>
            <w:tcBorders>
              <w:top w:val="single" w:sz="8" w:color="808080"/>
            </w:tcBorders>
            <w:shd w:val="clear" w:color="auto" w:fill="2C2C2C"/>
          </w:tcPr>
          <w:p>
            <w:pPr>
              <w:spacing w:after="0" w:line="20" w:lineRule="exact"/>
              <w:rPr>
                <w:sz w:val="1"/>
                <w:szCs w:val="1"/>
                <w:color w:val="auto"/>
              </w:rPr>
            </w:pPr>
          </w:p>
        </w:tc>
        <w:tc>
          <w:tcPr>
            <w:tcW w:w="370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3080" w:type="dxa"/>
            <w:vAlign w:val="bottom"/>
            <w:tcBorders>
              <w:top w:val="single" w:sz="8" w:color="808080"/>
            </w:tcBorders>
            <w:shd w:val="clear" w:color="auto" w:fill="2C2C2C"/>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200" w:type="dxa"/>
            <w:vAlign w:val="bottom"/>
          </w:tcPr>
          <w:p>
            <w:pPr>
              <w:ind w:left="80"/>
              <w:spacing w:after="0"/>
              <w:rPr>
                <w:sz w:val="20"/>
                <w:szCs w:val="20"/>
                <w:color w:val="auto"/>
              </w:rPr>
            </w:pPr>
            <w:r>
              <w:rPr>
                <w:rFonts w:ascii="Arial" w:cs="Arial" w:eastAsia="Arial" w:hAnsi="Arial"/>
                <w:sz w:val="14"/>
                <w:szCs w:val="14"/>
                <w:b w:val="1"/>
                <w:bCs w:val="1"/>
                <w:color w:val="auto"/>
                <w:w w:val="96"/>
              </w:rPr>
              <w:t>3. Title and Amount of Securities</w:t>
            </w:r>
          </w:p>
        </w:tc>
        <w:tc>
          <w:tcPr>
            <w:tcW w:w="6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92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40" w:type="dxa"/>
            <w:vAlign w:val="bottom"/>
          </w:tcPr>
          <w:p>
            <w:pPr>
              <w:ind w:left="6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9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9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6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92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 or</w:t>
            </w: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92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Indirect (I)</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9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(Instr. 5)</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40" w:type="dxa"/>
            <w:vAlign w:val="bottom"/>
          </w:tcPr>
          <w:p>
            <w:pPr>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20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2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640" w:type="dxa"/>
            <w:vAlign w:val="bottom"/>
          </w:tcPr>
          <w:p>
            <w:pPr>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jc w:val="right"/>
              <w:ind w:right="29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02/16/2015</w:t>
            </w:r>
          </w:p>
        </w:tc>
        <w:tc>
          <w:tcPr>
            <w:tcW w:w="2200" w:type="dxa"/>
            <w:vAlign w:val="bottom"/>
            <w:tcBorders>
              <w:bottom w:val="single" w:sz="8" w:color="2C2C2C"/>
            </w:tcBorders>
          </w:tcPr>
          <w:p>
            <w:pPr>
              <w:ind w:left="520"/>
              <w:spacing w:after="0"/>
              <w:rPr>
                <w:sz w:val="20"/>
                <w:szCs w:val="20"/>
                <w:color w:val="auto"/>
              </w:rPr>
            </w:pPr>
            <w:r>
              <w:rPr>
                <w:rFonts w:ascii="Arial" w:cs="Arial" w:eastAsia="Arial" w:hAnsi="Arial"/>
                <w:sz w:val="18"/>
                <w:szCs w:val="18"/>
                <w:color w:val="0000FF"/>
              </w:rPr>
              <w:t>Common Stock</w:t>
            </w:r>
          </w:p>
        </w:tc>
        <w:tc>
          <w:tcPr>
            <w:tcW w:w="640" w:type="dxa"/>
            <w:vAlign w:val="bottom"/>
            <w:tcBorders>
              <w:bottom w:val="single" w:sz="8" w:color="2C2C2C"/>
            </w:tcBorders>
          </w:tcPr>
          <w:p>
            <w:pPr>
              <w:jc w:val="right"/>
              <w:ind w:right="81"/>
              <w:spacing w:after="0"/>
              <w:rPr>
                <w:sz w:val="20"/>
                <w:szCs w:val="20"/>
                <w:color w:val="auto"/>
              </w:rPr>
            </w:pPr>
            <w:r>
              <w:rPr>
                <w:rFonts w:ascii="Arial" w:cs="Arial" w:eastAsia="Arial" w:hAnsi="Arial"/>
                <w:sz w:val="18"/>
                <w:szCs w:val="18"/>
                <w:color w:val="0000FF"/>
              </w:rPr>
              <w:t>1,350</w:t>
            </w:r>
          </w:p>
        </w:tc>
        <w:tc>
          <w:tcPr>
            <w:tcW w:w="880" w:type="dxa"/>
            <w:vAlign w:val="bottom"/>
            <w:tcBorders>
              <w:bottom w:val="single" w:sz="8" w:color="2C2C2C"/>
            </w:tcBorders>
          </w:tcPr>
          <w:p>
            <w:pPr>
              <w:jc w:val="right"/>
              <w:ind w:right="202"/>
              <w:spacing w:after="0"/>
              <w:rPr>
                <w:sz w:val="20"/>
                <w:szCs w:val="20"/>
                <w:color w:val="auto"/>
              </w:rPr>
            </w:pPr>
            <w:r>
              <w:rPr>
                <w:rFonts w:ascii="Arial" w:cs="Arial" w:eastAsia="Arial" w:hAnsi="Arial"/>
                <w:sz w:val="18"/>
                <w:szCs w:val="18"/>
                <w:color w:val="0000FF"/>
              </w:rPr>
              <w:t>0.00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jc w:val="right"/>
              <w:ind w:right="29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02/14/2016</w:t>
            </w:r>
          </w:p>
        </w:tc>
        <w:tc>
          <w:tcPr>
            <w:tcW w:w="2200" w:type="dxa"/>
            <w:vAlign w:val="bottom"/>
            <w:tcBorders>
              <w:bottom w:val="single" w:sz="8" w:color="2C2C2C"/>
            </w:tcBorders>
          </w:tcPr>
          <w:p>
            <w:pPr>
              <w:ind w:left="520"/>
              <w:spacing w:after="0"/>
              <w:rPr>
                <w:sz w:val="20"/>
                <w:szCs w:val="20"/>
                <w:color w:val="auto"/>
              </w:rPr>
            </w:pPr>
            <w:r>
              <w:rPr>
                <w:rFonts w:ascii="Arial" w:cs="Arial" w:eastAsia="Arial" w:hAnsi="Arial"/>
                <w:sz w:val="18"/>
                <w:szCs w:val="18"/>
                <w:color w:val="0000FF"/>
              </w:rPr>
              <w:t>Common Stock</w:t>
            </w:r>
          </w:p>
        </w:tc>
        <w:tc>
          <w:tcPr>
            <w:tcW w:w="640" w:type="dxa"/>
            <w:vAlign w:val="bottom"/>
            <w:tcBorders>
              <w:bottom w:val="single" w:sz="8" w:color="2C2C2C"/>
            </w:tcBorders>
          </w:tcPr>
          <w:p>
            <w:pPr>
              <w:jc w:val="right"/>
              <w:ind w:right="81"/>
              <w:spacing w:after="0"/>
              <w:rPr>
                <w:sz w:val="20"/>
                <w:szCs w:val="20"/>
                <w:color w:val="auto"/>
              </w:rPr>
            </w:pPr>
            <w:r>
              <w:rPr>
                <w:rFonts w:ascii="Arial" w:cs="Arial" w:eastAsia="Arial" w:hAnsi="Arial"/>
                <w:sz w:val="18"/>
                <w:szCs w:val="18"/>
                <w:color w:val="0000FF"/>
              </w:rPr>
              <w:t>5,000</w:t>
            </w:r>
          </w:p>
        </w:tc>
        <w:tc>
          <w:tcPr>
            <w:tcW w:w="880" w:type="dxa"/>
            <w:vAlign w:val="bottom"/>
            <w:tcBorders>
              <w:bottom w:val="single" w:sz="8" w:color="2C2C2C"/>
            </w:tcBorders>
          </w:tcPr>
          <w:p>
            <w:pPr>
              <w:jc w:val="right"/>
              <w:ind w:right="202"/>
              <w:spacing w:after="0"/>
              <w:rPr>
                <w:sz w:val="20"/>
                <w:szCs w:val="20"/>
                <w:color w:val="auto"/>
              </w:rPr>
            </w:pPr>
            <w:r>
              <w:rPr>
                <w:rFonts w:ascii="Arial" w:cs="Arial" w:eastAsia="Arial" w:hAnsi="Arial"/>
                <w:sz w:val="18"/>
                <w:szCs w:val="18"/>
                <w:color w:val="0000FF"/>
              </w:rPr>
              <w:t>0.00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jc w:val="right"/>
              <w:ind w:right="29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02/14/2017</w:t>
            </w:r>
          </w:p>
        </w:tc>
        <w:tc>
          <w:tcPr>
            <w:tcW w:w="2200" w:type="dxa"/>
            <w:vAlign w:val="bottom"/>
            <w:tcBorders>
              <w:bottom w:val="single" w:sz="8" w:color="2C2C2C"/>
            </w:tcBorders>
          </w:tcPr>
          <w:p>
            <w:pPr>
              <w:ind w:left="520"/>
              <w:spacing w:after="0"/>
              <w:rPr>
                <w:sz w:val="20"/>
                <w:szCs w:val="20"/>
                <w:color w:val="auto"/>
              </w:rPr>
            </w:pPr>
            <w:r>
              <w:rPr>
                <w:rFonts w:ascii="Arial" w:cs="Arial" w:eastAsia="Arial" w:hAnsi="Arial"/>
                <w:sz w:val="18"/>
                <w:szCs w:val="18"/>
                <w:color w:val="0000FF"/>
              </w:rPr>
              <w:t>Common Stock</w:t>
            </w:r>
          </w:p>
        </w:tc>
        <w:tc>
          <w:tcPr>
            <w:tcW w:w="640" w:type="dxa"/>
            <w:vAlign w:val="bottom"/>
            <w:tcBorders>
              <w:bottom w:val="single" w:sz="8" w:color="2C2C2C"/>
            </w:tcBorders>
          </w:tcPr>
          <w:p>
            <w:pPr>
              <w:jc w:val="right"/>
              <w:ind w:right="81"/>
              <w:spacing w:after="0"/>
              <w:rPr>
                <w:sz w:val="20"/>
                <w:szCs w:val="20"/>
                <w:color w:val="auto"/>
              </w:rPr>
            </w:pPr>
            <w:r>
              <w:rPr>
                <w:rFonts w:ascii="Arial" w:cs="Arial" w:eastAsia="Arial" w:hAnsi="Arial"/>
                <w:sz w:val="18"/>
                <w:szCs w:val="18"/>
                <w:color w:val="0000FF"/>
              </w:rPr>
              <w:t>6,000</w:t>
            </w:r>
          </w:p>
        </w:tc>
        <w:tc>
          <w:tcPr>
            <w:tcW w:w="880" w:type="dxa"/>
            <w:vAlign w:val="bottom"/>
            <w:tcBorders>
              <w:bottom w:val="single" w:sz="8" w:color="2C2C2C"/>
            </w:tcBorders>
          </w:tcPr>
          <w:p>
            <w:pPr>
              <w:jc w:val="right"/>
              <w:ind w:right="202"/>
              <w:spacing w:after="0"/>
              <w:rPr>
                <w:sz w:val="20"/>
                <w:szCs w:val="20"/>
                <w:color w:val="auto"/>
              </w:rPr>
            </w:pPr>
            <w:r>
              <w:rPr>
                <w:rFonts w:ascii="Arial" w:cs="Arial" w:eastAsia="Arial" w:hAnsi="Arial"/>
                <w:sz w:val="18"/>
                <w:szCs w:val="18"/>
                <w:color w:val="0000FF"/>
              </w:rPr>
              <w:t>0.00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jc w:val="right"/>
              <w:ind w:right="29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02/20/2018</w:t>
            </w:r>
          </w:p>
        </w:tc>
        <w:tc>
          <w:tcPr>
            <w:tcW w:w="2200" w:type="dxa"/>
            <w:vAlign w:val="bottom"/>
            <w:tcBorders>
              <w:bottom w:val="single" w:sz="8" w:color="2C2C2C"/>
            </w:tcBorders>
          </w:tcPr>
          <w:p>
            <w:pPr>
              <w:ind w:left="520"/>
              <w:spacing w:after="0"/>
              <w:rPr>
                <w:sz w:val="20"/>
                <w:szCs w:val="20"/>
                <w:color w:val="auto"/>
              </w:rPr>
            </w:pPr>
            <w:r>
              <w:rPr>
                <w:rFonts w:ascii="Arial" w:cs="Arial" w:eastAsia="Arial" w:hAnsi="Arial"/>
                <w:sz w:val="18"/>
                <w:szCs w:val="18"/>
                <w:color w:val="0000FF"/>
              </w:rPr>
              <w:t>Common Stock</w:t>
            </w:r>
          </w:p>
        </w:tc>
        <w:tc>
          <w:tcPr>
            <w:tcW w:w="640" w:type="dxa"/>
            <w:vAlign w:val="bottom"/>
            <w:tcBorders>
              <w:bottom w:val="single" w:sz="8" w:color="2C2C2C"/>
            </w:tcBorders>
          </w:tcPr>
          <w:p>
            <w:pPr>
              <w:jc w:val="right"/>
              <w:ind w:right="81"/>
              <w:spacing w:after="0"/>
              <w:rPr>
                <w:sz w:val="20"/>
                <w:szCs w:val="20"/>
                <w:color w:val="auto"/>
              </w:rPr>
            </w:pPr>
            <w:r>
              <w:rPr>
                <w:rFonts w:ascii="Arial" w:cs="Arial" w:eastAsia="Arial" w:hAnsi="Arial"/>
                <w:sz w:val="18"/>
                <w:szCs w:val="18"/>
                <w:color w:val="0000FF"/>
              </w:rPr>
              <w:t>6,000</w:t>
            </w:r>
          </w:p>
        </w:tc>
        <w:tc>
          <w:tcPr>
            <w:tcW w:w="880" w:type="dxa"/>
            <w:vAlign w:val="bottom"/>
            <w:tcBorders>
              <w:bottom w:val="single" w:sz="8" w:color="2C2C2C"/>
            </w:tcBorders>
          </w:tcPr>
          <w:p>
            <w:pPr>
              <w:jc w:val="right"/>
              <w:ind w:right="202"/>
              <w:spacing w:after="0"/>
              <w:rPr>
                <w:sz w:val="20"/>
                <w:szCs w:val="20"/>
                <w:color w:val="auto"/>
              </w:rPr>
            </w:pPr>
            <w:r>
              <w:rPr>
                <w:rFonts w:ascii="Arial" w:cs="Arial" w:eastAsia="Arial" w:hAnsi="Arial"/>
                <w:sz w:val="18"/>
                <w:szCs w:val="18"/>
                <w:color w:val="0000FF"/>
              </w:rPr>
              <w:t>0.00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jc w:val="right"/>
              <w:ind w:right="299"/>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02/17/2019</w:t>
            </w:r>
          </w:p>
        </w:tc>
        <w:tc>
          <w:tcPr>
            <w:tcW w:w="2200" w:type="dxa"/>
            <w:vAlign w:val="bottom"/>
            <w:tcBorders>
              <w:bottom w:val="single" w:sz="8" w:color="2C2C2C"/>
            </w:tcBorders>
          </w:tcPr>
          <w:p>
            <w:pPr>
              <w:ind w:left="520"/>
              <w:spacing w:after="0"/>
              <w:rPr>
                <w:sz w:val="20"/>
                <w:szCs w:val="20"/>
                <w:color w:val="auto"/>
              </w:rPr>
            </w:pPr>
            <w:r>
              <w:rPr>
                <w:rFonts w:ascii="Arial" w:cs="Arial" w:eastAsia="Arial" w:hAnsi="Arial"/>
                <w:sz w:val="18"/>
                <w:szCs w:val="18"/>
                <w:color w:val="0000FF"/>
              </w:rPr>
              <w:t>Common Stock</w:t>
            </w:r>
          </w:p>
        </w:tc>
        <w:tc>
          <w:tcPr>
            <w:tcW w:w="640" w:type="dxa"/>
            <w:vAlign w:val="bottom"/>
            <w:tcBorders>
              <w:bottom w:val="single" w:sz="8" w:color="2C2C2C"/>
            </w:tcBorders>
          </w:tcPr>
          <w:p>
            <w:pPr>
              <w:jc w:val="right"/>
              <w:ind w:right="81"/>
              <w:spacing w:after="0"/>
              <w:rPr>
                <w:sz w:val="20"/>
                <w:szCs w:val="20"/>
                <w:color w:val="auto"/>
              </w:rPr>
            </w:pPr>
            <w:r>
              <w:rPr>
                <w:rFonts w:ascii="Arial" w:cs="Arial" w:eastAsia="Arial" w:hAnsi="Arial"/>
                <w:sz w:val="18"/>
                <w:szCs w:val="18"/>
                <w:color w:val="0000FF"/>
              </w:rPr>
              <w:t>9,000</w:t>
            </w:r>
          </w:p>
        </w:tc>
        <w:tc>
          <w:tcPr>
            <w:tcW w:w="880" w:type="dxa"/>
            <w:vAlign w:val="bottom"/>
            <w:tcBorders>
              <w:bottom w:val="single" w:sz="8" w:color="2C2C2C"/>
            </w:tcBorders>
          </w:tcPr>
          <w:p>
            <w:pPr>
              <w:jc w:val="right"/>
              <w:ind w:right="202"/>
              <w:spacing w:after="0"/>
              <w:rPr>
                <w:sz w:val="20"/>
                <w:szCs w:val="20"/>
                <w:color w:val="auto"/>
              </w:rPr>
            </w:pPr>
            <w:r>
              <w:rPr>
                <w:rFonts w:ascii="Arial" w:cs="Arial" w:eastAsia="Arial" w:hAnsi="Arial"/>
                <w:sz w:val="18"/>
                <w:szCs w:val="18"/>
                <w:color w:val="0000FF"/>
              </w:rPr>
              <w:t>0.00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jc w:val="right"/>
              <w:ind w:right="299"/>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02/18/2020</w:t>
            </w:r>
          </w:p>
        </w:tc>
        <w:tc>
          <w:tcPr>
            <w:tcW w:w="2200" w:type="dxa"/>
            <w:vAlign w:val="bottom"/>
            <w:tcBorders>
              <w:bottom w:val="single" w:sz="8" w:color="2C2C2C"/>
            </w:tcBorders>
          </w:tcPr>
          <w:p>
            <w:pPr>
              <w:ind w:left="520"/>
              <w:spacing w:after="0"/>
              <w:rPr>
                <w:sz w:val="20"/>
                <w:szCs w:val="20"/>
                <w:color w:val="auto"/>
              </w:rPr>
            </w:pPr>
            <w:r>
              <w:rPr>
                <w:rFonts w:ascii="Arial" w:cs="Arial" w:eastAsia="Arial" w:hAnsi="Arial"/>
                <w:sz w:val="18"/>
                <w:szCs w:val="18"/>
                <w:color w:val="0000FF"/>
              </w:rPr>
              <w:t>Common Stock</w:t>
            </w:r>
          </w:p>
        </w:tc>
        <w:tc>
          <w:tcPr>
            <w:tcW w:w="640" w:type="dxa"/>
            <w:vAlign w:val="bottom"/>
            <w:tcBorders>
              <w:bottom w:val="single" w:sz="8" w:color="2C2C2C"/>
            </w:tcBorders>
          </w:tcPr>
          <w:p>
            <w:pPr>
              <w:jc w:val="right"/>
              <w:ind w:right="81"/>
              <w:spacing w:after="0"/>
              <w:rPr>
                <w:sz w:val="20"/>
                <w:szCs w:val="20"/>
                <w:color w:val="auto"/>
              </w:rPr>
            </w:pPr>
            <w:r>
              <w:rPr>
                <w:rFonts w:ascii="Arial" w:cs="Arial" w:eastAsia="Arial" w:hAnsi="Arial"/>
                <w:sz w:val="18"/>
                <w:szCs w:val="18"/>
                <w:color w:val="0000FF"/>
              </w:rPr>
              <w:t>7,000</w:t>
            </w:r>
          </w:p>
        </w:tc>
        <w:tc>
          <w:tcPr>
            <w:tcW w:w="880" w:type="dxa"/>
            <w:vAlign w:val="bottom"/>
            <w:tcBorders>
              <w:bottom w:val="single" w:sz="8" w:color="2C2C2C"/>
            </w:tcBorders>
          </w:tcPr>
          <w:p>
            <w:pPr>
              <w:jc w:val="right"/>
              <w:ind w:right="202"/>
              <w:spacing w:after="0"/>
              <w:rPr>
                <w:sz w:val="20"/>
                <w:szCs w:val="20"/>
                <w:color w:val="auto"/>
              </w:rPr>
            </w:pPr>
            <w:r>
              <w:rPr>
                <w:rFonts w:ascii="Arial" w:cs="Arial" w:eastAsia="Arial" w:hAnsi="Arial"/>
                <w:sz w:val="18"/>
                <w:szCs w:val="18"/>
                <w:color w:val="0000FF"/>
              </w:rPr>
              <w:t>0.00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80" w:hanging="139"/>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Stock Option grant under the 2003 Plan.</w:t>
      </w:r>
    </w:p>
    <w:p>
      <w:pPr>
        <w:spacing w:after="0" w:line="41" w:lineRule="exact"/>
        <w:rPr>
          <w:rFonts w:ascii="Arial" w:cs="Arial" w:eastAsia="Arial" w:hAnsi="Arial"/>
          <w:sz w:val="14"/>
          <w:szCs w:val="14"/>
          <w:color w:val="008000"/>
        </w:rPr>
      </w:pPr>
    </w:p>
    <w:p>
      <w:pPr>
        <w:ind w:left="180" w:hanging="139"/>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All shares are currently exercisable.</w:t>
      </w:r>
    </w:p>
    <w:p>
      <w:pPr>
        <w:spacing w:after="0" w:line="41" w:lineRule="exact"/>
        <w:rPr>
          <w:rFonts w:ascii="Arial" w:cs="Arial" w:eastAsia="Arial" w:hAnsi="Arial"/>
          <w:sz w:val="14"/>
          <w:szCs w:val="14"/>
          <w:color w:val="008000"/>
        </w:rPr>
      </w:pPr>
    </w:p>
    <w:p>
      <w:pPr>
        <w:ind w:left="180" w:hanging="139"/>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3,000 shares are currently exercisable, 1,500 become exercisable on 2/20/2011; and 1,500 become exercisable on 2/20/2012.</w:t>
      </w:r>
    </w:p>
    <w:p>
      <w:pPr>
        <w:spacing w:after="0" w:line="41" w:lineRule="exact"/>
        <w:rPr>
          <w:rFonts w:ascii="Arial" w:cs="Arial" w:eastAsia="Arial" w:hAnsi="Arial"/>
          <w:sz w:val="14"/>
          <w:szCs w:val="14"/>
          <w:color w:val="008000"/>
        </w:rPr>
      </w:pPr>
    </w:p>
    <w:p>
      <w:pPr>
        <w:ind w:left="180" w:hanging="139"/>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2,250 shares are currently exercisable; 2,250 become exercisable on 2/17/2011; 2,250 become exercisable on 2/17/2012; and 2,250 become exercisable on 2/17/2013.</w:t>
      </w:r>
    </w:p>
    <w:p>
      <w:pPr>
        <w:spacing w:after="0" w:line="41" w:lineRule="exact"/>
        <w:rPr>
          <w:rFonts w:ascii="Arial" w:cs="Arial" w:eastAsia="Arial" w:hAnsi="Arial"/>
          <w:sz w:val="14"/>
          <w:szCs w:val="14"/>
          <w:color w:val="008000"/>
        </w:rPr>
      </w:pPr>
    </w:p>
    <w:p>
      <w:pPr>
        <w:ind w:left="180" w:hanging="139"/>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1,750 become exercisable on 2/18/2011; 1,750 become exercisable on 2/18/2012; 1,750 become exercisable on 2/18/2013; and 1,750 become exercisable on 2/18/2014.</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980"/>
        <w:spacing w:after="0"/>
        <w:rPr>
          <w:sz w:val="20"/>
          <w:szCs w:val="20"/>
          <w:color w:val="auto"/>
        </w:rPr>
      </w:pPr>
      <w:r>
        <w:rPr>
          <w:rFonts w:ascii="Arial" w:cs="Arial" w:eastAsia="Arial" w:hAnsi="Arial"/>
          <w:sz w:val="18"/>
          <w:szCs w:val="18"/>
          <w:color w:val="0000FF"/>
        </w:rPr>
        <w:t>/s/ Kenneth C. Hunt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-13970</wp:posOffset>
            </wp:positionV>
            <wp:extent cx="13404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ind w:left="6980"/>
        <w:spacing w:after="0"/>
        <w:tabs>
          <w:tab w:leader="none" w:pos="9300" w:val="left"/>
        </w:tabs>
        <w:rPr>
          <w:sz w:val="20"/>
          <w:szCs w:val="20"/>
          <w:color w:val="auto"/>
        </w:rPr>
      </w:pPr>
      <w:r>
        <w:rPr>
          <w:rFonts w:ascii="Arial" w:cs="Arial" w:eastAsia="Arial" w:hAnsi="Arial"/>
          <w:sz w:val="18"/>
          <w:szCs w:val="18"/>
          <w:color w:val="0000FF"/>
        </w:rPr>
        <w:t>to Power of Attorney filed</w:t>
      </w:r>
      <w:r>
        <w:rPr>
          <w:sz w:val="20"/>
          <w:szCs w:val="20"/>
          <w:color w:val="auto"/>
        </w:rPr>
        <w:tab/>
      </w:r>
      <w:r>
        <w:rPr>
          <w:rFonts w:ascii="Arial" w:cs="Arial" w:eastAsia="Arial" w:hAnsi="Arial"/>
          <w:sz w:val="15"/>
          <w:szCs w:val="15"/>
          <w:color w:val="0000FF"/>
        </w:rPr>
        <w:t>02/18/2011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19875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87550" cy="889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427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980"/>
        <w:spacing w:after="0"/>
        <w:tabs>
          <w:tab w:leader="none" w:pos="93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40" w:right="3780" w:firstLine="1"/>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620"/>
          </w:cols>
          <w:pgMar w:left="140" w:top="125"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Executing Forms 3, 4 and 5 and 144</w:t>
      </w:r>
    </w:p>
    <w:p>
      <w:pPr>
        <w:spacing w:after="0" w:line="19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Know all by these present, that the undersigned constitutes and appoints each of Jeffrey A. Joerres, Michael J. Van Handel and Kenneth C. Hunt, signing singly, his true and lawful attorney-in-fact to:</w:t>
      </w:r>
    </w:p>
    <w:p>
      <w:pPr>
        <w:spacing w:after="0" w:line="170" w:lineRule="exact"/>
        <w:rPr>
          <w:sz w:val="20"/>
          <w:szCs w:val="20"/>
          <w:color w:val="auto"/>
        </w:rPr>
      </w:pPr>
    </w:p>
    <w:p>
      <w:pPr>
        <w:ind w:left="1640" w:right="220" w:hanging="749"/>
        <w:spacing w:after="0" w:line="277" w:lineRule="auto"/>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16(a) of the Securities Exchange Act of 1934 and the rules thereunder;</w:t>
      </w:r>
    </w:p>
    <w:p>
      <w:pPr>
        <w:spacing w:after="0" w:line="170" w:lineRule="exact"/>
        <w:rPr>
          <w:rFonts w:ascii="Arial" w:cs="Arial" w:eastAsia="Arial" w:hAnsi="Arial"/>
          <w:sz w:val="18"/>
          <w:szCs w:val="18"/>
          <w:color w:val="auto"/>
        </w:rPr>
      </w:pPr>
    </w:p>
    <w:p>
      <w:pPr>
        <w:ind w:left="1640" w:hanging="749"/>
        <w:spacing w:after="0"/>
        <w:tabs>
          <w:tab w:leader="none" w:pos="1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execute for and on behalf of the undersigned notices on Form 144 in accordance with Rule 144 under the Securities Act of 1933;</w:t>
      </w:r>
    </w:p>
    <w:p>
      <w:pPr>
        <w:spacing w:after="0" w:line="236" w:lineRule="exact"/>
        <w:rPr>
          <w:rFonts w:ascii="Arial" w:cs="Arial" w:eastAsia="Arial" w:hAnsi="Arial"/>
          <w:sz w:val="17"/>
          <w:szCs w:val="17"/>
          <w:color w:val="auto"/>
        </w:rPr>
      </w:pPr>
    </w:p>
    <w:p>
      <w:pPr>
        <w:jc w:val="both"/>
        <w:ind w:left="1640" w:right="260" w:hanging="749"/>
        <w:spacing w:after="0" w:line="264" w:lineRule="auto"/>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1" w:lineRule="exact"/>
        <w:rPr>
          <w:rFonts w:ascii="Arial" w:cs="Arial" w:eastAsia="Arial" w:hAnsi="Arial"/>
          <w:sz w:val="18"/>
          <w:szCs w:val="18"/>
          <w:color w:val="auto"/>
        </w:rPr>
      </w:pPr>
    </w:p>
    <w:p>
      <w:pPr>
        <w:ind w:left="1640" w:right="240" w:hanging="749"/>
        <w:spacing w:after="0" w:line="259" w:lineRule="auto"/>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19th day of January, 2011.</w:t>
      </w:r>
    </w:p>
    <w:p>
      <w:pPr>
        <w:spacing w:after="0" w:line="200" w:lineRule="exact"/>
        <w:rPr>
          <w:sz w:val="20"/>
          <w:szCs w:val="20"/>
          <w:color w:val="auto"/>
        </w:rPr>
      </w:pP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Hans Leentjes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-10160</wp:posOffset>
            </wp:positionV>
            <wp:extent cx="1587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5875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Hans Leentjes</w:t>
      </w:r>
    </w:p>
    <w:sectPr>
      <w:pgSz w:w="11900" w:h="16838" w:orient="portrait"/>
      <w:cols w:equalWidth="0" w:num="1">
        <w:col w:w="11620"/>
      </w:cols>
      <w:pgMar w:left="140" w:top="111"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8" Type="http://schemas.openxmlformats.org/officeDocument/2006/relationships/hyperlink" Target="http://www.sec.gov/cgi-bin/browse-edgar?action=getcompany&amp;CIK=0001510680" TargetMode="External"/><Relationship Id="rId9"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2019-12-18T01:24:39Z</dcterms:created>
  <dcterms:modified xsi:type="dcterms:W3CDTF">2019-12-18T01:24:39Z</dcterms:modified>
</cp:coreProperties>
</file>