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January 30, 2013</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Borders>
              <w:bottom w:val="single" w:sz="8" w:color="auto"/>
            </w:tcBorders>
          </w:tcPr>
          <w:p>
            <w:pPr>
              <w:jc w:val="right"/>
              <w:ind w:right="1241"/>
              <w:spacing w:after="0"/>
              <w:rPr>
                <w:sz w:val="20"/>
                <w:szCs w:val="20"/>
                <w:color w:val="auto"/>
              </w:rPr>
            </w:pPr>
            <w:r>
              <w:rPr>
                <w:rFonts w:ascii="Arial" w:cs="Arial" w:eastAsia="Arial" w:hAnsi="Arial"/>
                <w:sz w:val="16"/>
                <w:szCs w:val="16"/>
                <w:b w:val="1"/>
                <w:bCs w:val="1"/>
                <w:color w:val="auto"/>
              </w:rPr>
              <w:t>1-10686</w:t>
            </w:r>
          </w:p>
        </w:tc>
        <w:tc>
          <w:tcPr>
            <w:tcW w:w="3680" w:type="dxa"/>
            <w:vAlign w:val="bottom"/>
            <w:tcBorders>
              <w:bottom w:val="single" w:sz="8" w:color="auto"/>
            </w:tcBorders>
          </w:tcPr>
          <w:p>
            <w:pPr>
              <w:jc w:val="right"/>
              <w:ind w:right="1401"/>
              <w:spacing w:after="0"/>
              <w:rPr>
                <w:sz w:val="20"/>
                <w:szCs w:val="20"/>
                <w:color w:val="auto"/>
              </w:rPr>
            </w:pPr>
            <w:r>
              <w:rPr>
                <w:rFonts w:ascii="Arial" w:cs="Arial" w:eastAsia="Arial" w:hAnsi="Arial"/>
                <w:sz w:val="16"/>
                <w:szCs w:val="16"/>
                <w:b w:val="1"/>
                <w:bCs w:val="1"/>
                <w:color w:val="auto"/>
              </w:rPr>
              <w:t>39-1672779</w:t>
            </w:r>
          </w:p>
        </w:tc>
      </w:tr>
      <w:tr>
        <w:trPr>
          <w:trHeight w:val="204"/>
        </w:trPr>
        <w:tc>
          <w:tcPr>
            <w:tcW w:w="480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(State or other jurisdiction of incorporation)</w:t>
            </w:r>
          </w:p>
        </w:tc>
        <w:tc>
          <w:tcPr>
            <w:tcW w:w="2960" w:type="dxa"/>
            <w:vAlign w:val="bottom"/>
          </w:tcPr>
          <w:p>
            <w:pPr>
              <w:jc w:val="center"/>
              <w:ind w:right="141"/>
              <w:spacing w:after="0"/>
              <w:rPr>
                <w:sz w:val="20"/>
                <w:szCs w:val="20"/>
                <w:color w:val="auto"/>
              </w:rPr>
            </w:pPr>
            <w:r>
              <w:rPr>
                <w:rFonts w:ascii="Arial" w:cs="Arial" w:eastAsia="Arial" w:hAnsi="Arial"/>
                <w:sz w:val="16"/>
                <w:szCs w:val="16"/>
                <w:b w:val="1"/>
                <w:bCs w:val="1"/>
                <w:color w:val="auto"/>
                <w:w w:val="89"/>
              </w:rPr>
              <w:t>(Commission File Number)</w:t>
            </w:r>
          </w:p>
        </w:tc>
        <w:tc>
          <w:tcPr>
            <w:tcW w:w="368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82"/>
        </w:trPr>
        <w:tc>
          <w:tcPr>
            <w:tcW w:w="4800" w:type="dxa"/>
            <w:vAlign w:val="bottom"/>
          </w:tcPr>
          <w:p>
            <w:pPr>
              <w:jc w:val="center"/>
              <w:ind w:left="1241"/>
              <w:spacing w:after="0"/>
              <w:rPr>
                <w:sz w:val="20"/>
                <w:szCs w:val="20"/>
                <w:color w:val="auto"/>
              </w:rPr>
            </w:pPr>
            <w:r>
              <w:rPr>
                <w:rFonts w:ascii="Arial" w:cs="Arial" w:eastAsia="Arial" w:hAnsi="Arial"/>
                <w:sz w:val="16"/>
                <w:szCs w:val="16"/>
                <w:b w:val="1"/>
                <w:bCs w:val="1"/>
                <w:color w:val="auto"/>
                <w:w w:val="89"/>
              </w:rPr>
              <w:t>100 Manpower Place</w:t>
            </w:r>
          </w:p>
        </w:tc>
        <w:tc>
          <w:tcPr>
            <w:tcW w:w="29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9"/>
        </w:trPr>
        <w:tc>
          <w:tcPr>
            <w:tcW w:w="4800" w:type="dxa"/>
            <w:vAlign w:val="bottom"/>
            <w:tcBorders>
              <w:bottom w:val="single" w:sz="8" w:color="auto"/>
            </w:tcBorders>
          </w:tcPr>
          <w:p>
            <w:pPr>
              <w:jc w:val="center"/>
              <w:ind w:left="1241"/>
              <w:spacing w:after="0"/>
              <w:rPr>
                <w:sz w:val="20"/>
                <w:szCs w:val="20"/>
                <w:color w:val="auto"/>
              </w:rPr>
            </w:pPr>
            <w:r>
              <w:rPr>
                <w:rFonts w:ascii="Arial" w:cs="Arial" w:eastAsia="Arial" w:hAnsi="Arial"/>
                <w:sz w:val="16"/>
                <w:szCs w:val="16"/>
                <w:b w:val="1"/>
                <w:bCs w:val="1"/>
                <w:color w:val="auto"/>
                <w:w w:val="89"/>
              </w:rPr>
              <w:t>Milwaukee, Wisconsin</w:t>
            </w:r>
          </w:p>
        </w:tc>
        <w:tc>
          <w:tcPr>
            <w:tcW w:w="29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jc w:val="right"/>
              <w:ind w:right="2381"/>
              <w:spacing w:after="0"/>
              <w:rPr>
                <w:sz w:val="20"/>
                <w:szCs w:val="20"/>
                <w:color w:val="auto"/>
              </w:rPr>
            </w:pPr>
            <w:r>
              <w:rPr>
                <w:rFonts w:ascii="Arial" w:cs="Arial" w:eastAsia="Arial" w:hAnsi="Arial"/>
                <w:sz w:val="16"/>
                <w:szCs w:val="16"/>
                <w:b w:val="1"/>
                <w:bCs w:val="1"/>
                <w:color w:val="auto"/>
              </w:rPr>
              <w:t>53212</w:t>
            </w:r>
          </w:p>
        </w:tc>
      </w:tr>
      <w:tr>
        <w:trPr>
          <w:trHeight w:val="204"/>
        </w:trPr>
        <w:tc>
          <w:tcPr>
            <w:tcW w:w="4800" w:type="dxa"/>
            <w:vAlign w:val="bottom"/>
          </w:tcPr>
          <w:p>
            <w:pPr>
              <w:jc w:val="center"/>
              <w:ind w:left="124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2960" w:type="dxa"/>
            <w:vAlign w:val="bottom"/>
          </w:tcPr>
          <w:p>
            <w:pPr>
              <w:spacing w:after="0"/>
              <w:rPr>
                <w:sz w:val="17"/>
                <w:szCs w:val="17"/>
                <w:color w:val="auto"/>
              </w:rPr>
            </w:pPr>
          </w:p>
        </w:tc>
        <w:tc>
          <w:tcPr>
            <w:tcW w:w="3680" w:type="dxa"/>
            <w:vAlign w:val="bottom"/>
          </w:tcPr>
          <w:p>
            <w:pPr>
              <w:ind w:left="660"/>
              <w:spacing w:after="0"/>
              <w:rPr>
                <w:sz w:val="20"/>
                <w:szCs w:val="20"/>
                <w:color w:val="auto"/>
              </w:rPr>
            </w:pPr>
            <w:r>
              <w:rPr>
                <w:rFonts w:ascii="Arial" w:cs="Arial" w:eastAsia="Arial" w:hAnsi="Arial"/>
                <w:sz w:val="16"/>
                <w:szCs w:val="16"/>
                <w:b w:val="1"/>
                <w:bCs w:val="1"/>
                <w:color w:val="auto"/>
              </w:rPr>
              <w:t>(Zip Code)</w:t>
            </w: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1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473075</wp:posOffset>
            </wp:positionV>
            <wp:extent cx="726884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410"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1"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On January 30, 2013, we issued a press release announcing our results of operations for the three months and year ended December 31, 2012. A copy of the press release is attached hereto as Exhibit 99.1 and is incorporated herein by reference.</w:t>
      </w:r>
    </w:p>
    <w:p>
      <w:pPr>
        <w:spacing w:after="0" w:line="177"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3"/>
          <w:szCs w:val="13"/>
          <w:b w:val="1"/>
          <w:bCs w:val="1"/>
          <w:color w:val="auto"/>
        </w:rPr>
        <w:t>Exhibits</w:t>
      </w:r>
      <w:r>
        <w:rPr>
          <w:rFonts w:ascii="Arial" w:cs="Arial" w:eastAsia="Arial" w:hAnsi="Arial"/>
          <w:sz w:val="13"/>
          <w:szCs w:val="13"/>
          <w:color w:val="auto"/>
        </w:rPr>
        <w:t>.</w:t>
      </w:r>
    </w:p>
    <w:p>
      <w:pPr>
        <w:spacing w:after="0" w:line="217"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80961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9615" cy="15240"/>
                    </a:xfrm>
                    <a:prstGeom prst="rect">
                      <a:avLst/>
                    </a:prstGeom>
                    <a:noFill/>
                  </pic:spPr>
                </pic:pic>
              </a:graphicData>
            </a:graphic>
          </wp:anchor>
        </w:drawing>
      </w:r>
    </w:p>
    <w:p>
      <w:pPr>
        <w:spacing w:after="0" w:line="13"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3"/>
          <w:szCs w:val="13"/>
          <w:color w:val="auto"/>
        </w:rPr>
        <w:t>Press Release dated January 30, 2013</w:t>
      </w:r>
    </w:p>
    <w:p>
      <w:pPr>
        <w:spacing w:after="0" w:line="16"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3"/>
          <w:szCs w:val="13"/>
          <w:color w:val="auto"/>
        </w:rPr>
        <w:t>Presentation materials for January 30, 2013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726884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194"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January 30,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10795</wp:posOffset>
            </wp:positionV>
            <wp:extent cx="203898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8985" cy="15240"/>
                    </a:xfrm>
                    <a:prstGeom prst="rect">
                      <a:avLst/>
                    </a:prstGeom>
                    <a:noFill/>
                  </pic:spPr>
                </pic:pic>
              </a:graphicData>
            </a:graphic>
          </wp:anchor>
        </w:drawing>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5"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726884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3" w:name="page4"/>
    <w:bookmarkEnd w:id="3"/>
    <w:p>
      <w:pPr>
        <w:jc w:val="right"/>
        <w:ind w:right="3899"/>
        <w:spacing w:after="0"/>
        <w:rPr>
          <w:sz w:val="20"/>
          <w:szCs w:val="20"/>
          <w:color w:val="auto"/>
        </w:rPr>
      </w:pPr>
      <w:r>
        <w:rPr>
          <w:rFonts w:ascii="Arial" w:cs="Arial" w:eastAsia="Arial" w:hAnsi="Arial"/>
          <w:sz w:val="16"/>
          <w:szCs w:val="16"/>
          <w:b w:val="1"/>
          <w:bCs w:val="1"/>
          <w:color w:val="auto"/>
        </w:rPr>
        <w:t>EXHIBIT INDEX</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13335</wp:posOffset>
            </wp:positionV>
            <wp:extent cx="580961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9615" cy="15240"/>
                    </a:xfrm>
                    <a:prstGeom prst="rect">
                      <a:avLst/>
                    </a:prstGeom>
                    <a:noFill/>
                  </pic:spPr>
                </pic:pic>
              </a:graphicData>
            </a:graphic>
          </wp:anchor>
        </w:drawing>
      </w:r>
    </w:p>
    <w:p>
      <w:pPr>
        <w:spacing w:after="0" w:line="1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3"/>
          <w:szCs w:val="13"/>
          <w:color w:val="auto"/>
        </w:rPr>
        <w:t>Press Release dated January 30, 2013</w:t>
      </w:r>
    </w:p>
    <w:p>
      <w:pPr>
        <w:spacing w:after="0" w:line="16"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3"/>
          <w:szCs w:val="13"/>
          <w:color w:val="auto"/>
        </w:rPr>
        <w:t>Presentation materials for January 30, 2013 conference call</w:t>
      </w:r>
    </w:p>
    <w:p>
      <w:pPr>
        <w:sectPr>
          <w:pgSz w:w="11900" w:h="16838" w:orient="portrait"/>
          <w:cols w:equalWidth="0" w:num="1">
            <w:col w:w="10139"/>
          </w:cols>
          <w:pgMar w:left="320" w:top="33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79780" cy="427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9780"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3"/>
          <w:szCs w:val="13"/>
          <w:b w:val="1"/>
          <w:bCs w:val="1"/>
          <w:color w:val="auto"/>
        </w:rPr>
        <w:t>Contact:</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Mike Van Handel</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+1.414.906.6305</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michael.vanhandel@manpowergroup.com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4</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Quarter and Full Year 2012 Results</w:t>
      </w:r>
    </w:p>
    <w:p>
      <w:pPr>
        <w:spacing w:after="0" w:line="148" w:lineRule="exact"/>
        <w:rPr>
          <w:sz w:val="20"/>
          <w:szCs w:val="20"/>
          <w:color w:val="auto"/>
        </w:rPr>
      </w:pPr>
    </w:p>
    <w:p>
      <w:pPr>
        <w:jc w:val="both"/>
        <w:ind w:right="360" w:firstLine="582"/>
        <w:spacing w:after="0" w:line="284" w:lineRule="auto"/>
        <w:rPr>
          <w:sz w:val="20"/>
          <w:szCs w:val="20"/>
          <w:color w:val="auto"/>
        </w:rPr>
      </w:pPr>
      <w:r>
        <w:rPr>
          <w:rFonts w:ascii="Arial" w:cs="Arial" w:eastAsia="Arial" w:hAnsi="Arial"/>
          <w:sz w:val="15"/>
          <w:szCs w:val="15"/>
          <w:b w:val="1"/>
          <w:bCs w:val="1"/>
          <w:color w:val="auto"/>
        </w:rPr>
        <w:t xml:space="preserve">MILWAUKEE, January 30, 2013 </w:t>
      </w:r>
      <w:r>
        <w:rPr>
          <w:rFonts w:ascii="Arial" w:cs="Arial" w:eastAsia="Arial" w:hAnsi="Arial"/>
          <w:sz w:val="15"/>
          <w:szCs w:val="15"/>
          <w:color w:val="auto"/>
        </w:rPr>
        <w:t>-- ManpowerGroup (NYSE: MAN) today reported net earnings of 68 cents per diluted share for the three months ended December</w:t>
      </w:r>
      <w:r>
        <w:rPr>
          <w:rFonts w:ascii="Arial" w:cs="Arial" w:eastAsia="Arial" w:hAnsi="Arial"/>
          <w:sz w:val="15"/>
          <w:szCs w:val="15"/>
          <w:b w:val="1"/>
          <w:bCs w:val="1"/>
          <w:color w:val="auto"/>
        </w:rPr>
        <w:t xml:space="preserve"> </w:t>
      </w:r>
      <w:r>
        <w:rPr>
          <w:rFonts w:ascii="Arial" w:cs="Arial" w:eastAsia="Arial" w:hAnsi="Arial"/>
          <w:sz w:val="15"/>
          <w:szCs w:val="15"/>
          <w:color w:val="auto"/>
        </w:rPr>
        <w:t>31, 2012 compared to 78 cents per share in the prior period. The net earnings in the quarter were $53.3 million compared to $63.6 million a year earlier. Revenues for the fourth quarter totaled $5.2 billion, a decrease of 5 percent from the year earlier period, or a decrease of 4 percent in constant currency.</w:t>
      </w:r>
    </w:p>
    <w:p>
      <w:pPr>
        <w:spacing w:after="0" w:line="171" w:lineRule="exact"/>
        <w:rPr>
          <w:sz w:val="20"/>
          <w:szCs w:val="20"/>
          <w:color w:val="auto"/>
        </w:rPr>
      </w:pPr>
    </w:p>
    <w:p>
      <w:pPr>
        <w:ind w:right="440"/>
        <w:spacing w:after="0" w:line="330" w:lineRule="auto"/>
        <w:rPr>
          <w:sz w:val="20"/>
          <w:szCs w:val="20"/>
          <w:color w:val="auto"/>
        </w:rPr>
      </w:pPr>
      <w:r>
        <w:rPr>
          <w:rFonts w:ascii="Arial" w:cs="Arial" w:eastAsia="Arial" w:hAnsi="Arial"/>
          <w:sz w:val="13"/>
          <w:szCs w:val="13"/>
          <w:color w:val="auto"/>
        </w:rPr>
        <w:t>Included in the current year fourth quarter results is a reorganization charge, primarily related to office consolidations and severance costs of $26.6 million ($18.3 million after tax or 23 cents per diluted share). Included in the prior year fourth quarter is a reorganization charge of $20.5 million ($16.3 million after tax or 20 cents per diluted share). Excluding these charges, net earnings per diluted share for the three months ended December 31, 2012 declined 7 percent to 91 cents per share compared to 98 cents per share in the year earlier period. Fourth quarter results were unfavorably impacted by 1 cent per diluted share as foreign currencies were relatively weaker compared to the prior year.</w:t>
      </w:r>
    </w:p>
    <w:p>
      <w:pPr>
        <w:spacing w:after="0" w:line="146"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“We finished 2012 with a solid fourth quarter performance. Our team was able to achieve a modest revenue increase compared to the third quarter while pursuing strong price discipline and intense expense management. Our free cash flow was strong, aided by good collection activity. All offerings performed well, with ManpowerGroup Solutions and Right Management leading the way with revenue growing 7 percent in constant currency.</w:t>
      </w:r>
    </w:p>
    <w:p>
      <w:pPr>
        <w:spacing w:after="0" w:line="190"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“We remain appropriately optimistic as we look into 2013. We are on guard for potential disruption in all markets, particularly Europe, but at this time we do not anticipate any dramatic negatives. Our first quarter is traditionally a seasonally challenging period and given the tepid demand environment, we are anticipating the first quarter of 2013 diluted earnings per share to be in the range of 40 cents to 48 cents before reorganization charges.”</w:t>
      </w:r>
    </w:p>
    <w:p>
      <w:pPr>
        <w:spacing w:after="0" w:line="190" w:lineRule="exact"/>
        <w:rPr>
          <w:sz w:val="20"/>
          <w:szCs w:val="20"/>
          <w:color w:val="auto"/>
        </w:rPr>
      </w:pPr>
    </w:p>
    <w:p>
      <w:pPr>
        <w:ind w:right="600"/>
        <w:spacing w:after="0" w:line="384" w:lineRule="auto"/>
        <w:rPr>
          <w:sz w:val="20"/>
          <w:szCs w:val="20"/>
          <w:color w:val="auto"/>
        </w:rPr>
      </w:pPr>
      <w:r>
        <w:rPr>
          <w:rFonts w:ascii="Arial" w:cs="Arial" w:eastAsia="Arial" w:hAnsi="Arial"/>
          <w:sz w:val="13"/>
          <w:szCs w:val="13"/>
          <w:color w:val="auto"/>
        </w:rPr>
        <w:t>Net earnings per diluted share for the year ended December 31, 2012 was $2.47 compared to $3.04 per diluted share in 2011. Net earnings were $197.6 million compared to $251.6 million in the prior year. Revenues for the year were $20.7 billion, a decrease of 6 percent from the prior year, or 1 percent in constant currency.</w:t>
      </w:r>
    </w:p>
    <w:p>
      <w:pPr>
        <w:spacing w:after="0" w:line="112"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Earnings for the full year 2012 include reorganization costs and legal settlement costs of 48 cents per diluted share. Earnings in the prior year include reorganization costs of 20 cents per diluted share. Excluding these charges, net earnings per diluted share for 2012 declined 9 percent to $2.95 per share compared to $3.24 the prior year. Additionally, 2012 results were unfavorably impacted by 15 cents per diluted share due to changes in foreign currencies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 conjunction with its fourth quarter and full year earnings release, ManpowerGroup will broadcast its conference call live over the Internet on January 30, 2013 at 7:30 a.m.</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CT (8:30 a.m. ET). Interested parties are invited to listen to the webcast and view the presentation by logging on to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0" w:lineRule="exact"/>
        <w:rPr>
          <w:sz w:val="20"/>
          <w:szCs w:val="20"/>
          <w:color w:val="auto"/>
        </w:rPr>
      </w:pPr>
    </w:p>
    <w:p>
      <w:pPr>
        <w:ind w:right="360"/>
        <w:spacing w:after="0" w:line="311" w:lineRule="auto"/>
        <w:rPr>
          <w:sz w:val="20"/>
          <w:szCs w:val="20"/>
          <w:color w:val="auto"/>
        </w:rPr>
      </w:pPr>
      <w:r>
        <w:rPr>
          <w:rFonts w:ascii="Arial" w:cs="Arial" w:eastAsia="Arial" w:hAnsi="Arial"/>
          <w:sz w:val="13"/>
          <w:szCs w:val="13"/>
          <w:color w:val="auto"/>
        </w:rPr>
        <w:t>ManpowerGroup™ (NYSE: MAN), the world leader in innovative workforce solutions, creates and delivers high-impact solutions that enable our clients to achieve their business goals and enhance their competitiveness. With over 60 years of experience, our $21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3,500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ManpowerGroup can help you win in the Human Age at www.manpowergroup.com.</w:t>
      </w:r>
    </w:p>
    <w:p>
      <w:pPr>
        <w:spacing w:after="0" w:line="347"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ManpowerGroup is the most trusted brand in the industry, and was once again the only company in our industry to be named to the Ethisphere Institute's 2012 World's Most Ethical Companies list for our proven commitment to ethical business practices, including an outstanding commitment to ethical leadership, compliance practices and corporate social responsibility.</w:t>
      </w:r>
    </w:p>
    <w:p>
      <w:pPr>
        <w:spacing w:after="0" w:line="190"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In January 2011, at the World Economic Forum Annual Meeting in Davos, Switzerland, ManpowerGroup announced the world has entered the Human Age, where talent has replaced capital as the key competitive differentiator. This concept of talentism as the new capitalism continues to resonate and was echoed as a core theme of the 2012 Annual Meeting of the World Economic Forum in Davos. Learn more about this new age at www.manpowergroup.com/humanage</w:t>
      </w:r>
    </w:p>
    <w:p>
      <w:pPr>
        <w:spacing w:after="0" w:line="171"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Gain access to ManpowerGroup's extensive thought leadership papers, annual Talent Shortage surveys and the Manpower Employment Outlook Survey, one of the most trusted indices of employment activity in the world, via the ManpowerGroup World of Work Insight iPad application. This thought leadership app explores the challenges faced by employers navigating the changing world of work and provides in-depth commentary, analysis, insight and advice on strategies for success.</w:t>
      </w:r>
    </w:p>
    <w:p>
      <w:pPr>
        <w:spacing w:after="0" w:line="171" w:lineRule="exact"/>
        <w:rPr>
          <w:sz w:val="20"/>
          <w:szCs w:val="20"/>
          <w:color w:val="auto"/>
        </w:rPr>
      </w:pPr>
    </w:p>
    <w:p>
      <w:pPr>
        <w:ind w:right="820"/>
        <w:spacing w:after="0" w:line="267" w:lineRule="auto"/>
        <w:rPr>
          <w:sz w:val="20"/>
          <w:szCs w:val="20"/>
          <w:color w:val="auto"/>
        </w:rPr>
      </w:pPr>
      <w:r>
        <w:rPr>
          <w:rFonts w:ascii="Arial" w:cs="Arial" w:eastAsia="Arial" w:hAnsi="Arial"/>
          <w:sz w:val="16"/>
          <w:szCs w:val="16"/>
          <w:color w:val="auto"/>
        </w:rPr>
        <w:t>Follow ManpowerGroup Chairman and CEO Jeff Joerres on Twitter: twitter.com/manpowergroupjj. Joerres is one of only 20 Fortune 500 CEOs who leverages a Twitter account to get his message out.</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 w:lineRule="exact"/>
        <w:rPr>
          <w:sz w:val="20"/>
          <w:szCs w:val="20"/>
          <w:color w:val="auto"/>
        </w:rPr>
      </w:pPr>
    </w:p>
    <w:p>
      <w:pPr>
        <w:ind w:right="380"/>
        <w:spacing w:after="0" w:line="247"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2011, which information is incorporated herein by reference.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726884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116" w:right="219" w:bottom="415" w:gutter="0" w:footer="0" w:header="0"/>
        </w:sectPr>
      </w:pPr>
    </w:p>
    <w:bookmarkStart w:id="5" w:name="page6"/>
    <w:bookmarkEnd w:id="5"/>
    <w:p>
      <w:pPr>
        <w:jc w:val="center"/>
        <w:ind w:right="134"/>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Results of Operations</w:t>
      </w:r>
    </w:p>
    <w:p>
      <w:pPr>
        <w:spacing w:after="0" w:line="2"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(In millions, except per share data)</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1"/>
              </w:rPr>
              <w:t>Three Months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40"/>
              <w:spacing w:after="0" w:line="172"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260"/>
              <w:spacing w:after="0" w:line="172"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1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5,202.6</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5,484.0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Cost of services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4,548.8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805.4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-25.6%</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tcPr>
          <w:p>
            <w:pPr>
              <w:spacing w:after="0" w:line="176" w:lineRule="exact"/>
              <w:rPr>
                <w:sz w:val="20"/>
                <w:szCs w:val="20"/>
                <w:color w:val="auto"/>
              </w:rPr>
            </w:pPr>
            <w:r>
              <w:rPr>
                <w:rFonts w:ascii="Arial" w:cs="Arial" w:eastAsia="Arial" w:hAnsi="Arial"/>
                <w:sz w:val="16"/>
                <w:szCs w:val="16"/>
                <w:color w:val="auto"/>
              </w:rPr>
              <w:t>Net earnings per share - basic</w:t>
            </w:r>
          </w:p>
        </w:tc>
        <w:tc>
          <w:tcPr>
            <w:tcW w:w="19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0.68</w:t>
            </w:r>
          </w:p>
        </w:tc>
        <w:tc>
          <w:tcPr>
            <w:tcW w:w="100" w:type="dxa"/>
            <w:vAlign w:val="bottom"/>
          </w:tcPr>
          <w:p>
            <w:pPr>
              <w:spacing w:after="0"/>
              <w:rPr>
                <w:sz w:val="15"/>
                <w:szCs w:val="15"/>
                <w:color w:val="auto"/>
              </w:rPr>
            </w:pPr>
          </w:p>
        </w:tc>
        <w:tc>
          <w:tcPr>
            <w:tcW w:w="360" w:type="dxa"/>
            <w:vAlign w:val="bottom"/>
            <w:gridSpan w:val="2"/>
          </w:tcPr>
          <w:p>
            <w:pPr>
              <w:jc w:val="right"/>
              <w:ind w:right="81"/>
              <w:spacing w:after="0" w:line="176"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0.79</w:t>
            </w:r>
          </w:p>
        </w:tc>
        <w:tc>
          <w:tcPr>
            <w:tcW w:w="13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-13.9%</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earnings per share - diluted</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1"/>
              <w:spacing w:after="0" w:line="176"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0.78</w:t>
            </w:r>
          </w:p>
        </w:tc>
        <w:tc>
          <w:tcPr>
            <w:tcW w:w="13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-12.8%</w:t>
            </w:r>
          </w:p>
        </w:tc>
        <w:tc>
          <w:tcPr>
            <w:tcW w:w="12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tcPr>
          <w:p>
            <w:pPr>
              <w:spacing w:after="0" w:line="176" w:lineRule="exact"/>
              <w:rPr>
                <w:sz w:val="20"/>
                <w:szCs w:val="20"/>
                <w:color w:val="auto"/>
              </w:rPr>
            </w:pPr>
            <w:r>
              <w:rPr>
                <w:rFonts w:ascii="Arial" w:cs="Arial" w:eastAsia="Arial" w:hAnsi="Arial"/>
                <w:sz w:val="16"/>
                <w:szCs w:val="16"/>
                <w:color w:val="auto"/>
              </w:rPr>
              <w:t>Weighted average shares - basic</w:t>
            </w: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80.8</w:t>
            </w:r>
          </w:p>
        </w:tc>
        <w:tc>
          <w:tcPr>
            <w:tcW w:w="13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-3.4%</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 average shares - diluted</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81.4</w:t>
            </w:r>
          </w:p>
        </w:tc>
        <w:tc>
          <w:tcPr>
            <w:tcW w:w="13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-3.4%</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right="140" w:hanging="6"/>
        <w:spacing w:after="0" w:line="25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$6.0 million and $6.4 million for the three months ended December 31, 2012 and 2011, respectively. These fees are primarily based on revenues generated by the franchise offices, which were $257.4 million and $257.2 million for the three months ended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726884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6"/>
          </w:cols>
          <w:pgMar w:left="234" w:top="333" w:right="219" w:bottom="1440" w:gutter="0" w:footer="0" w:header="0"/>
        </w:sectPr>
      </w:pPr>
    </w:p>
    <w:bookmarkStart w:id="6" w:name="page7"/>
    <w:bookmarkEnd w:id="6"/>
    <w:p>
      <w:pPr>
        <w:jc w:val="center"/>
        <w:ind w:right="134"/>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Operating Unit Results</w:t>
      </w:r>
    </w:p>
    <w:p>
      <w:pPr>
        <w:spacing w:after="0" w:line="2"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(In millions)</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1"/>
              </w:rPr>
              <w:t>Three Months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right"/>
              <w:ind w:right="181"/>
              <w:spacing w:after="0" w:line="172"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40"/>
              <w:spacing w:after="0"/>
              <w:rPr>
                <w:sz w:val="20"/>
                <w:szCs w:val="20"/>
                <w:color w:val="auto"/>
              </w:rPr>
            </w:pPr>
            <w:r>
              <w:rPr>
                <w:rFonts w:ascii="Arial" w:cs="Arial" w:eastAsia="Arial" w:hAnsi="Arial"/>
                <w:sz w:val="16"/>
                <w:szCs w:val="16"/>
                <w:color w:val="auto"/>
              </w:rPr>
              <w:t>Americas: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0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750.7</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389.8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18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1,314.2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Italy</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305.3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2,012.6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1,540.9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40"/>
              <w:spacing w:after="0"/>
              <w:rPr>
                <w:sz w:val="20"/>
                <w:szCs w:val="20"/>
                <w:color w:val="auto"/>
              </w:rPr>
            </w:pPr>
            <w:r>
              <w:rPr>
                <w:rFonts w:ascii="Arial" w:cs="Arial" w:eastAsia="Arial" w:hAnsi="Arial"/>
                <w:sz w:val="16"/>
                <w:szCs w:val="16"/>
                <w:color w:val="auto"/>
              </w:rPr>
              <w:t>APME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697.7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695.0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5,202.6</w:t>
            </w:r>
          </w:p>
        </w:tc>
        <w:tc>
          <w:tcPr>
            <w:tcW w:w="140" w:type="dxa"/>
            <w:vAlign w:val="bottom"/>
          </w:tcPr>
          <w:p>
            <w:pPr>
              <w:spacing w:after="0"/>
              <w:rPr>
                <w:sz w:val="16"/>
                <w:szCs w:val="16"/>
                <w:color w:val="auto"/>
              </w:rPr>
            </w:pP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5,484.0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06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21.7</w:t>
            </w: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18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France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-50.1%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149.2</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Corporate expenses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(30.7)</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21.3</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(10.4)</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119.4</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360" w:hanging="6"/>
        <w:spacing w:after="0" w:line="256"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$3.7 million and $3.8 million for the three months ended December 31, 2012 and 2011, respectively. These fees are primarily based on revenues generated by the franchise offices, which were $170.9 million and $167.5 million for the three months ended December 31, 2012 and 2011, respectively.</w:t>
      </w:r>
    </w:p>
    <w:p>
      <w:pPr>
        <w:spacing w:after="0" w:line="166" w:lineRule="exact"/>
        <w:rPr>
          <w:rFonts w:ascii="Arial" w:cs="Arial" w:eastAsia="Arial" w:hAnsi="Arial"/>
          <w:sz w:val="16"/>
          <w:szCs w:val="16"/>
          <w:color w:val="auto"/>
        </w:rPr>
      </w:pPr>
    </w:p>
    <w:p>
      <w:pPr>
        <w:ind w:left="226" w:hanging="226"/>
        <w:spacing w:after="0"/>
        <w:tabs>
          <w:tab w:leader="none" w:pos="22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6" w:lineRule="exact"/>
        <w:rPr>
          <w:sz w:val="20"/>
          <w:szCs w:val="20"/>
          <w:color w:val="auto"/>
        </w:rPr>
      </w:pPr>
    </w:p>
    <w:tbl>
      <w:tblPr>
        <w:tblLayout w:type="fixed"/>
        <w:tblInd w:w="6"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4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89"/>
        </w:trPr>
        <w:tc>
          <w:tcPr>
            <w:tcW w:w="4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20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10.3</w:t>
            </w:r>
          </w:p>
        </w:tc>
      </w:tr>
      <w:tr>
        <w:trPr>
          <w:trHeight w:val="189"/>
        </w:trPr>
        <w:tc>
          <w:tcPr>
            <w:tcW w:w="404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(2.3)</w:t>
            </w:r>
          </w:p>
        </w:tc>
      </w:tr>
      <w:tr>
        <w:trPr>
          <w:trHeight w:val="189"/>
        </w:trPr>
        <w:tc>
          <w:tcPr>
            <w:tcW w:w="4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exchange losses</w:t>
            </w:r>
          </w:p>
        </w:tc>
        <w:tc>
          <w:tcPr>
            <w:tcW w:w="2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0.8</w:t>
            </w:r>
          </w:p>
        </w:tc>
      </w:tr>
      <w:tr>
        <w:trPr>
          <w:trHeight w:val="189"/>
        </w:trPr>
        <w:tc>
          <w:tcPr>
            <w:tcW w:w="4040" w:type="dxa"/>
            <w:vAlign w:val="bottom"/>
          </w:tcPr>
          <w:p>
            <w:pPr>
              <w:ind w:left="300"/>
              <w:spacing w:after="0"/>
              <w:rPr>
                <w:sz w:val="20"/>
                <w:szCs w:val="20"/>
                <w:color w:val="auto"/>
              </w:rPr>
            </w:pPr>
            <w:r>
              <w:rPr>
                <w:rFonts w:ascii="Arial" w:cs="Arial" w:eastAsia="Arial" w:hAnsi="Arial"/>
                <w:sz w:val="16"/>
                <w:szCs w:val="16"/>
                <w:color w:val="auto"/>
              </w:rPr>
              <w:t>Miscellaneous expense, net</w:t>
            </w: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1.6</w:t>
            </w:r>
          </w:p>
        </w:tc>
      </w:tr>
      <w:tr>
        <w:trPr>
          <w:trHeight w:val="24"/>
        </w:trPr>
        <w:tc>
          <w:tcPr>
            <w:tcW w:w="4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40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10.4</w:t>
            </w:r>
          </w:p>
        </w:tc>
      </w:tr>
      <w:tr>
        <w:trPr>
          <w:trHeight w:val="514"/>
        </w:trPr>
        <w:tc>
          <w:tcPr>
            <w:tcW w:w="4040" w:type="dxa"/>
            <w:vAlign w:val="bottom"/>
            <w:tcBorders>
              <w:top w:val="single" w:sz="8" w:color="CCEEFF"/>
              <w:bottom w:val="single" w:sz="8" w:color="808080"/>
            </w:tcBorders>
          </w:tcPr>
          <w:p>
            <w:pPr>
              <w:spacing w:after="0"/>
              <w:rPr>
                <w:sz w:val="24"/>
                <w:szCs w:val="24"/>
                <w:color w:val="auto"/>
              </w:rPr>
            </w:pPr>
          </w:p>
        </w:tc>
        <w:tc>
          <w:tcPr>
            <w:tcW w:w="20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6"/>
          </w:cols>
          <w:pgMar w:left="234" w:top="545" w:right="219" w:bottom="1440" w:gutter="0" w:footer="0" w:header="0"/>
        </w:sectPr>
      </w:pPr>
    </w:p>
    <w:bookmarkStart w:id="7" w:name="page8"/>
    <w:bookmarkEnd w:id="7"/>
    <w:p>
      <w:pPr>
        <w:jc w:val="center"/>
        <w:ind w:right="134"/>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Results of Operations</w:t>
      </w:r>
    </w:p>
    <w:p>
      <w:pPr>
        <w:spacing w:after="0" w:line="2"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(In millions, except per share data)</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40"/>
              <w:spacing w:after="0" w:line="172"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260"/>
              <w:spacing w:after="0" w:line="172"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1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20,678.0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22,006.0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Cost of services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18,299.7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3,706.3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3,182.1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228.3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-25.2%</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tcPr>
          <w:p>
            <w:pPr>
              <w:spacing w:after="0" w:line="176" w:lineRule="exact"/>
              <w:rPr>
                <w:sz w:val="20"/>
                <w:szCs w:val="20"/>
                <w:color w:val="auto"/>
              </w:rPr>
            </w:pPr>
            <w:r>
              <w:rPr>
                <w:rFonts w:ascii="Arial" w:cs="Arial" w:eastAsia="Arial" w:hAnsi="Arial"/>
                <w:sz w:val="16"/>
                <w:szCs w:val="16"/>
                <w:color w:val="auto"/>
              </w:rPr>
              <w:t>Net earnings per share - basic</w:t>
            </w:r>
          </w:p>
        </w:tc>
        <w:tc>
          <w:tcPr>
            <w:tcW w:w="19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100" w:type="dxa"/>
            <w:vAlign w:val="bottom"/>
          </w:tcPr>
          <w:p>
            <w:pPr>
              <w:spacing w:after="0"/>
              <w:rPr>
                <w:sz w:val="15"/>
                <w:szCs w:val="15"/>
                <w:color w:val="auto"/>
              </w:rPr>
            </w:pPr>
          </w:p>
        </w:tc>
        <w:tc>
          <w:tcPr>
            <w:tcW w:w="34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3.08</w:t>
            </w:r>
          </w:p>
        </w:tc>
        <w:tc>
          <w:tcPr>
            <w:tcW w:w="13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-19.2%</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earnings per share - diluted</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3.04</w:t>
            </w:r>
          </w:p>
        </w:tc>
        <w:tc>
          <w:tcPr>
            <w:tcW w:w="13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-18.8%</w:t>
            </w:r>
          </w:p>
        </w:tc>
        <w:tc>
          <w:tcPr>
            <w:tcW w:w="12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tcPr>
          <w:p>
            <w:pPr>
              <w:spacing w:after="0" w:line="176" w:lineRule="exact"/>
              <w:rPr>
                <w:sz w:val="20"/>
                <w:szCs w:val="20"/>
                <w:color w:val="auto"/>
              </w:rPr>
            </w:pPr>
            <w:r>
              <w:rPr>
                <w:rFonts w:ascii="Arial" w:cs="Arial" w:eastAsia="Arial" w:hAnsi="Arial"/>
                <w:sz w:val="16"/>
                <w:szCs w:val="16"/>
                <w:color w:val="auto"/>
              </w:rPr>
              <w:t>Weighted average shares - basic</w:t>
            </w: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79.5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81.6</w:t>
            </w:r>
          </w:p>
        </w:tc>
        <w:tc>
          <w:tcPr>
            <w:tcW w:w="13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-2.7%</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 average shares - diluted</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82.8</w:t>
            </w:r>
          </w:p>
        </w:tc>
        <w:tc>
          <w:tcPr>
            <w:tcW w:w="13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-3.3%</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right="160" w:hanging="6"/>
        <w:spacing w:after="0" w:line="256"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$23.9 million and $25.2 million for the years ended December 31, 2012 and 2011, respectively. These fees are primarily based on revenues generated by the franchise offices, which were $1,051.8 million and $1,075.2 million for the years ended December 31,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726884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6"/>
          </w:cols>
          <w:pgMar w:left="234" w:top="545" w:right="219" w:bottom="1440" w:gutter="0" w:footer="0" w:header="0"/>
        </w:sectPr>
      </w:pPr>
    </w:p>
    <w:bookmarkStart w:id="8" w:name="page9"/>
    <w:bookmarkEnd w:id="8"/>
    <w:p>
      <w:pPr>
        <w:jc w:val="center"/>
        <w:ind w:right="134"/>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Operating Unit Results</w:t>
      </w:r>
    </w:p>
    <w:p>
      <w:pPr>
        <w:spacing w:after="0" w:line="2" w:lineRule="exact"/>
        <w:rPr>
          <w:sz w:val="20"/>
          <w:szCs w:val="20"/>
          <w:color w:val="auto"/>
        </w:rPr>
      </w:pPr>
    </w:p>
    <w:p>
      <w:pPr>
        <w:jc w:val="center"/>
        <w:ind w:right="134"/>
        <w:spacing w:after="0"/>
        <w:rPr>
          <w:sz w:val="20"/>
          <w:szCs w:val="20"/>
          <w:color w:val="auto"/>
        </w:rPr>
      </w:pPr>
      <w:r>
        <w:rPr>
          <w:rFonts w:ascii="Arial" w:cs="Arial" w:eastAsia="Arial" w:hAnsi="Arial"/>
          <w:sz w:val="16"/>
          <w:szCs w:val="16"/>
          <w:color w:val="auto"/>
        </w:rPr>
        <w:t>(In millions)</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right"/>
              <w:ind w:right="181"/>
              <w:spacing w:after="0" w:line="172"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40"/>
              <w:spacing w:after="0"/>
              <w:rPr>
                <w:sz w:val="20"/>
                <w:szCs w:val="20"/>
                <w:color w:val="auto"/>
              </w:rPr>
            </w:pPr>
            <w:r>
              <w:rPr>
                <w:rFonts w:ascii="Arial" w:cs="Arial" w:eastAsia="Arial" w:hAnsi="Arial"/>
                <w:sz w:val="16"/>
                <w:szCs w:val="16"/>
                <w:color w:val="auto"/>
              </w:rPr>
              <w:t>Americas: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06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3,010.5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1,512.1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4,649.4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18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5,425.6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Italy</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1,056.8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1,255.8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7,250.9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8,211.8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6,159.4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40"/>
              <w:spacing w:after="0"/>
              <w:rPr>
                <w:sz w:val="20"/>
                <w:szCs w:val="20"/>
                <w:color w:val="auto"/>
              </w:rPr>
            </w:pPr>
            <w:r>
              <w:rPr>
                <w:rFonts w:ascii="Arial" w:cs="Arial" w:eastAsia="Arial" w:hAnsi="Arial"/>
                <w:sz w:val="16"/>
                <w:szCs w:val="16"/>
                <w:color w:val="auto"/>
              </w:rPr>
              <w:t>APME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2,728.8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2,661.7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20,678.0</w:t>
            </w:r>
          </w:p>
        </w:tc>
        <w:tc>
          <w:tcPr>
            <w:tcW w:w="1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22,006.0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06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60.8</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94.1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18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France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85.2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602.0</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Corporate expenses</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(123.1)</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(38.9)</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84.2</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1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524.2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(44.3)</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479.9</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400" w:hanging="6"/>
        <w:spacing w:after="0" w:line="256"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$14.6 million and $13.6 million for the years ended December 31, 2012 and 2011. These fees are primarily based on revenues generated by the franchise offices, which were $691.7 million and $646.1 million for the years ended December 31, 2012 and 2011, respectively.</w:t>
      </w:r>
    </w:p>
    <w:p>
      <w:pPr>
        <w:spacing w:after="0" w:line="166" w:lineRule="exact"/>
        <w:rPr>
          <w:rFonts w:ascii="Arial" w:cs="Arial" w:eastAsia="Arial" w:hAnsi="Arial"/>
          <w:sz w:val="16"/>
          <w:szCs w:val="16"/>
          <w:color w:val="auto"/>
        </w:rPr>
      </w:pPr>
    </w:p>
    <w:p>
      <w:pPr>
        <w:ind w:left="266" w:hanging="266"/>
        <w:spacing w:after="0"/>
        <w:tabs>
          <w:tab w:leader="none" w:pos="26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6" w:lineRule="exact"/>
        <w:rPr>
          <w:sz w:val="20"/>
          <w:szCs w:val="20"/>
          <w:color w:val="auto"/>
        </w:rPr>
      </w:pPr>
    </w:p>
    <w:tbl>
      <w:tblPr>
        <w:tblLayout w:type="fixed"/>
        <w:tblInd w:w="6"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89"/>
        </w:trPr>
        <w:tc>
          <w:tcPr>
            <w:tcW w:w="4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19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42.8</w:t>
            </w:r>
          </w:p>
        </w:tc>
      </w:tr>
      <w:tr>
        <w:trPr>
          <w:trHeight w:val="189"/>
        </w:trPr>
        <w:tc>
          <w:tcPr>
            <w:tcW w:w="408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(7.3)</w:t>
            </w:r>
          </w:p>
        </w:tc>
      </w:tr>
      <w:tr>
        <w:trPr>
          <w:trHeight w:val="189"/>
        </w:trPr>
        <w:tc>
          <w:tcPr>
            <w:tcW w:w="4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exchange losses</w:t>
            </w:r>
          </w:p>
        </w:tc>
        <w:tc>
          <w:tcPr>
            <w:tcW w:w="1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2.8</w:t>
            </w:r>
          </w:p>
        </w:tc>
      </w:tr>
      <w:tr>
        <w:trPr>
          <w:trHeight w:val="189"/>
        </w:trPr>
        <w:tc>
          <w:tcPr>
            <w:tcW w:w="4080" w:type="dxa"/>
            <w:vAlign w:val="bottom"/>
          </w:tcPr>
          <w:p>
            <w:pPr>
              <w:ind w:left="300"/>
              <w:spacing w:after="0"/>
              <w:rPr>
                <w:sz w:val="20"/>
                <w:szCs w:val="20"/>
                <w:color w:val="auto"/>
              </w:rPr>
            </w:pPr>
            <w:r>
              <w:rPr>
                <w:rFonts w:ascii="Arial" w:cs="Arial" w:eastAsia="Arial" w:hAnsi="Arial"/>
                <w:sz w:val="16"/>
                <w:szCs w:val="16"/>
                <w:color w:val="auto"/>
              </w:rPr>
              <w:t>Miscellaneous expenses, net</w:t>
            </w: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6.0</w:t>
            </w:r>
          </w:p>
        </w:tc>
      </w:tr>
      <w:tr>
        <w:trPr>
          <w:trHeight w:val="24"/>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4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44.3</w:t>
            </w:r>
          </w:p>
        </w:tc>
      </w:tr>
      <w:tr>
        <w:trPr>
          <w:trHeight w:val="514"/>
        </w:trPr>
        <w:tc>
          <w:tcPr>
            <w:tcW w:w="4080" w:type="dxa"/>
            <w:vAlign w:val="bottom"/>
            <w:tcBorders>
              <w:top w:val="single" w:sz="8" w:color="CCEEFF"/>
              <w:bottom w:val="single" w:sz="8" w:color="808080"/>
            </w:tcBorders>
          </w:tcPr>
          <w:p>
            <w:pPr>
              <w:spacing w:after="0"/>
              <w:rPr>
                <w:sz w:val="24"/>
                <w:szCs w:val="24"/>
                <w:color w:val="auto"/>
              </w:rPr>
            </w:pPr>
          </w:p>
        </w:tc>
        <w:tc>
          <w:tcPr>
            <w:tcW w:w="198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7253605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6"/>
          </w:cols>
          <w:pgMar w:left="234" w:top="545"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Dec.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09"/>
        </w:trPr>
        <w:tc>
          <w:tcPr>
            <w:tcW w:w="6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r>
      <w:tr>
        <w:trPr>
          <w:trHeight w:val="189"/>
        </w:trPr>
        <w:tc>
          <w:tcPr>
            <w:tcW w:w="6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648.1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580.5</w:t>
            </w:r>
          </w:p>
        </w:tc>
      </w:tr>
      <w:tr>
        <w:trPr>
          <w:trHeight w:val="189"/>
        </w:trPr>
        <w:tc>
          <w:tcPr>
            <w:tcW w:w="644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4,179.0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4,181.3</w:t>
            </w: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176.3</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52.4</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5,060.6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4,990.5</w:t>
            </w: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1,371.9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1,339.6</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395.3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395.1</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assets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1,734.7</w:t>
            </w: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685.6</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511.1</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174.5</w:t>
            </w:r>
          </w:p>
        </w:tc>
      </w:tr>
      <w:tr>
        <w:trPr>
          <w:trHeight w:val="24"/>
        </w:trPr>
        <w:tc>
          <w:tcPr>
            <w:tcW w:w="64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644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2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7,012.6</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6,899.7</w:t>
            </w:r>
          </w:p>
        </w:tc>
      </w:tr>
      <w:tr>
        <w:trPr>
          <w:trHeight w:val="20"/>
        </w:trPr>
        <w:tc>
          <w:tcPr>
            <w:tcW w:w="6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AND SHAREHOLDERS' EQUITY</w:t>
            </w:r>
          </w:p>
        </w:tc>
        <w:tc>
          <w:tcPr>
            <w:tcW w:w="2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1,466.5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1,370.6</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221.9</w:t>
            </w:r>
          </w:p>
        </w:tc>
      </w:tr>
      <w:tr>
        <w:trPr>
          <w:trHeight w:val="189"/>
        </w:trPr>
        <w:tc>
          <w:tcPr>
            <w:tcW w:w="6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520.8</w:t>
            </w:r>
          </w:p>
        </w:tc>
      </w:tr>
      <w:tr>
        <w:trPr>
          <w:trHeight w:val="189"/>
        </w:trPr>
        <w:tc>
          <w:tcPr>
            <w:tcW w:w="644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685.7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712.4</w:t>
            </w: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502.3</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434.2</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3,677.2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3,762.2</w:t>
            </w: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266.0</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388.1</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654.1</w:t>
            </w:r>
          </w:p>
        </w:tc>
      </w:tr>
      <w:tr>
        <w:trPr>
          <w:trHeight w:val="189"/>
        </w:trPr>
        <w:tc>
          <w:tcPr>
            <w:tcW w:w="64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89"/>
        </w:trPr>
        <w:tc>
          <w:tcPr>
            <w:tcW w:w="644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2,873.2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2,839.9</w:t>
            </w: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971.7</w:t>
            </w:r>
          </w:p>
        </w:tc>
      </w:tr>
      <w:tr>
        <w:trPr>
          <w:trHeight w:val="189"/>
        </w:trPr>
        <w:tc>
          <w:tcPr>
            <w:tcW w:w="644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35.3</w:t>
            </w:r>
          </w:p>
        </w:tc>
      </w:tr>
      <w:tr>
        <w:trPr>
          <w:trHeight w:val="189"/>
        </w:trPr>
        <w:tc>
          <w:tcPr>
            <w:tcW w:w="6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(1,364.6)</w:t>
            </w:r>
          </w:p>
        </w:tc>
      </w:tr>
      <w:tr>
        <w:trPr>
          <w:trHeight w:val="24"/>
        </w:trPr>
        <w:tc>
          <w:tcPr>
            <w:tcW w:w="64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Total shareholders' equity</w:t>
            </w: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2,500.8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2,483.4</w:t>
            </w:r>
          </w:p>
        </w:tc>
      </w:tr>
      <w:tr>
        <w:trPr>
          <w:trHeight w:val="24"/>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7,012.6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6,899.7</w:t>
            </w:r>
          </w:p>
        </w:tc>
      </w:tr>
      <w:tr>
        <w:trPr>
          <w:trHeight w:val="514"/>
        </w:trPr>
        <w:tc>
          <w:tcPr>
            <w:tcW w:w="6440" w:type="dxa"/>
            <w:vAlign w:val="bottom"/>
            <w:tcBorders>
              <w:top w:val="single" w:sz="8" w:color="CCEEFF"/>
              <w:bottom w:val="single" w:sz="8" w:color="808080"/>
            </w:tcBorders>
          </w:tcPr>
          <w:p>
            <w:pPr>
              <w:spacing w:after="0"/>
              <w:rPr>
                <w:sz w:val="24"/>
                <w:szCs w:val="24"/>
                <w:color w:val="auto"/>
              </w:rPr>
            </w:pPr>
          </w:p>
        </w:tc>
        <w:tc>
          <w:tcPr>
            <w:tcW w:w="238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Year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6"/>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color w:val="auto"/>
                <w:w w:val="90"/>
              </w:rPr>
              <w:t>(Unaudited)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2580" w:type="dxa"/>
            <w:vAlign w:val="bottom"/>
            <w:gridSpan w:val="2"/>
          </w:tcPr>
          <w:p>
            <w:pPr>
              <w:jc w:val="right"/>
              <w:ind w:right="581"/>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197.6</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100.5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provided by operating activities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331.6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4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tcPr>
          <w:p>
            <w:pPr>
              <w:ind w:left="440"/>
              <w:spacing w:after="0"/>
              <w:rPr>
                <w:sz w:val="20"/>
                <w:szCs w:val="20"/>
                <w:color w:val="auto"/>
              </w:rPr>
            </w:pPr>
            <w:r>
              <w:rPr>
                <w:rFonts w:ascii="Arial" w:cs="Arial" w:eastAsia="Arial" w:hAnsi="Arial"/>
                <w:sz w:val="16"/>
                <w:szCs w:val="16"/>
                <w:color w:val="auto"/>
              </w:rPr>
              <w:t>Cash used in investing activities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(117.3)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751.6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(703.2)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(138.2)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used in financing activities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580.5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648.1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45"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146685</wp:posOffset>
            </wp:positionV>
            <wp:extent cx="7196455" cy="539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4"/>
          <w:szCs w:val="44"/>
          <w:color w:val="466EA5"/>
        </w:rPr>
        <w:t>ManpowerGroup</w:t>
      </w:r>
    </w:p>
    <w:p>
      <w:pPr>
        <w:spacing w:after="0" w:line="205" w:lineRule="exact"/>
        <w:rPr>
          <w:sz w:val="20"/>
          <w:szCs w:val="20"/>
          <w:color w:val="auto"/>
        </w:rPr>
      </w:pPr>
    </w:p>
    <w:p>
      <w:pPr>
        <w:spacing w:after="0"/>
        <w:rPr>
          <w:sz w:val="20"/>
          <w:szCs w:val="20"/>
          <w:color w:val="auto"/>
        </w:rPr>
      </w:pPr>
      <w:r>
        <w:rPr>
          <w:rFonts w:ascii="Arial" w:cs="Arial" w:eastAsia="Arial" w:hAnsi="Arial"/>
          <w:sz w:val="28"/>
          <w:szCs w:val="28"/>
          <w:color w:val="466EA5"/>
        </w:rPr>
        <w:t>4th Quarter</w:t>
      </w:r>
    </w:p>
    <w:p>
      <w:pPr>
        <w:spacing w:after="0" w:line="20" w:lineRule="exact"/>
        <w:rPr>
          <w:sz w:val="20"/>
          <w:szCs w:val="20"/>
          <w:color w:val="auto"/>
        </w:rPr>
      </w:pPr>
    </w:p>
    <w:p>
      <w:pPr>
        <w:spacing w:after="0"/>
        <w:rPr>
          <w:sz w:val="20"/>
          <w:szCs w:val="20"/>
          <w:color w:val="auto"/>
        </w:rPr>
      </w:pPr>
      <w:r>
        <w:rPr>
          <w:rFonts w:ascii="Arial" w:cs="Arial" w:eastAsia="Arial" w:hAnsi="Arial"/>
          <w:sz w:val="28"/>
          <w:szCs w:val="28"/>
          <w:color w:val="466EA5"/>
        </w:rPr>
        <w:t>January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1020445</wp:posOffset>
            </wp:positionV>
            <wp:extent cx="726884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520"/>
          </w:cols>
          <w:pgMar w:left="1160" w:top="116" w:right="219" w:bottom="1440" w:gutter="0" w:footer="0" w:header="0"/>
        </w:sectPr>
      </w:pPr>
    </w:p>
    <w:bookmarkStart w:id="12" w:name="page13"/>
    <w:bookmarkEnd w:id="12"/>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47"/>
          <w:szCs w:val="47"/>
          <w:color w:val="5F81AA"/>
        </w:rPr>
        <w:t>Forward-Looking Statement</w:t>
      </w:r>
    </w:p>
    <w:p>
      <w:pPr>
        <w:spacing w:after="0" w:line="145" w:lineRule="exact"/>
        <w:rPr>
          <w:sz w:val="20"/>
          <w:szCs w:val="20"/>
          <w:color w:val="auto"/>
        </w:rPr>
      </w:pPr>
    </w:p>
    <w:p>
      <w:pPr>
        <w:ind w:left="100" w:right="3160"/>
        <w:spacing w:after="0" w:line="247" w:lineRule="auto"/>
        <w:rPr>
          <w:sz w:val="20"/>
          <w:szCs w:val="20"/>
          <w:color w:val="auto"/>
        </w:rPr>
      </w:pPr>
      <w:r>
        <w:rPr>
          <w:rFonts w:ascii="Arial" w:cs="Arial" w:eastAsia="Arial" w:hAnsi="Arial"/>
          <w:sz w:val="25"/>
          <w:szCs w:val="25"/>
          <w:color w:val="282A32"/>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2011,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2265680</wp:posOffset>
            </wp:positionV>
            <wp:extent cx="726884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060"/>
          </w:cols>
          <w:pgMar w:left="860" w:top="514" w:right="979" w:bottom="1440" w:gutter="0" w:footer="0" w:header="0"/>
        </w:sectPr>
      </w:pPr>
    </w:p>
    <w:bookmarkStart w:id="13" w:name="page14"/>
    <w:bookmarkEnd w:id="13"/>
    <w:p>
      <w:pPr>
        <w:ind w:left="120"/>
        <w:spacing w:after="0"/>
        <w:tabs>
          <w:tab w:leader="none" w:pos="86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50"/>
          <w:szCs w:val="50"/>
          <w:color w:val="5F81AA"/>
        </w:rPr>
        <w:t>Consolidated Financial Highlights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36"/>
        </w:trPr>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20" w:type="dxa"/>
            <w:vAlign w:val="bottom"/>
          </w:tcPr>
          <w:p>
            <w:pPr>
              <w:spacing w:after="0"/>
              <w:rPr>
                <w:sz w:val="3"/>
                <w:szCs w:val="3"/>
                <w:color w:val="auto"/>
              </w:rPr>
            </w:pPr>
          </w:p>
        </w:tc>
        <w:tc>
          <w:tcPr>
            <w:tcW w:w="2020" w:type="dxa"/>
            <w:vAlign w:val="bottom"/>
            <w:vMerge w:val="restart"/>
          </w:tcPr>
          <w:p>
            <w:pPr>
              <w:ind w:left="140"/>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3"/>
                <w:szCs w:val="3"/>
                <w:color w:val="auto"/>
              </w:rPr>
            </w:pPr>
          </w:p>
        </w:tc>
        <w:tc>
          <w:tcPr>
            <w:tcW w:w="5660" w:type="dxa"/>
            <w:vAlign w:val="bottom"/>
            <w:vMerge w:val="restart"/>
          </w:tcPr>
          <w:p>
            <w:pPr>
              <w:ind w:left="320"/>
              <w:spacing w:after="0"/>
              <w:rPr>
                <w:sz w:val="20"/>
                <w:szCs w:val="20"/>
                <w:color w:val="auto"/>
              </w:rPr>
            </w:pPr>
            <w:r>
              <w:rPr>
                <w:rFonts w:ascii="Arial" w:cs="Arial" w:eastAsia="Arial" w:hAnsi="Arial"/>
                <w:sz w:val="41"/>
                <w:szCs w:val="41"/>
                <w:b w:val="1"/>
                <w:bCs w:val="1"/>
                <w:color w:val="282A32"/>
              </w:rPr>
              <w:t>Q4 Financial Highlights</w:t>
            </w:r>
          </w:p>
        </w:tc>
        <w:tc>
          <w:tcPr>
            <w:tcW w:w="0" w:type="dxa"/>
            <w:vAlign w:val="bottom"/>
          </w:tcPr>
          <w:p>
            <w:pPr>
              <w:spacing w:after="0" w:line="20" w:lineRule="exact"/>
              <w:rPr>
                <w:sz w:val="1"/>
                <w:szCs w:val="1"/>
                <w:color w:val="auto"/>
              </w:rPr>
            </w:pPr>
          </w:p>
        </w:tc>
      </w:tr>
      <w:tr>
        <w:trPr>
          <w:trHeight w:val="260"/>
        </w:trPr>
        <w:tc>
          <w:tcPr>
            <w:tcW w:w="2020" w:type="dxa"/>
            <w:vAlign w:val="bottom"/>
            <w:vMerge w:val="continue"/>
          </w:tcPr>
          <w:p>
            <w:pPr>
              <w:spacing w:after="0"/>
              <w:rPr>
                <w:sz w:val="22"/>
                <w:szCs w:val="22"/>
                <w:color w:val="auto"/>
              </w:rPr>
            </w:pPr>
          </w:p>
        </w:tc>
        <w:tc>
          <w:tcPr>
            <w:tcW w:w="20" w:type="dxa"/>
            <w:vAlign w:val="bottom"/>
            <w:shd w:val="clear" w:color="auto" w:fill="A3A5AA"/>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5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20" w:type="dxa"/>
            <w:vAlign w:val="bottom"/>
            <w:shd w:val="clear" w:color="auto" w:fill="A3A5AA"/>
          </w:tcPr>
          <w:p>
            <w:pPr>
              <w:spacing w:after="0"/>
              <w:rPr>
                <w:sz w:val="24"/>
                <w:szCs w:val="24"/>
                <w:color w:val="auto"/>
              </w:rPr>
            </w:pPr>
          </w:p>
        </w:tc>
        <w:tc>
          <w:tcPr>
            <w:tcW w:w="2020" w:type="dxa"/>
            <w:vAlign w:val="bottom"/>
          </w:tcPr>
          <w:p>
            <w:pPr>
              <w:ind w:left="420"/>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A3A5AA"/>
          </w:tcPr>
          <w:p>
            <w:pPr>
              <w:spacing w:after="0"/>
              <w:rPr>
                <w:sz w:val="24"/>
                <w:szCs w:val="24"/>
                <w:color w:val="auto"/>
              </w:rPr>
            </w:pPr>
          </w:p>
        </w:tc>
        <w:tc>
          <w:tcPr>
            <w:tcW w:w="5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20" w:type="dxa"/>
            <w:vAlign w:val="bottom"/>
          </w:tcPr>
          <w:p>
            <w:pPr>
              <w:spacing w:after="0"/>
              <w:rPr>
                <w:sz w:val="24"/>
                <w:szCs w:val="24"/>
                <w:color w:val="auto"/>
              </w:rPr>
            </w:pPr>
          </w:p>
        </w:tc>
        <w:tc>
          <w:tcPr>
            <w:tcW w:w="20" w:type="dxa"/>
            <w:vAlign w:val="bottom"/>
            <w:shd w:val="clear" w:color="auto" w:fill="A3A5AA"/>
          </w:tcPr>
          <w:p>
            <w:pPr>
              <w:spacing w:after="0"/>
              <w:rPr>
                <w:sz w:val="24"/>
                <w:szCs w:val="24"/>
                <w:color w:val="auto"/>
              </w:rPr>
            </w:pPr>
          </w:p>
        </w:tc>
        <w:tc>
          <w:tcPr>
            <w:tcW w:w="2020" w:type="dxa"/>
            <w:vAlign w:val="bottom"/>
          </w:tcPr>
          <w:p>
            <w:pPr>
              <w:ind w:left="680"/>
              <w:spacing w:after="0"/>
              <w:rPr>
                <w:sz w:val="20"/>
                <w:szCs w:val="20"/>
                <w:color w:val="auto"/>
              </w:rPr>
            </w:pPr>
            <w:r>
              <w:rPr>
                <w:rFonts w:ascii="Arial" w:cs="Arial" w:eastAsia="Arial" w:hAnsi="Arial"/>
                <w:sz w:val="25"/>
                <w:szCs w:val="25"/>
                <w:b w:val="1"/>
                <w:bCs w:val="1"/>
                <w:color w:val="282A32"/>
              </w:rPr>
              <w:t xml:space="preserve">Items </w:t>
            </w:r>
            <w:r>
              <w:rPr>
                <w:rFonts w:ascii="Arial" w:cs="Arial" w:eastAsia="Arial" w:hAnsi="Arial"/>
                <w:sz w:val="15"/>
                <w:szCs w:val="15"/>
                <w:color w:val="282A32"/>
              </w:rPr>
              <w:t>(1)</w:t>
            </w:r>
          </w:p>
        </w:tc>
        <w:tc>
          <w:tcPr>
            <w:tcW w:w="40" w:type="dxa"/>
            <w:vAlign w:val="bottom"/>
            <w:shd w:val="clear" w:color="auto" w:fill="A3A5AA"/>
          </w:tcPr>
          <w:p>
            <w:pPr>
              <w:spacing w:after="0"/>
              <w:rPr>
                <w:sz w:val="24"/>
                <w:szCs w:val="24"/>
                <w:color w:val="auto"/>
              </w:rPr>
            </w:pP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20" w:type="dxa"/>
            <w:vAlign w:val="bottom"/>
            <w:tcBorders>
              <w:bottom w:val="single" w:sz="8" w:color="A3A5AA"/>
            </w:tcBorders>
          </w:tcPr>
          <w:p>
            <w:pPr>
              <w:spacing w:after="0"/>
              <w:rPr>
                <w:sz w:val="2"/>
                <w:szCs w:val="2"/>
                <w:color w:val="auto"/>
              </w:rPr>
            </w:pPr>
          </w:p>
        </w:tc>
        <w:tc>
          <w:tcPr>
            <w:tcW w:w="20" w:type="dxa"/>
            <w:vAlign w:val="bottom"/>
            <w:tcBorders>
              <w:bottom w:val="single" w:sz="8" w:color="A3A5AA"/>
            </w:tcBorders>
            <w:shd w:val="clear" w:color="auto" w:fill="A3A5AA"/>
          </w:tcPr>
          <w:p>
            <w:pPr>
              <w:spacing w:after="0"/>
              <w:rPr>
                <w:sz w:val="2"/>
                <w:szCs w:val="2"/>
                <w:color w:val="auto"/>
              </w:rPr>
            </w:pPr>
          </w:p>
        </w:tc>
        <w:tc>
          <w:tcPr>
            <w:tcW w:w="2020" w:type="dxa"/>
            <w:vAlign w:val="bottom"/>
            <w:tcBorders>
              <w:bottom w:val="single" w:sz="8" w:color="A3A5AA"/>
            </w:tcBorders>
          </w:tcPr>
          <w:p>
            <w:pPr>
              <w:spacing w:after="0"/>
              <w:rPr>
                <w:sz w:val="2"/>
                <w:szCs w:val="2"/>
                <w:color w:val="auto"/>
              </w:rPr>
            </w:pPr>
          </w:p>
        </w:tc>
        <w:tc>
          <w:tcPr>
            <w:tcW w:w="40" w:type="dxa"/>
            <w:vAlign w:val="bottom"/>
            <w:tcBorders>
              <w:bottom w:val="single" w:sz="8" w:color="A3A5AA"/>
            </w:tcBorders>
            <w:shd w:val="clear" w:color="auto" w:fill="A3A5AA"/>
          </w:tcPr>
          <w:p>
            <w:pPr>
              <w:spacing w:after="0"/>
              <w:rPr>
                <w:sz w:val="2"/>
                <w:szCs w:val="2"/>
                <w:color w:val="auto"/>
              </w:rPr>
            </w:pPr>
          </w:p>
        </w:tc>
        <w:tc>
          <w:tcPr>
            <w:tcW w:w="5660" w:type="dxa"/>
            <w:vAlign w:val="bottom"/>
            <w:tcBorders>
              <w:bottom w:val="single" w:sz="8" w:color="A3A5AA"/>
            </w:tcBorders>
          </w:tcPr>
          <w:p>
            <w:pPr>
              <w:spacing w:after="0"/>
              <w:rPr>
                <w:sz w:val="2"/>
                <w:szCs w:val="2"/>
                <w:color w:val="auto"/>
              </w:rPr>
            </w:pPr>
          </w:p>
        </w:tc>
        <w:tc>
          <w:tcPr>
            <w:tcW w:w="0" w:type="dxa"/>
            <w:vAlign w:val="bottom"/>
          </w:tcPr>
          <w:p>
            <w:pPr>
              <w:spacing w:after="0"/>
              <w:rPr>
                <w:sz w:val="1"/>
                <w:szCs w:val="1"/>
                <w:color w:val="auto"/>
              </w:rPr>
            </w:pPr>
          </w:p>
        </w:tc>
      </w:tr>
      <w:tr>
        <w:trPr>
          <w:trHeight w:val="531"/>
        </w:trPr>
        <w:tc>
          <w:tcPr>
            <w:tcW w:w="2020" w:type="dxa"/>
            <w:vAlign w:val="bottom"/>
          </w:tcPr>
          <w:p>
            <w:pPr>
              <w:jc w:val="center"/>
              <w:ind w:left="196"/>
              <w:spacing w:after="0"/>
              <w:rPr>
                <w:sz w:val="20"/>
                <w:szCs w:val="20"/>
                <w:color w:val="auto"/>
              </w:rPr>
            </w:pPr>
            <w:r>
              <w:rPr>
                <w:rFonts w:ascii="Arial" w:cs="Arial" w:eastAsia="Arial" w:hAnsi="Arial"/>
                <w:sz w:val="35"/>
                <w:szCs w:val="35"/>
                <w:color w:val="282A32"/>
                <w:w w:val="98"/>
              </w:rPr>
              <w:t>5%</w:t>
            </w:r>
          </w:p>
        </w:tc>
        <w:tc>
          <w:tcPr>
            <w:tcW w:w="20" w:type="dxa"/>
            <w:vAlign w:val="bottom"/>
            <w:shd w:val="clear" w:color="auto" w:fill="A3A5AA"/>
          </w:tcPr>
          <w:p>
            <w:pPr>
              <w:spacing w:after="0"/>
              <w:rPr>
                <w:sz w:val="24"/>
                <w:szCs w:val="24"/>
                <w:color w:val="auto"/>
              </w:rPr>
            </w:pPr>
          </w:p>
        </w:tc>
        <w:tc>
          <w:tcPr>
            <w:tcW w:w="2020" w:type="dxa"/>
            <w:vAlign w:val="bottom"/>
          </w:tcPr>
          <w:p>
            <w:pPr>
              <w:jc w:val="center"/>
              <w:ind w:left="200"/>
              <w:spacing w:after="0"/>
              <w:rPr>
                <w:sz w:val="20"/>
                <w:szCs w:val="20"/>
                <w:color w:val="auto"/>
              </w:rPr>
            </w:pPr>
            <w:r>
              <w:rPr>
                <w:rFonts w:ascii="Arial" w:cs="Arial" w:eastAsia="Arial" w:hAnsi="Arial"/>
                <w:sz w:val="35"/>
                <w:szCs w:val="35"/>
                <w:color w:val="282A32"/>
                <w:w w:val="98"/>
              </w:rPr>
              <w:t>5%</w:t>
            </w:r>
          </w:p>
        </w:tc>
        <w:tc>
          <w:tcPr>
            <w:tcW w:w="40" w:type="dxa"/>
            <w:vAlign w:val="bottom"/>
            <w:shd w:val="clear" w:color="auto" w:fill="A3A5AA"/>
          </w:tcPr>
          <w:p>
            <w:pPr>
              <w:spacing w:after="0"/>
              <w:rPr>
                <w:sz w:val="24"/>
                <w:szCs w:val="24"/>
                <w:color w:val="auto"/>
              </w:rPr>
            </w:pPr>
          </w:p>
        </w:tc>
        <w:tc>
          <w:tcPr>
            <w:tcW w:w="5660" w:type="dxa"/>
            <w:vAlign w:val="bottom"/>
            <w:tcBorders>
              <w:left w:val="single" w:sz="8" w:color="A3A5AA"/>
            </w:tcBorders>
            <w:vMerge w:val="restart"/>
          </w:tcPr>
          <w:p>
            <w:pPr>
              <w:ind w:left="34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$5.2B</w:t>
            </w:r>
          </w:p>
        </w:tc>
        <w:tc>
          <w:tcPr>
            <w:tcW w:w="0" w:type="dxa"/>
            <w:vAlign w:val="bottom"/>
          </w:tcPr>
          <w:p>
            <w:pPr>
              <w:spacing w:after="0"/>
              <w:rPr>
                <w:sz w:val="1"/>
                <w:szCs w:val="1"/>
                <w:color w:val="auto"/>
              </w:rPr>
            </w:pPr>
          </w:p>
        </w:tc>
      </w:tr>
      <w:tr>
        <w:trPr>
          <w:trHeight w:val="274"/>
        </w:trPr>
        <w:tc>
          <w:tcPr>
            <w:tcW w:w="2020" w:type="dxa"/>
            <w:vAlign w:val="bottom"/>
            <w:vMerge w:val="restart"/>
          </w:tcPr>
          <w:p>
            <w:pPr>
              <w:jc w:val="center"/>
              <w:ind w:left="176"/>
              <w:spacing w:after="0"/>
              <w:rPr>
                <w:sz w:val="20"/>
                <w:szCs w:val="20"/>
                <w:color w:val="auto"/>
              </w:rPr>
            </w:pPr>
            <w:r>
              <w:rPr>
                <w:rFonts w:ascii="Arial" w:cs="Arial" w:eastAsia="Arial" w:hAnsi="Arial"/>
                <w:sz w:val="35"/>
                <w:szCs w:val="35"/>
                <w:color w:val="282A32"/>
                <w:w w:val="97"/>
              </w:rPr>
              <w:t>4% CC</w:t>
            </w:r>
          </w:p>
        </w:tc>
        <w:tc>
          <w:tcPr>
            <w:tcW w:w="20" w:type="dxa"/>
            <w:vAlign w:val="bottom"/>
            <w:shd w:val="clear" w:color="auto" w:fill="A3A5AA"/>
          </w:tcPr>
          <w:p>
            <w:pPr>
              <w:spacing w:after="0"/>
              <w:rPr>
                <w:sz w:val="23"/>
                <w:szCs w:val="23"/>
                <w:color w:val="auto"/>
              </w:rPr>
            </w:pPr>
          </w:p>
        </w:tc>
        <w:tc>
          <w:tcPr>
            <w:tcW w:w="2020" w:type="dxa"/>
            <w:vAlign w:val="bottom"/>
            <w:vMerge w:val="restart"/>
          </w:tcPr>
          <w:p>
            <w:pPr>
              <w:ind w:left="640"/>
              <w:spacing w:after="0"/>
              <w:rPr>
                <w:sz w:val="20"/>
                <w:szCs w:val="20"/>
                <w:color w:val="auto"/>
              </w:rPr>
            </w:pPr>
            <w:r>
              <w:rPr>
                <w:rFonts w:ascii="Arial" w:cs="Arial" w:eastAsia="Arial" w:hAnsi="Arial"/>
                <w:sz w:val="35"/>
                <w:szCs w:val="35"/>
                <w:color w:val="282A32"/>
              </w:rPr>
              <w:t>4% CC</w:t>
            </w:r>
          </w:p>
        </w:tc>
        <w:tc>
          <w:tcPr>
            <w:tcW w:w="40" w:type="dxa"/>
            <w:vAlign w:val="bottom"/>
          </w:tcPr>
          <w:p>
            <w:pPr>
              <w:spacing w:after="0"/>
              <w:rPr>
                <w:sz w:val="23"/>
                <w:szCs w:val="23"/>
                <w:color w:val="auto"/>
              </w:rPr>
            </w:pPr>
          </w:p>
        </w:tc>
        <w:tc>
          <w:tcPr>
            <w:tcW w:w="5660" w:type="dxa"/>
            <w:vAlign w:val="bottom"/>
            <w:tcBorders>
              <w:left w:val="single" w:sz="8" w:color="A3A5AA"/>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20" w:type="dxa"/>
            <w:vAlign w:val="bottom"/>
            <w:vMerge w:val="continue"/>
          </w:tcPr>
          <w:p>
            <w:pPr>
              <w:spacing w:after="0"/>
              <w:rPr>
                <w:sz w:val="13"/>
                <w:szCs w:val="13"/>
                <w:color w:val="auto"/>
              </w:rPr>
            </w:pPr>
          </w:p>
        </w:tc>
        <w:tc>
          <w:tcPr>
            <w:tcW w:w="20" w:type="dxa"/>
            <w:vAlign w:val="bottom"/>
            <w:shd w:val="clear" w:color="auto" w:fill="A3A5AA"/>
          </w:tcPr>
          <w:p>
            <w:pPr>
              <w:spacing w:after="0"/>
              <w:rPr>
                <w:sz w:val="13"/>
                <w:szCs w:val="13"/>
                <w:color w:val="auto"/>
              </w:rPr>
            </w:pPr>
          </w:p>
        </w:tc>
        <w:tc>
          <w:tcPr>
            <w:tcW w:w="2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60" w:type="dxa"/>
            <w:vAlign w:val="bottom"/>
            <w:tcBorders>
              <w:left w:val="single" w:sz="8" w:color="A3A5AA"/>
            </w:tcBorders>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20" w:type="dxa"/>
            <w:vAlign w:val="bottom"/>
            <w:tcBorders>
              <w:bottom w:val="single" w:sz="8" w:color="A3A5AA"/>
            </w:tcBorders>
          </w:tcPr>
          <w:p>
            <w:pPr>
              <w:spacing w:after="0"/>
              <w:rPr>
                <w:sz w:val="6"/>
                <w:szCs w:val="6"/>
                <w:color w:val="auto"/>
              </w:rPr>
            </w:pPr>
          </w:p>
        </w:tc>
        <w:tc>
          <w:tcPr>
            <w:tcW w:w="20" w:type="dxa"/>
            <w:vAlign w:val="bottom"/>
            <w:tcBorders>
              <w:bottom w:val="single" w:sz="8" w:color="A3A5AA"/>
            </w:tcBorders>
            <w:shd w:val="clear" w:color="auto" w:fill="A3A5AA"/>
          </w:tcPr>
          <w:p>
            <w:pPr>
              <w:spacing w:after="0"/>
              <w:rPr>
                <w:sz w:val="6"/>
                <w:szCs w:val="6"/>
                <w:color w:val="auto"/>
              </w:rPr>
            </w:pPr>
          </w:p>
        </w:tc>
        <w:tc>
          <w:tcPr>
            <w:tcW w:w="202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tcPr>
          <w:p>
            <w:pPr>
              <w:spacing w:after="0"/>
              <w:rPr>
                <w:sz w:val="6"/>
                <w:szCs w:val="6"/>
                <w:color w:val="auto"/>
              </w:rPr>
            </w:pPr>
          </w:p>
        </w:tc>
        <w:tc>
          <w:tcPr>
            <w:tcW w:w="566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663"/>
        </w:trPr>
        <w:tc>
          <w:tcPr>
            <w:tcW w:w="2020" w:type="dxa"/>
            <w:vAlign w:val="bottom"/>
          </w:tcPr>
          <w:p>
            <w:pPr>
              <w:jc w:val="center"/>
              <w:ind w:left="176"/>
              <w:spacing w:after="0"/>
              <w:rPr>
                <w:sz w:val="20"/>
                <w:szCs w:val="20"/>
                <w:color w:val="auto"/>
              </w:rPr>
            </w:pPr>
            <w:r>
              <w:rPr>
                <w:rFonts w:ascii="Arial" w:cs="Arial" w:eastAsia="Arial" w:hAnsi="Arial"/>
                <w:sz w:val="35"/>
                <w:szCs w:val="35"/>
                <w:color w:val="282A32"/>
                <w:w w:val="98"/>
              </w:rPr>
              <w:t>20 bps</w:t>
            </w:r>
          </w:p>
        </w:tc>
        <w:tc>
          <w:tcPr>
            <w:tcW w:w="20" w:type="dxa"/>
            <w:vAlign w:val="bottom"/>
            <w:shd w:val="clear" w:color="auto" w:fill="A3A5AA"/>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35"/>
                <w:szCs w:val="35"/>
                <w:color w:val="282A32"/>
              </w:rPr>
              <w:t>20 bps</w:t>
            </w:r>
          </w:p>
        </w:tc>
        <w:tc>
          <w:tcPr>
            <w:tcW w:w="40" w:type="dxa"/>
            <w:vAlign w:val="bottom"/>
            <w:shd w:val="clear" w:color="auto" w:fill="A3A5AA"/>
          </w:tcPr>
          <w:p>
            <w:pPr>
              <w:spacing w:after="0"/>
              <w:rPr>
                <w:sz w:val="24"/>
                <w:szCs w:val="24"/>
                <w:color w:val="auto"/>
              </w:rPr>
            </w:pPr>
          </w:p>
        </w:tc>
        <w:tc>
          <w:tcPr>
            <w:tcW w:w="566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Gross Margin </w:t>
            </w:r>
            <w:r>
              <w:rPr>
                <w:rFonts w:ascii="Arial" w:cs="Arial" w:eastAsia="Arial" w:hAnsi="Arial"/>
                <w:sz w:val="44"/>
                <w:szCs w:val="44"/>
                <w:b w:val="1"/>
                <w:bCs w:val="1"/>
                <w:color w:val="5F81AA"/>
              </w:rPr>
              <w:t>16.9%</w:t>
            </w:r>
          </w:p>
        </w:tc>
        <w:tc>
          <w:tcPr>
            <w:tcW w:w="0" w:type="dxa"/>
            <w:vAlign w:val="bottom"/>
          </w:tcPr>
          <w:p>
            <w:pPr>
              <w:spacing w:after="0"/>
              <w:rPr>
                <w:sz w:val="1"/>
                <w:szCs w:val="1"/>
                <w:color w:val="auto"/>
              </w:rPr>
            </w:pPr>
          </w:p>
        </w:tc>
      </w:tr>
      <w:tr>
        <w:trPr>
          <w:trHeight w:val="108"/>
        </w:trPr>
        <w:tc>
          <w:tcPr>
            <w:tcW w:w="2020" w:type="dxa"/>
            <w:vAlign w:val="bottom"/>
            <w:tcBorders>
              <w:bottom w:val="single" w:sz="8" w:color="A3A5AA"/>
            </w:tcBorders>
          </w:tcPr>
          <w:p>
            <w:pPr>
              <w:spacing w:after="0"/>
              <w:rPr>
                <w:sz w:val="9"/>
                <w:szCs w:val="9"/>
                <w:color w:val="auto"/>
              </w:rPr>
            </w:pPr>
          </w:p>
        </w:tc>
        <w:tc>
          <w:tcPr>
            <w:tcW w:w="20" w:type="dxa"/>
            <w:vAlign w:val="bottom"/>
            <w:tcBorders>
              <w:bottom w:val="single" w:sz="8" w:color="A3A5AA"/>
            </w:tcBorders>
            <w:shd w:val="clear" w:color="auto" w:fill="A3A5AA"/>
          </w:tcPr>
          <w:p>
            <w:pPr>
              <w:spacing w:after="0"/>
              <w:rPr>
                <w:sz w:val="9"/>
                <w:szCs w:val="9"/>
                <w:color w:val="auto"/>
              </w:rPr>
            </w:pPr>
          </w:p>
        </w:tc>
        <w:tc>
          <w:tcPr>
            <w:tcW w:w="2020" w:type="dxa"/>
            <w:vAlign w:val="bottom"/>
            <w:tcBorders>
              <w:bottom w:val="single" w:sz="8" w:color="A3A5AA"/>
            </w:tcBorders>
          </w:tcPr>
          <w:p>
            <w:pPr>
              <w:spacing w:after="0"/>
              <w:rPr>
                <w:sz w:val="9"/>
                <w:szCs w:val="9"/>
                <w:color w:val="auto"/>
              </w:rPr>
            </w:pPr>
          </w:p>
        </w:tc>
        <w:tc>
          <w:tcPr>
            <w:tcW w:w="40" w:type="dxa"/>
            <w:vAlign w:val="bottom"/>
            <w:tcBorders>
              <w:bottom w:val="single" w:sz="8" w:color="A3A5AA"/>
            </w:tcBorders>
            <w:shd w:val="clear" w:color="auto" w:fill="A3A5AA"/>
          </w:tcPr>
          <w:p>
            <w:pPr>
              <w:spacing w:after="0"/>
              <w:rPr>
                <w:sz w:val="9"/>
                <w:szCs w:val="9"/>
                <w:color w:val="auto"/>
              </w:rPr>
            </w:pPr>
          </w:p>
        </w:tc>
        <w:tc>
          <w:tcPr>
            <w:tcW w:w="5660" w:type="dxa"/>
            <w:vAlign w:val="bottom"/>
            <w:tcBorders>
              <w:bottom w:val="single" w:sz="8" w:color="A3A5AA"/>
            </w:tcBorders>
          </w:tcPr>
          <w:p>
            <w:pPr>
              <w:spacing w:after="0"/>
              <w:rPr>
                <w:sz w:val="9"/>
                <w:szCs w:val="9"/>
                <w:color w:val="auto"/>
              </w:rPr>
            </w:pPr>
          </w:p>
        </w:tc>
        <w:tc>
          <w:tcPr>
            <w:tcW w:w="0" w:type="dxa"/>
            <w:vAlign w:val="bottom"/>
          </w:tcPr>
          <w:p>
            <w:pPr>
              <w:spacing w:after="0"/>
              <w:rPr>
                <w:sz w:val="1"/>
                <w:szCs w:val="1"/>
                <w:color w:val="auto"/>
              </w:rPr>
            </w:pPr>
          </w:p>
        </w:tc>
      </w:tr>
      <w:tr>
        <w:trPr>
          <w:trHeight w:val="511"/>
        </w:trPr>
        <w:tc>
          <w:tcPr>
            <w:tcW w:w="2020" w:type="dxa"/>
            <w:vAlign w:val="bottom"/>
          </w:tcPr>
          <w:p>
            <w:pPr>
              <w:jc w:val="center"/>
              <w:ind w:left="176"/>
              <w:spacing w:after="0"/>
              <w:rPr>
                <w:sz w:val="20"/>
                <w:szCs w:val="20"/>
                <w:color w:val="auto"/>
              </w:rPr>
            </w:pPr>
            <w:r>
              <w:rPr>
                <w:rFonts w:ascii="Arial" w:cs="Arial" w:eastAsia="Arial" w:hAnsi="Arial"/>
                <w:sz w:val="35"/>
                <w:szCs w:val="35"/>
                <w:color w:val="282A32"/>
                <w:w w:val="97"/>
              </w:rPr>
              <w:t>19%</w:t>
            </w:r>
          </w:p>
        </w:tc>
        <w:tc>
          <w:tcPr>
            <w:tcW w:w="20" w:type="dxa"/>
            <w:vAlign w:val="bottom"/>
            <w:tcBorders>
              <w:bottom w:val="single" w:sz="8" w:color="A3A5AA"/>
            </w:tcBorders>
            <w:shd w:val="clear" w:color="auto" w:fill="A3A5AA"/>
          </w:tcPr>
          <w:p>
            <w:pPr>
              <w:spacing w:after="0"/>
              <w:rPr>
                <w:sz w:val="24"/>
                <w:szCs w:val="24"/>
                <w:color w:val="auto"/>
              </w:rPr>
            </w:pPr>
          </w:p>
        </w:tc>
        <w:tc>
          <w:tcPr>
            <w:tcW w:w="2020" w:type="dxa"/>
            <w:vAlign w:val="bottom"/>
          </w:tcPr>
          <w:p>
            <w:pPr>
              <w:jc w:val="center"/>
              <w:ind w:left="180"/>
              <w:spacing w:after="0"/>
              <w:rPr>
                <w:sz w:val="20"/>
                <w:szCs w:val="20"/>
                <w:color w:val="auto"/>
              </w:rPr>
            </w:pPr>
            <w:r>
              <w:rPr>
                <w:rFonts w:ascii="Arial" w:cs="Arial" w:eastAsia="Arial" w:hAnsi="Arial"/>
                <w:sz w:val="35"/>
                <w:szCs w:val="35"/>
                <w:color w:val="282A32"/>
                <w:w w:val="97"/>
              </w:rPr>
              <w:t>12%</w:t>
            </w:r>
          </w:p>
        </w:tc>
        <w:tc>
          <w:tcPr>
            <w:tcW w:w="40" w:type="dxa"/>
            <w:vAlign w:val="bottom"/>
            <w:tcBorders>
              <w:bottom w:val="single" w:sz="8" w:color="A3A5AA"/>
            </w:tcBorders>
            <w:shd w:val="clear" w:color="auto" w:fill="A3A5AA"/>
          </w:tcPr>
          <w:p>
            <w:pPr>
              <w:spacing w:after="0"/>
              <w:rPr>
                <w:sz w:val="24"/>
                <w:szCs w:val="24"/>
                <w:color w:val="auto"/>
              </w:rPr>
            </w:pPr>
          </w:p>
        </w:tc>
        <w:tc>
          <w:tcPr>
            <w:tcW w:w="5660" w:type="dxa"/>
            <w:vAlign w:val="bottom"/>
            <w:tcBorders>
              <w:left w:val="single" w:sz="8" w:color="A3A5AA"/>
            </w:tcBorders>
            <w:vMerge w:val="restart"/>
          </w:tcPr>
          <w:p>
            <w:pPr>
              <w:ind w:left="340"/>
              <w:spacing w:after="0"/>
              <w:rPr>
                <w:sz w:val="20"/>
                <w:szCs w:val="20"/>
                <w:color w:val="auto"/>
              </w:rPr>
            </w:pPr>
            <w:r>
              <w:rPr>
                <w:rFonts w:ascii="Arial" w:cs="Arial" w:eastAsia="Arial" w:hAnsi="Arial"/>
                <w:sz w:val="41"/>
                <w:szCs w:val="41"/>
                <w:b w:val="1"/>
                <w:bCs w:val="1"/>
                <w:color w:val="282A32"/>
              </w:rPr>
              <w:t xml:space="preserve">Operating Profit </w:t>
            </w:r>
            <w:r>
              <w:rPr>
                <w:rFonts w:ascii="Arial" w:cs="Arial" w:eastAsia="Arial" w:hAnsi="Arial"/>
                <w:sz w:val="44"/>
                <w:szCs w:val="44"/>
                <w:b w:val="1"/>
                <w:bCs w:val="1"/>
                <w:color w:val="5F81AA"/>
              </w:rPr>
              <w:t>$105M</w:t>
            </w:r>
          </w:p>
        </w:tc>
        <w:tc>
          <w:tcPr>
            <w:tcW w:w="0" w:type="dxa"/>
            <w:vAlign w:val="bottom"/>
          </w:tcPr>
          <w:p>
            <w:pPr>
              <w:spacing w:after="0"/>
              <w:rPr>
                <w:sz w:val="1"/>
                <w:szCs w:val="1"/>
                <w:color w:val="auto"/>
              </w:rPr>
            </w:pPr>
          </w:p>
        </w:tc>
      </w:tr>
      <w:tr>
        <w:trPr>
          <w:trHeight w:val="274"/>
        </w:trPr>
        <w:tc>
          <w:tcPr>
            <w:tcW w:w="2020" w:type="dxa"/>
            <w:vAlign w:val="bottom"/>
            <w:vMerge w:val="restart"/>
          </w:tcPr>
          <w:p>
            <w:pPr>
              <w:jc w:val="center"/>
              <w:ind w:left="176"/>
              <w:spacing w:after="0"/>
              <w:rPr>
                <w:sz w:val="20"/>
                <w:szCs w:val="20"/>
                <w:color w:val="auto"/>
              </w:rPr>
            </w:pPr>
            <w:r>
              <w:rPr>
                <w:rFonts w:ascii="Arial" w:cs="Arial" w:eastAsia="Arial" w:hAnsi="Arial"/>
                <w:sz w:val="35"/>
                <w:szCs w:val="35"/>
                <w:color w:val="282A32"/>
                <w:w w:val="98"/>
              </w:rPr>
              <w:t>17% CC</w:t>
            </w:r>
          </w:p>
        </w:tc>
        <w:tc>
          <w:tcPr>
            <w:tcW w:w="20" w:type="dxa"/>
            <w:vAlign w:val="bottom"/>
            <w:shd w:val="clear" w:color="auto" w:fill="A3A5AA"/>
          </w:tcPr>
          <w:p>
            <w:pPr>
              <w:spacing w:after="0"/>
              <w:rPr>
                <w:sz w:val="23"/>
                <w:szCs w:val="23"/>
                <w:color w:val="auto"/>
              </w:rPr>
            </w:pPr>
          </w:p>
        </w:tc>
        <w:tc>
          <w:tcPr>
            <w:tcW w:w="2020" w:type="dxa"/>
            <w:vAlign w:val="bottom"/>
            <w:vMerge w:val="restart"/>
          </w:tcPr>
          <w:p>
            <w:pPr>
              <w:ind w:left="540"/>
              <w:spacing w:after="0"/>
              <w:rPr>
                <w:sz w:val="20"/>
                <w:szCs w:val="20"/>
                <w:color w:val="auto"/>
              </w:rPr>
            </w:pPr>
            <w:r>
              <w:rPr>
                <w:rFonts w:ascii="Arial" w:cs="Arial" w:eastAsia="Arial" w:hAnsi="Arial"/>
                <w:sz w:val="35"/>
                <w:szCs w:val="35"/>
                <w:color w:val="282A32"/>
              </w:rPr>
              <w:t>11% CC</w:t>
            </w:r>
          </w:p>
        </w:tc>
        <w:tc>
          <w:tcPr>
            <w:tcW w:w="40" w:type="dxa"/>
            <w:vAlign w:val="bottom"/>
          </w:tcPr>
          <w:p>
            <w:pPr>
              <w:spacing w:after="0"/>
              <w:rPr>
                <w:sz w:val="23"/>
                <w:szCs w:val="23"/>
                <w:color w:val="auto"/>
              </w:rPr>
            </w:pPr>
          </w:p>
        </w:tc>
        <w:tc>
          <w:tcPr>
            <w:tcW w:w="5660" w:type="dxa"/>
            <w:vAlign w:val="bottom"/>
            <w:tcBorders>
              <w:left w:val="single" w:sz="8" w:color="A3A5AA"/>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20" w:type="dxa"/>
            <w:vAlign w:val="bottom"/>
            <w:vMerge w:val="continue"/>
          </w:tcPr>
          <w:p>
            <w:pPr>
              <w:spacing w:after="0"/>
              <w:rPr>
                <w:sz w:val="18"/>
                <w:szCs w:val="18"/>
                <w:color w:val="auto"/>
              </w:rPr>
            </w:pPr>
          </w:p>
        </w:tc>
        <w:tc>
          <w:tcPr>
            <w:tcW w:w="20" w:type="dxa"/>
            <w:vAlign w:val="bottom"/>
            <w:shd w:val="clear" w:color="auto" w:fill="A3A5AA"/>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tcBorders>
              <w:left w:val="single" w:sz="8" w:color="A3A5AA"/>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20" w:type="dxa"/>
            <w:vAlign w:val="bottom"/>
            <w:tcBorders>
              <w:bottom w:val="single" w:sz="8" w:color="A3A5AA"/>
            </w:tcBorders>
          </w:tcPr>
          <w:p>
            <w:pPr>
              <w:spacing w:after="0"/>
              <w:rPr>
                <w:sz w:val="2"/>
                <w:szCs w:val="2"/>
                <w:color w:val="auto"/>
              </w:rPr>
            </w:pPr>
          </w:p>
        </w:tc>
        <w:tc>
          <w:tcPr>
            <w:tcW w:w="20" w:type="dxa"/>
            <w:vAlign w:val="bottom"/>
            <w:tcBorders>
              <w:bottom w:val="single" w:sz="8" w:color="A3A5AA"/>
            </w:tcBorders>
            <w:shd w:val="clear" w:color="auto" w:fill="A3A5AA"/>
          </w:tcPr>
          <w:p>
            <w:pPr>
              <w:spacing w:after="0"/>
              <w:rPr>
                <w:sz w:val="2"/>
                <w:szCs w:val="2"/>
                <w:color w:val="auto"/>
              </w:rPr>
            </w:pPr>
          </w:p>
        </w:tc>
        <w:tc>
          <w:tcPr>
            <w:tcW w:w="2020" w:type="dxa"/>
            <w:vAlign w:val="bottom"/>
            <w:tcBorders>
              <w:bottom w:val="single" w:sz="8" w:color="A3A5AA"/>
            </w:tcBorders>
          </w:tcPr>
          <w:p>
            <w:pPr>
              <w:spacing w:after="0"/>
              <w:rPr>
                <w:sz w:val="2"/>
                <w:szCs w:val="2"/>
                <w:color w:val="auto"/>
              </w:rPr>
            </w:pPr>
          </w:p>
        </w:tc>
        <w:tc>
          <w:tcPr>
            <w:tcW w:w="40" w:type="dxa"/>
            <w:vAlign w:val="bottom"/>
            <w:tcBorders>
              <w:bottom w:val="single" w:sz="8" w:color="A3A5AA"/>
            </w:tcBorders>
          </w:tcPr>
          <w:p>
            <w:pPr>
              <w:spacing w:after="0"/>
              <w:rPr>
                <w:sz w:val="2"/>
                <w:szCs w:val="2"/>
                <w:color w:val="auto"/>
              </w:rPr>
            </w:pPr>
          </w:p>
        </w:tc>
        <w:tc>
          <w:tcPr>
            <w:tcW w:w="5660" w:type="dxa"/>
            <w:vAlign w:val="bottom"/>
            <w:tcBorders>
              <w:left w:val="single" w:sz="8" w:color="A3A5AA"/>
              <w:bottom w:val="single" w:sz="8" w:color="A3A5AA"/>
            </w:tcBorders>
          </w:tcPr>
          <w:p>
            <w:pPr>
              <w:spacing w:after="0"/>
              <w:rPr>
                <w:sz w:val="2"/>
                <w:szCs w:val="2"/>
                <w:color w:val="auto"/>
              </w:rPr>
            </w:pPr>
          </w:p>
        </w:tc>
        <w:tc>
          <w:tcPr>
            <w:tcW w:w="0" w:type="dxa"/>
            <w:vAlign w:val="bottom"/>
          </w:tcPr>
          <w:p>
            <w:pPr>
              <w:spacing w:after="0"/>
              <w:rPr>
                <w:sz w:val="1"/>
                <w:szCs w:val="1"/>
                <w:color w:val="auto"/>
              </w:rPr>
            </w:pPr>
          </w:p>
        </w:tc>
      </w:tr>
      <w:tr>
        <w:trPr>
          <w:trHeight w:val="663"/>
        </w:trPr>
        <w:tc>
          <w:tcPr>
            <w:tcW w:w="2020" w:type="dxa"/>
            <w:vAlign w:val="bottom"/>
          </w:tcPr>
          <w:p>
            <w:pPr>
              <w:jc w:val="center"/>
              <w:ind w:left="176"/>
              <w:spacing w:after="0"/>
              <w:rPr>
                <w:sz w:val="20"/>
                <w:szCs w:val="20"/>
                <w:color w:val="auto"/>
              </w:rPr>
            </w:pPr>
            <w:r>
              <w:rPr>
                <w:rFonts w:ascii="Arial" w:cs="Arial" w:eastAsia="Arial" w:hAnsi="Arial"/>
                <w:sz w:val="35"/>
                <w:szCs w:val="35"/>
                <w:color w:val="282A32"/>
                <w:w w:val="98"/>
              </w:rPr>
              <w:t>40 bps</w:t>
            </w:r>
          </w:p>
        </w:tc>
        <w:tc>
          <w:tcPr>
            <w:tcW w:w="20" w:type="dxa"/>
            <w:vAlign w:val="bottom"/>
            <w:shd w:val="clear" w:color="auto" w:fill="A3A5AA"/>
          </w:tcPr>
          <w:p>
            <w:pPr>
              <w:spacing w:after="0"/>
              <w:rPr>
                <w:sz w:val="24"/>
                <w:szCs w:val="24"/>
                <w:color w:val="auto"/>
              </w:rPr>
            </w:pPr>
          </w:p>
        </w:tc>
        <w:tc>
          <w:tcPr>
            <w:tcW w:w="2020" w:type="dxa"/>
            <w:vAlign w:val="bottom"/>
          </w:tcPr>
          <w:p>
            <w:pPr>
              <w:ind w:left="660"/>
              <w:spacing w:after="0"/>
              <w:rPr>
                <w:sz w:val="20"/>
                <w:szCs w:val="20"/>
                <w:color w:val="auto"/>
              </w:rPr>
            </w:pPr>
            <w:r>
              <w:rPr>
                <w:rFonts w:ascii="Arial" w:cs="Arial" w:eastAsia="Arial" w:hAnsi="Arial"/>
                <w:sz w:val="35"/>
                <w:szCs w:val="35"/>
                <w:color w:val="282A32"/>
              </w:rPr>
              <w:t>20 bps</w:t>
            </w:r>
          </w:p>
        </w:tc>
        <w:tc>
          <w:tcPr>
            <w:tcW w:w="40" w:type="dxa"/>
            <w:vAlign w:val="bottom"/>
            <w:shd w:val="clear" w:color="auto" w:fill="A3A5AA"/>
          </w:tcPr>
          <w:p>
            <w:pPr>
              <w:spacing w:after="0"/>
              <w:rPr>
                <w:sz w:val="24"/>
                <w:szCs w:val="24"/>
                <w:color w:val="auto"/>
              </w:rPr>
            </w:pPr>
          </w:p>
        </w:tc>
        <w:tc>
          <w:tcPr>
            <w:tcW w:w="566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OP Margin </w:t>
            </w:r>
            <w:r>
              <w:rPr>
                <w:rFonts w:ascii="Arial" w:cs="Arial" w:eastAsia="Arial" w:hAnsi="Arial"/>
                <w:sz w:val="44"/>
                <w:szCs w:val="44"/>
                <w:b w:val="1"/>
                <w:bCs w:val="1"/>
                <w:color w:val="5F81AA"/>
              </w:rPr>
              <w:t>2.0%</w:t>
            </w:r>
          </w:p>
        </w:tc>
        <w:tc>
          <w:tcPr>
            <w:tcW w:w="0" w:type="dxa"/>
            <w:vAlign w:val="bottom"/>
          </w:tcPr>
          <w:p>
            <w:pPr>
              <w:spacing w:after="0"/>
              <w:rPr>
                <w:sz w:val="1"/>
                <w:szCs w:val="1"/>
                <w:color w:val="auto"/>
              </w:rPr>
            </w:pPr>
          </w:p>
        </w:tc>
      </w:tr>
      <w:tr>
        <w:trPr>
          <w:trHeight w:val="108"/>
        </w:trPr>
        <w:tc>
          <w:tcPr>
            <w:tcW w:w="2020" w:type="dxa"/>
            <w:vAlign w:val="bottom"/>
            <w:tcBorders>
              <w:bottom w:val="single" w:sz="8" w:color="A3A5AA"/>
            </w:tcBorders>
          </w:tcPr>
          <w:p>
            <w:pPr>
              <w:spacing w:after="0"/>
              <w:rPr>
                <w:sz w:val="9"/>
                <w:szCs w:val="9"/>
                <w:color w:val="auto"/>
              </w:rPr>
            </w:pPr>
          </w:p>
        </w:tc>
        <w:tc>
          <w:tcPr>
            <w:tcW w:w="20" w:type="dxa"/>
            <w:vAlign w:val="bottom"/>
            <w:tcBorders>
              <w:bottom w:val="single" w:sz="8" w:color="A3A5AA"/>
            </w:tcBorders>
            <w:shd w:val="clear" w:color="auto" w:fill="A3A5AA"/>
          </w:tcPr>
          <w:p>
            <w:pPr>
              <w:spacing w:after="0"/>
              <w:rPr>
                <w:sz w:val="9"/>
                <w:szCs w:val="9"/>
                <w:color w:val="auto"/>
              </w:rPr>
            </w:pPr>
          </w:p>
        </w:tc>
        <w:tc>
          <w:tcPr>
            <w:tcW w:w="2020" w:type="dxa"/>
            <w:vAlign w:val="bottom"/>
            <w:tcBorders>
              <w:bottom w:val="single" w:sz="8" w:color="A3A5AA"/>
            </w:tcBorders>
          </w:tcPr>
          <w:p>
            <w:pPr>
              <w:spacing w:after="0"/>
              <w:rPr>
                <w:sz w:val="9"/>
                <w:szCs w:val="9"/>
                <w:color w:val="auto"/>
              </w:rPr>
            </w:pPr>
          </w:p>
        </w:tc>
        <w:tc>
          <w:tcPr>
            <w:tcW w:w="40" w:type="dxa"/>
            <w:vAlign w:val="bottom"/>
            <w:tcBorders>
              <w:bottom w:val="single" w:sz="8" w:color="A3A5AA"/>
            </w:tcBorders>
            <w:shd w:val="clear" w:color="auto" w:fill="A3A5AA"/>
          </w:tcPr>
          <w:p>
            <w:pPr>
              <w:spacing w:after="0"/>
              <w:rPr>
                <w:sz w:val="9"/>
                <w:szCs w:val="9"/>
                <w:color w:val="auto"/>
              </w:rPr>
            </w:pPr>
          </w:p>
        </w:tc>
        <w:tc>
          <w:tcPr>
            <w:tcW w:w="5660" w:type="dxa"/>
            <w:vAlign w:val="bottom"/>
            <w:tcBorders>
              <w:bottom w:val="single" w:sz="8" w:color="A3A5AA"/>
            </w:tcBorders>
          </w:tcPr>
          <w:p>
            <w:pPr>
              <w:spacing w:after="0"/>
              <w:rPr>
                <w:sz w:val="9"/>
                <w:szCs w:val="9"/>
                <w:color w:val="auto"/>
              </w:rPr>
            </w:pPr>
          </w:p>
        </w:tc>
        <w:tc>
          <w:tcPr>
            <w:tcW w:w="0" w:type="dxa"/>
            <w:vAlign w:val="bottom"/>
          </w:tcPr>
          <w:p>
            <w:pPr>
              <w:spacing w:after="0"/>
              <w:rPr>
                <w:sz w:val="1"/>
                <w:szCs w:val="1"/>
                <w:color w:val="auto"/>
              </w:rPr>
            </w:pPr>
          </w:p>
        </w:tc>
      </w:tr>
      <w:tr>
        <w:trPr>
          <w:trHeight w:val="511"/>
        </w:trPr>
        <w:tc>
          <w:tcPr>
            <w:tcW w:w="2020" w:type="dxa"/>
            <w:vAlign w:val="bottom"/>
          </w:tcPr>
          <w:p>
            <w:pPr>
              <w:jc w:val="center"/>
              <w:ind w:left="176"/>
              <w:spacing w:after="0"/>
              <w:rPr>
                <w:sz w:val="20"/>
                <w:szCs w:val="20"/>
                <w:color w:val="auto"/>
              </w:rPr>
            </w:pPr>
            <w:r>
              <w:rPr>
                <w:rFonts w:ascii="Arial" w:cs="Arial" w:eastAsia="Arial" w:hAnsi="Arial"/>
                <w:sz w:val="35"/>
                <w:szCs w:val="35"/>
                <w:color w:val="282A32"/>
                <w:w w:val="97"/>
              </w:rPr>
              <w:t>13%</w:t>
            </w:r>
          </w:p>
        </w:tc>
        <w:tc>
          <w:tcPr>
            <w:tcW w:w="20" w:type="dxa"/>
            <w:vAlign w:val="bottom"/>
            <w:tcBorders>
              <w:bottom w:val="single" w:sz="8" w:color="A3A5AA"/>
            </w:tcBorders>
            <w:shd w:val="clear" w:color="auto" w:fill="A3A5AA"/>
          </w:tcPr>
          <w:p>
            <w:pPr>
              <w:spacing w:after="0"/>
              <w:rPr>
                <w:sz w:val="24"/>
                <w:szCs w:val="24"/>
                <w:color w:val="auto"/>
              </w:rPr>
            </w:pPr>
          </w:p>
        </w:tc>
        <w:tc>
          <w:tcPr>
            <w:tcW w:w="2020" w:type="dxa"/>
            <w:vAlign w:val="bottom"/>
          </w:tcPr>
          <w:p>
            <w:pPr>
              <w:jc w:val="center"/>
              <w:ind w:left="200"/>
              <w:spacing w:after="0"/>
              <w:rPr>
                <w:sz w:val="20"/>
                <w:szCs w:val="20"/>
                <w:color w:val="auto"/>
              </w:rPr>
            </w:pPr>
            <w:r>
              <w:rPr>
                <w:rFonts w:ascii="Arial" w:cs="Arial" w:eastAsia="Arial" w:hAnsi="Arial"/>
                <w:sz w:val="35"/>
                <w:szCs w:val="35"/>
                <w:color w:val="282A32"/>
                <w:w w:val="98"/>
              </w:rPr>
              <w:t>7%</w:t>
            </w:r>
          </w:p>
        </w:tc>
        <w:tc>
          <w:tcPr>
            <w:tcW w:w="40" w:type="dxa"/>
            <w:vAlign w:val="bottom"/>
            <w:tcBorders>
              <w:bottom w:val="single" w:sz="8" w:color="A3A5AA"/>
            </w:tcBorders>
            <w:shd w:val="clear" w:color="auto" w:fill="A3A5AA"/>
          </w:tcPr>
          <w:p>
            <w:pPr>
              <w:spacing w:after="0"/>
              <w:rPr>
                <w:sz w:val="24"/>
                <w:szCs w:val="24"/>
                <w:color w:val="auto"/>
              </w:rPr>
            </w:pPr>
          </w:p>
        </w:tc>
        <w:tc>
          <w:tcPr>
            <w:tcW w:w="5660" w:type="dxa"/>
            <w:vAlign w:val="bottom"/>
            <w:tcBorders>
              <w:left w:val="single" w:sz="8" w:color="A3A5AA"/>
            </w:tcBorders>
            <w:vMerge w:val="restart"/>
          </w:tcPr>
          <w:p>
            <w:pPr>
              <w:ind w:left="340"/>
              <w:spacing w:after="0"/>
              <w:rPr>
                <w:sz w:val="20"/>
                <w:szCs w:val="20"/>
                <w:color w:val="auto"/>
              </w:rPr>
            </w:pPr>
            <w:r>
              <w:rPr>
                <w:rFonts w:ascii="Arial" w:cs="Arial" w:eastAsia="Arial" w:hAnsi="Arial"/>
                <w:sz w:val="41"/>
                <w:szCs w:val="41"/>
                <w:b w:val="1"/>
                <w:bCs w:val="1"/>
                <w:color w:val="282A32"/>
              </w:rPr>
              <w:t xml:space="preserve">EPS </w:t>
            </w:r>
            <w:r>
              <w:rPr>
                <w:rFonts w:ascii="Arial" w:cs="Arial" w:eastAsia="Arial" w:hAnsi="Arial"/>
                <w:sz w:val="44"/>
                <w:szCs w:val="44"/>
                <w:b w:val="1"/>
                <w:bCs w:val="1"/>
                <w:color w:val="5F81AA"/>
              </w:rPr>
              <w:t>$.68</w:t>
            </w:r>
          </w:p>
        </w:tc>
        <w:tc>
          <w:tcPr>
            <w:tcW w:w="0" w:type="dxa"/>
            <w:vAlign w:val="bottom"/>
          </w:tcPr>
          <w:p>
            <w:pPr>
              <w:spacing w:after="0"/>
              <w:rPr>
                <w:sz w:val="1"/>
                <w:szCs w:val="1"/>
                <w:color w:val="auto"/>
              </w:rPr>
            </w:pPr>
          </w:p>
        </w:tc>
      </w:tr>
      <w:tr>
        <w:trPr>
          <w:trHeight w:val="285"/>
        </w:trPr>
        <w:tc>
          <w:tcPr>
            <w:tcW w:w="2020" w:type="dxa"/>
            <w:vAlign w:val="bottom"/>
            <w:vMerge w:val="restart"/>
          </w:tcPr>
          <w:p>
            <w:pPr>
              <w:jc w:val="center"/>
              <w:ind w:left="176"/>
              <w:spacing w:after="0"/>
              <w:rPr>
                <w:sz w:val="20"/>
                <w:szCs w:val="20"/>
                <w:color w:val="auto"/>
              </w:rPr>
            </w:pPr>
            <w:r>
              <w:rPr>
                <w:rFonts w:ascii="Arial" w:cs="Arial" w:eastAsia="Arial" w:hAnsi="Arial"/>
                <w:sz w:val="35"/>
                <w:szCs w:val="35"/>
                <w:color w:val="282A32"/>
                <w:w w:val="98"/>
              </w:rPr>
              <w:t>12% CC</w:t>
            </w:r>
          </w:p>
        </w:tc>
        <w:tc>
          <w:tcPr>
            <w:tcW w:w="20" w:type="dxa"/>
            <w:vAlign w:val="bottom"/>
            <w:shd w:val="clear" w:color="auto" w:fill="A3A5AA"/>
          </w:tcPr>
          <w:p>
            <w:pPr>
              <w:spacing w:after="0"/>
              <w:rPr>
                <w:sz w:val="24"/>
                <w:szCs w:val="24"/>
                <w:color w:val="auto"/>
              </w:rPr>
            </w:pPr>
          </w:p>
        </w:tc>
        <w:tc>
          <w:tcPr>
            <w:tcW w:w="2020" w:type="dxa"/>
            <w:vAlign w:val="bottom"/>
            <w:vMerge w:val="restart"/>
          </w:tcPr>
          <w:p>
            <w:pPr>
              <w:ind w:left="640"/>
              <w:spacing w:after="0"/>
              <w:rPr>
                <w:sz w:val="20"/>
                <w:szCs w:val="20"/>
                <w:color w:val="auto"/>
              </w:rPr>
            </w:pPr>
            <w:r>
              <w:rPr>
                <w:rFonts w:ascii="Arial" w:cs="Arial" w:eastAsia="Arial" w:hAnsi="Arial"/>
                <w:sz w:val="35"/>
                <w:szCs w:val="35"/>
                <w:color w:val="282A32"/>
              </w:rPr>
              <w:t>6% CC</w:t>
            </w:r>
          </w:p>
        </w:tc>
        <w:tc>
          <w:tcPr>
            <w:tcW w:w="40" w:type="dxa"/>
            <w:vAlign w:val="bottom"/>
          </w:tcPr>
          <w:p>
            <w:pPr>
              <w:spacing w:after="0"/>
              <w:rPr>
                <w:sz w:val="24"/>
                <w:szCs w:val="24"/>
                <w:color w:val="auto"/>
              </w:rPr>
            </w:pPr>
          </w:p>
        </w:tc>
        <w:tc>
          <w:tcPr>
            <w:tcW w:w="5660" w:type="dxa"/>
            <w:vAlign w:val="bottom"/>
            <w:tcBorders>
              <w:left w:val="single" w:sz="8" w:color="A3A5A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20" w:type="dxa"/>
            <w:vAlign w:val="bottom"/>
            <w:vMerge w:val="continue"/>
          </w:tcPr>
          <w:p>
            <w:pPr>
              <w:spacing w:after="0"/>
              <w:rPr>
                <w:sz w:val="18"/>
                <w:szCs w:val="18"/>
                <w:color w:val="auto"/>
              </w:rPr>
            </w:pPr>
          </w:p>
        </w:tc>
        <w:tc>
          <w:tcPr>
            <w:tcW w:w="20" w:type="dxa"/>
            <w:vAlign w:val="bottom"/>
            <w:shd w:val="clear" w:color="auto" w:fill="A3A5AA"/>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tcBorders>
              <w:left w:val="single" w:sz="8" w:color="A3A5AA"/>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tcPr>
          <w:p>
            <w:pPr>
              <w:spacing w:after="0"/>
              <w:rPr>
                <w:sz w:val="3"/>
                <w:szCs w:val="3"/>
                <w:color w:val="auto"/>
              </w:rPr>
            </w:pPr>
          </w:p>
        </w:tc>
        <w:tc>
          <w:tcPr>
            <w:tcW w:w="20" w:type="dxa"/>
            <w:vAlign w:val="bottom"/>
            <w:shd w:val="clear" w:color="auto" w:fill="A3A5AA"/>
          </w:tcPr>
          <w:p>
            <w:pPr>
              <w:spacing w:after="0"/>
              <w:rPr>
                <w:sz w:val="3"/>
                <w:szCs w:val="3"/>
                <w:color w:val="auto"/>
              </w:rPr>
            </w:pPr>
          </w:p>
        </w:tc>
        <w:tc>
          <w:tcPr>
            <w:tcW w:w="20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60" w:type="dxa"/>
            <w:vAlign w:val="bottom"/>
            <w:tcBorders>
              <w:left w:val="single" w:sz="8" w:color="A3A5AA"/>
            </w:tcBorders>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color w:val="282A32"/>
        </w:rPr>
        <w:t>(1) Excludes the impact of reorganization charges of $26.6M in Q4 2012 and $20.5M in Q4 2011.</w:t>
      </w:r>
    </w:p>
    <w:p>
      <w:pPr>
        <w:jc w:val="right"/>
        <w:spacing w:after="0" w:line="189" w:lineRule="auto"/>
        <w:rPr>
          <w:sz w:val="20"/>
          <w:szCs w:val="20"/>
          <w:color w:val="auto"/>
        </w:rPr>
      </w:pPr>
      <w:r>
        <w:rPr>
          <w:rFonts w:ascii="Arial" w:cs="Arial" w:eastAsia="Arial" w:hAnsi="Arial"/>
          <w:sz w:val="13"/>
          <w:szCs w:val="13"/>
          <w:color w:val="7F7F7F"/>
        </w:rPr>
        <w:t>3</w:t>
      </w:r>
    </w:p>
    <w:p>
      <w:pPr>
        <w:ind w:left="260" w:right="740"/>
        <w:spacing w:after="0" w:line="262" w:lineRule="auto"/>
        <w:rPr>
          <w:sz w:val="20"/>
          <w:szCs w:val="20"/>
          <w:color w:val="auto"/>
        </w:rPr>
      </w:pPr>
      <w:r>
        <w:rPr>
          <w:rFonts w:ascii="Arial" w:cs="Arial" w:eastAsia="Arial" w:hAnsi="Arial"/>
          <w:sz w:val="17"/>
          <w:szCs w:val="17"/>
          <w:b w:val="1"/>
          <w:bCs w:val="1"/>
          <w:color w:val="343537"/>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238125</wp:posOffset>
            </wp:positionV>
            <wp:extent cx="726884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420"/>
          </w:cols>
          <w:pgMar w:left="740" w:top="514" w:right="739" w:bottom="1440" w:gutter="0" w:footer="0" w:header="0"/>
        </w:sectPr>
      </w:pPr>
    </w:p>
    <w:bookmarkStart w:id="14" w:name="page15"/>
    <w:bookmarkEnd w:id="14"/>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ectPr>
          <w:pgSz w:w="11900" w:h="16838" w:orient="portrait"/>
          <w:cols w:equalWidth="0" w:num="1">
            <w:col w:w="10060"/>
          </w:cols>
          <w:pgMar w:left="860" w:top="51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
        <w:spacing w:after="0"/>
        <w:rPr>
          <w:sz w:val="20"/>
          <w:szCs w:val="20"/>
          <w:color w:val="auto"/>
        </w:rPr>
      </w:pPr>
      <w:r>
        <w:rPr>
          <w:rFonts w:ascii="Arial" w:cs="Arial" w:eastAsia="Arial" w:hAnsi="Arial"/>
          <w:sz w:val="50"/>
          <w:szCs w:val="50"/>
          <w:color w:val="5F81AA"/>
        </w:rPr>
        <w:t>EPS Bridge - Q4 vs. Guidance Midpoint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60"/>
        <w:spacing w:after="0"/>
        <w:rPr>
          <w:sz w:val="20"/>
          <w:szCs w:val="20"/>
          <w:color w:val="auto"/>
        </w:rPr>
      </w:pPr>
      <w:r>
        <w:rPr>
          <w:rFonts w:ascii="Arial" w:cs="Arial" w:eastAsia="Arial" w:hAnsi="Arial"/>
          <w:sz w:val="17"/>
          <w:szCs w:val="17"/>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557530</wp:posOffset>
            </wp:positionV>
            <wp:extent cx="726884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060"/>
          </w:cols>
          <w:pgMar w:left="860" w:top="514" w:right="979" w:bottom="1440" w:gutter="0" w:footer="0" w:header="0"/>
          <w:type w:val="continuous"/>
        </w:sectPr>
      </w:pPr>
    </w:p>
    <w:bookmarkStart w:id="15" w:name="page16"/>
    <w:bookmarkEnd w:id="15"/>
    <w:p>
      <w:pPr>
        <w:ind w:left="520"/>
        <w:spacing w:after="0"/>
        <w:tabs>
          <w:tab w:leader="none" w:pos="90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74" w:lineRule="exact"/>
        <w:rPr>
          <w:sz w:val="20"/>
          <w:szCs w:val="20"/>
          <w:color w:val="auto"/>
        </w:rPr>
      </w:pPr>
    </w:p>
    <w:p>
      <w:pPr>
        <w:ind w:left="760"/>
        <w:spacing w:after="0"/>
        <w:rPr>
          <w:sz w:val="20"/>
          <w:szCs w:val="20"/>
          <w:color w:val="auto"/>
        </w:rPr>
      </w:pPr>
      <w:r>
        <w:rPr>
          <w:rFonts w:ascii="Arial" w:cs="Arial" w:eastAsia="Arial" w:hAnsi="Arial"/>
          <w:sz w:val="50"/>
          <w:szCs w:val="50"/>
          <w:color w:val="5F81AA"/>
        </w:rPr>
        <w:t>Non-Recurring Items</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31"/>
          <w:szCs w:val="31"/>
          <w:color w:val="5F81AA"/>
        </w:rPr>
        <w:t>(in millions of USD,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379"/>
        </w:trPr>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5"/>
                <w:szCs w:val="25"/>
                <w:b w:val="1"/>
                <w:bCs w:val="1"/>
                <w:color w:val="282A32"/>
              </w:rPr>
              <w:t>Q4 2012</w:t>
            </w:r>
          </w:p>
        </w:tc>
        <w:tc>
          <w:tcPr>
            <w:tcW w:w="86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FY 2012</w:t>
            </w:r>
          </w:p>
        </w:tc>
        <w:tc>
          <w:tcPr>
            <w:tcW w:w="88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28"/>
                <w:szCs w:val="28"/>
                <w:b w:val="1"/>
                <w:bCs w:val="1"/>
                <w:color w:val="282A32"/>
              </w:rPr>
              <w:t>FY 2011</w:t>
            </w:r>
          </w:p>
        </w:tc>
        <w:tc>
          <w:tcPr>
            <w:tcW w:w="740" w:type="dxa"/>
            <w:vAlign w:val="bottom"/>
          </w:tcPr>
          <w:p>
            <w:pPr>
              <w:spacing w:after="0"/>
              <w:rPr>
                <w:sz w:val="24"/>
                <w:szCs w:val="24"/>
                <w:color w:val="auto"/>
              </w:rPr>
            </w:pPr>
          </w:p>
        </w:tc>
      </w:tr>
      <w:tr>
        <w:trPr>
          <w:trHeight w:val="441"/>
        </w:trPr>
        <w:tc>
          <w:tcPr>
            <w:tcW w:w="2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282A32"/>
                <w:w w:val="96"/>
              </w:rPr>
              <w:t>Pre-tax</w:t>
            </w:r>
          </w:p>
        </w:tc>
        <w:tc>
          <w:tcPr>
            <w:tcW w:w="1060" w:type="dxa"/>
            <w:vAlign w:val="bottom"/>
          </w:tcPr>
          <w:p>
            <w:pPr>
              <w:jc w:val="right"/>
              <w:ind w:right="270"/>
              <w:spacing w:after="0"/>
              <w:rPr>
                <w:sz w:val="20"/>
                <w:szCs w:val="20"/>
                <w:color w:val="auto"/>
              </w:rPr>
            </w:pPr>
            <w:r>
              <w:rPr>
                <w:rFonts w:ascii="Arial" w:cs="Arial" w:eastAsia="Arial" w:hAnsi="Arial"/>
                <w:sz w:val="19"/>
                <w:szCs w:val="19"/>
                <w:b w:val="1"/>
                <w:bCs w:val="1"/>
                <w:color w:val="282A32"/>
              </w:rPr>
              <w:t>Net</w:t>
            </w:r>
          </w:p>
        </w:tc>
        <w:tc>
          <w:tcPr>
            <w:tcW w:w="860" w:type="dxa"/>
            <w:vAlign w:val="bottom"/>
          </w:tcPr>
          <w:p>
            <w:pPr>
              <w:jc w:val="right"/>
              <w:ind w:right="135"/>
              <w:spacing w:after="0"/>
              <w:rPr>
                <w:sz w:val="20"/>
                <w:szCs w:val="20"/>
                <w:color w:val="auto"/>
              </w:rPr>
            </w:pPr>
            <w:r>
              <w:rPr>
                <w:rFonts w:ascii="Arial" w:cs="Arial" w:eastAsia="Arial" w:hAnsi="Arial"/>
                <w:sz w:val="19"/>
                <w:szCs w:val="19"/>
                <w:b w:val="1"/>
                <w:bCs w:val="1"/>
                <w:color w:val="282A32"/>
              </w:rPr>
              <w:t>EPS -</w:t>
            </w:r>
          </w:p>
        </w:tc>
        <w:tc>
          <w:tcPr>
            <w:tcW w:w="1080" w:type="dxa"/>
            <w:vAlign w:val="bottom"/>
          </w:tcPr>
          <w:p>
            <w:pPr>
              <w:jc w:val="right"/>
              <w:ind w:right="110"/>
              <w:spacing w:after="0"/>
              <w:rPr>
                <w:sz w:val="20"/>
                <w:szCs w:val="20"/>
                <w:color w:val="auto"/>
              </w:rPr>
            </w:pPr>
            <w:r>
              <w:rPr>
                <w:rFonts w:ascii="Arial" w:cs="Arial" w:eastAsia="Arial" w:hAnsi="Arial"/>
                <w:sz w:val="19"/>
                <w:szCs w:val="19"/>
                <w:b w:val="1"/>
                <w:bCs w:val="1"/>
                <w:color w:val="282A32"/>
              </w:rPr>
              <w:t>Pre-tax</w:t>
            </w:r>
          </w:p>
        </w:tc>
        <w:tc>
          <w:tcPr>
            <w:tcW w:w="980" w:type="dxa"/>
            <w:vAlign w:val="bottom"/>
          </w:tcPr>
          <w:p>
            <w:pPr>
              <w:jc w:val="right"/>
              <w:ind w:right="255"/>
              <w:spacing w:after="0"/>
              <w:rPr>
                <w:sz w:val="20"/>
                <w:szCs w:val="20"/>
                <w:color w:val="auto"/>
              </w:rPr>
            </w:pPr>
            <w:r>
              <w:rPr>
                <w:rFonts w:ascii="Arial" w:cs="Arial" w:eastAsia="Arial" w:hAnsi="Arial"/>
                <w:sz w:val="19"/>
                <w:szCs w:val="19"/>
                <w:b w:val="1"/>
                <w:bCs w:val="1"/>
                <w:color w:val="282A32"/>
              </w:rPr>
              <w:t>Net</w:t>
            </w:r>
          </w:p>
        </w:tc>
        <w:tc>
          <w:tcPr>
            <w:tcW w:w="880" w:type="dxa"/>
            <w:vAlign w:val="bottom"/>
          </w:tcPr>
          <w:p>
            <w:pPr>
              <w:jc w:val="right"/>
              <w:ind w:right="115"/>
              <w:spacing w:after="0"/>
              <w:rPr>
                <w:sz w:val="20"/>
                <w:szCs w:val="20"/>
                <w:color w:val="auto"/>
              </w:rPr>
            </w:pPr>
            <w:r>
              <w:rPr>
                <w:rFonts w:ascii="Arial" w:cs="Arial" w:eastAsia="Arial" w:hAnsi="Arial"/>
                <w:sz w:val="19"/>
                <w:szCs w:val="19"/>
                <w:b w:val="1"/>
                <w:bCs w:val="1"/>
                <w:color w:val="282A32"/>
              </w:rPr>
              <w:t>EPS -</w:t>
            </w:r>
          </w:p>
        </w:tc>
        <w:tc>
          <w:tcPr>
            <w:tcW w:w="1080" w:type="dxa"/>
            <w:vAlign w:val="bottom"/>
          </w:tcPr>
          <w:p>
            <w:pPr>
              <w:jc w:val="right"/>
              <w:ind w:right="90"/>
              <w:spacing w:after="0"/>
              <w:rPr>
                <w:sz w:val="20"/>
                <w:szCs w:val="20"/>
                <w:color w:val="auto"/>
              </w:rPr>
            </w:pPr>
            <w:r>
              <w:rPr>
                <w:rFonts w:ascii="Arial" w:cs="Arial" w:eastAsia="Arial" w:hAnsi="Arial"/>
                <w:sz w:val="19"/>
                <w:szCs w:val="19"/>
                <w:b w:val="1"/>
                <w:bCs w:val="1"/>
                <w:color w:val="282A32"/>
              </w:rPr>
              <w:t>Pre-tax</w:t>
            </w:r>
          </w:p>
        </w:tc>
        <w:tc>
          <w:tcPr>
            <w:tcW w:w="1000" w:type="dxa"/>
            <w:vAlign w:val="bottom"/>
          </w:tcPr>
          <w:p>
            <w:pPr>
              <w:jc w:val="right"/>
              <w:ind w:right="255"/>
              <w:spacing w:after="0"/>
              <w:rPr>
                <w:sz w:val="20"/>
                <w:szCs w:val="20"/>
                <w:color w:val="auto"/>
              </w:rPr>
            </w:pPr>
            <w:r>
              <w:rPr>
                <w:rFonts w:ascii="Arial" w:cs="Arial" w:eastAsia="Arial" w:hAnsi="Arial"/>
                <w:sz w:val="19"/>
                <w:szCs w:val="19"/>
                <w:b w:val="1"/>
                <w:bCs w:val="1"/>
                <w:color w:val="282A32"/>
              </w:rPr>
              <w:t>Net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282A32"/>
              </w:rPr>
              <w:t>EPS -</w:t>
            </w:r>
          </w:p>
        </w:tc>
      </w:tr>
      <w:tr>
        <w:trPr>
          <w:trHeight w:val="251"/>
        </w:trPr>
        <w:tc>
          <w:tcPr>
            <w:tcW w:w="4140" w:type="dxa"/>
            <w:vAlign w:val="bottom"/>
            <w:gridSpan w:val="3"/>
          </w:tcPr>
          <w:p>
            <w:pPr>
              <w:jc w:val="right"/>
              <w:ind w:right="30"/>
              <w:spacing w:after="0"/>
              <w:rPr>
                <w:sz w:val="20"/>
                <w:szCs w:val="20"/>
                <w:color w:val="auto"/>
              </w:rPr>
            </w:pPr>
            <w:r>
              <w:rPr>
                <w:rFonts w:ascii="Arial" w:cs="Arial" w:eastAsia="Arial" w:hAnsi="Arial"/>
                <w:sz w:val="19"/>
                <w:szCs w:val="19"/>
                <w:b w:val="1"/>
                <w:bCs w:val="1"/>
                <w:color w:val="282A32"/>
              </w:rPr>
              <w:t>Earnings Earnings</w:t>
            </w:r>
          </w:p>
        </w:tc>
        <w:tc>
          <w:tcPr>
            <w:tcW w:w="860" w:type="dxa"/>
            <w:vAlign w:val="bottom"/>
          </w:tcPr>
          <w:p>
            <w:pPr>
              <w:jc w:val="right"/>
              <w:ind w:right="55"/>
              <w:spacing w:after="0"/>
              <w:rPr>
                <w:sz w:val="20"/>
                <w:szCs w:val="20"/>
                <w:color w:val="auto"/>
              </w:rPr>
            </w:pPr>
            <w:r>
              <w:rPr>
                <w:rFonts w:ascii="Arial" w:cs="Arial" w:eastAsia="Arial" w:hAnsi="Arial"/>
                <w:sz w:val="19"/>
                <w:szCs w:val="19"/>
                <w:b w:val="1"/>
                <w:bCs w:val="1"/>
                <w:color w:val="282A32"/>
              </w:rPr>
              <w:t>Diluted</w:t>
            </w:r>
          </w:p>
        </w:tc>
        <w:tc>
          <w:tcPr>
            <w:tcW w:w="1080" w:type="dxa"/>
            <w:vAlign w:val="bottom"/>
          </w:tcPr>
          <w:p>
            <w:pPr>
              <w:jc w:val="right"/>
              <w:ind w:right="30"/>
              <w:spacing w:after="0"/>
              <w:rPr>
                <w:sz w:val="20"/>
                <w:szCs w:val="20"/>
                <w:color w:val="auto"/>
              </w:rPr>
            </w:pPr>
            <w:r>
              <w:rPr>
                <w:rFonts w:ascii="Arial" w:cs="Arial" w:eastAsia="Arial" w:hAnsi="Arial"/>
                <w:sz w:val="19"/>
                <w:szCs w:val="19"/>
                <w:b w:val="1"/>
                <w:bCs w:val="1"/>
                <w:color w:val="282A32"/>
              </w:rPr>
              <w:t>Earnings</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282A32"/>
              </w:rPr>
              <w:t>Earnings</w:t>
            </w:r>
          </w:p>
        </w:tc>
        <w:tc>
          <w:tcPr>
            <w:tcW w:w="880" w:type="dxa"/>
            <w:vAlign w:val="bottom"/>
          </w:tcPr>
          <w:p>
            <w:pPr>
              <w:jc w:val="right"/>
              <w:ind w:right="55"/>
              <w:spacing w:after="0"/>
              <w:rPr>
                <w:sz w:val="20"/>
                <w:szCs w:val="20"/>
                <w:color w:val="auto"/>
              </w:rPr>
            </w:pPr>
            <w:r>
              <w:rPr>
                <w:rFonts w:ascii="Arial" w:cs="Arial" w:eastAsia="Arial" w:hAnsi="Arial"/>
                <w:sz w:val="19"/>
                <w:szCs w:val="19"/>
                <w:b w:val="1"/>
                <w:bCs w:val="1"/>
                <w:color w:val="282A32"/>
              </w:rPr>
              <w:t>Diluted</w:t>
            </w:r>
          </w:p>
        </w:tc>
        <w:tc>
          <w:tcPr>
            <w:tcW w:w="1080" w:type="dxa"/>
            <w:vAlign w:val="bottom"/>
          </w:tcPr>
          <w:p>
            <w:pPr>
              <w:jc w:val="right"/>
              <w:ind w:right="10"/>
              <w:spacing w:after="0"/>
              <w:rPr>
                <w:sz w:val="20"/>
                <w:szCs w:val="20"/>
                <w:color w:val="auto"/>
              </w:rPr>
            </w:pPr>
            <w:r>
              <w:rPr>
                <w:rFonts w:ascii="Arial" w:cs="Arial" w:eastAsia="Arial" w:hAnsi="Arial"/>
                <w:sz w:val="19"/>
                <w:szCs w:val="19"/>
                <w:b w:val="1"/>
                <w:bCs w:val="1"/>
                <w:color w:val="282A32"/>
              </w:rPr>
              <w:t>Earnings</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282A32"/>
              </w:rPr>
              <w:t>Earnings</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282A32"/>
              </w:rPr>
              <w:t>Diluted</w:t>
            </w:r>
          </w:p>
        </w:tc>
      </w:tr>
      <w:tr>
        <w:trPr>
          <w:trHeight w:val="718"/>
        </w:trPr>
        <w:tc>
          <w:tcPr>
            <w:tcW w:w="2380" w:type="dxa"/>
            <w:vAlign w:val="bottom"/>
          </w:tcPr>
          <w:p>
            <w:pPr>
              <w:spacing w:after="0"/>
              <w:rPr>
                <w:sz w:val="20"/>
                <w:szCs w:val="20"/>
                <w:color w:val="auto"/>
              </w:rPr>
            </w:pPr>
            <w:r>
              <w:rPr>
                <w:rFonts w:ascii="Arial" w:cs="Arial" w:eastAsia="Arial" w:hAnsi="Arial"/>
                <w:sz w:val="19"/>
                <w:szCs w:val="19"/>
                <w:b w:val="1"/>
                <w:bCs w:val="1"/>
                <w:color w:val="282A32"/>
              </w:rPr>
              <w:t>Earnings, As Reported</w:t>
            </w:r>
          </w:p>
        </w:tc>
        <w:tc>
          <w:tcPr>
            <w:tcW w:w="700" w:type="dxa"/>
            <w:vAlign w:val="bottom"/>
          </w:tcPr>
          <w:p>
            <w:pPr>
              <w:jc w:val="right"/>
              <w:spacing w:after="0"/>
              <w:rPr>
                <w:sz w:val="20"/>
                <w:szCs w:val="20"/>
                <w:color w:val="auto"/>
              </w:rPr>
            </w:pPr>
            <w:r>
              <w:rPr>
                <w:rFonts w:ascii="Arial" w:cs="Arial" w:eastAsia="Arial" w:hAnsi="Arial"/>
                <w:sz w:val="22"/>
                <w:szCs w:val="22"/>
                <w:color w:val="466EA5"/>
              </w:rPr>
              <w:t>$94.8</w:t>
            </w:r>
          </w:p>
        </w:tc>
        <w:tc>
          <w:tcPr>
            <w:tcW w:w="1060" w:type="dxa"/>
            <w:vAlign w:val="bottom"/>
          </w:tcPr>
          <w:p>
            <w:pPr>
              <w:jc w:val="right"/>
              <w:ind w:right="90"/>
              <w:spacing w:after="0"/>
              <w:rPr>
                <w:sz w:val="20"/>
                <w:szCs w:val="20"/>
                <w:color w:val="auto"/>
              </w:rPr>
            </w:pPr>
            <w:r>
              <w:rPr>
                <w:rFonts w:ascii="Arial" w:cs="Arial" w:eastAsia="Arial" w:hAnsi="Arial"/>
                <w:sz w:val="22"/>
                <w:szCs w:val="22"/>
                <w:color w:val="466EA5"/>
              </w:rPr>
              <w:t>$ 53.3</w:t>
            </w:r>
          </w:p>
        </w:tc>
        <w:tc>
          <w:tcPr>
            <w:tcW w:w="860" w:type="dxa"/>
            <w:vAlign w:val="bottom"/>
          </w:tcPr>
          <w:p>
            <w:pPr>
              <w:jc w:val="right"/>
              <w:ind w:right="35"/>
              <w:spacing w:after="0"/>
              <w:rPr>
                <w:sz w:val="20"/>
                <w:szCs w:val="20"/>
                <w:color w:val="auto"/>
              </w:rPr>
            </w:pPr>
            <w:r>
              <w:rPr>
                <w:rFonts w:ascii="Arial" w:cs="Arial" w:eastAsia="Arial" w:hAnsi="Arial"/>
                <w:sz w:val="22"/>
                <w:szCs w:val="22"/>
                <w:color w:val="466EA5"/>
              </w:rPr>
              <w:t>$ 0.68</w:t>
            </w:r>
          </w:p>
        </w:tc>
        <w:tc>
          <w:tcPr>
            <w:tcW w:w="1080" w:type="dxa"/>
            <w:vAlign w:val="bottom"/>
          </w:tcPr>
          <w:p>
            <w:pPr>
              <w:jc w:val="right"/>
              <w:spacing w:after="0"/>
              <w:rPr>
                <w:sz w:val="20"/>
                <w:szCs w:val="20"/>
                <w:color w:val="auto"/>
              </w:rPr>
            </w:pPr>
            <w:r>
              <w:rPr>
                <w:rFonts w:ascii="Arial" w:cs="Arial" w:eastAsia="Arial" w:hAnsi="Arial"/>
                <w:sz w:val="22"/>
                <w:szCs w:val="22"/>
                <w:color w:val="466EA5"/>
              </w:rPr>
              <w:t>$ 368.4</w:t>
            </w:r>
          </w:p>
        </w:tc>
        <w:tc>
          <w:tcPr>
            <w:tcW w:w="980" w:type="dxa"/>
            <w:vAlign w:val="bottom"/>
          </w:tcPr>
          <w:p>
            <w:pPr>
              <w:jc w:val="right"/>
              <w:ind w:right="55"/>
              <w:spacing w:after="0"/>
              <w:rPr>
                <w:sz w:val="20"/>
                <w:szCs w:val="20"/>
                <w:color w:val="auto"/>
              </w:rPr>
            </w:pPr>
            <w:r>
              <w:rPr>
                <w:rFonts w:ascii="Arial" w:cs="Arial" w:eastAsia="Arial" w:hAnsi="Arial"/>
                <w:sz w:val="22"/>
                <w:szCs w:val="22"/>
                <w:color w:val="466EA5"/>
              </w:rPr>
              <w:t>$ 197.6</w:t>
            </w:r>
          </w:p>
        </w:tc>
        <w:tc>
          <w:tcPr>
            <w:tcW w:w="880" w:type="dxa"/>
            <w:vAlign w:val="bottom"/>
          </w:tcPr>
          <w:p>
            <w:pPr>
              <w:jc w:val="right"/>
              <w:ind w:right="35"/>
              <w:spacing w:after="0"/>
              <w:rPr>
                <w:sz w:val="20"/>
                <w:szCs w:val="20"/>
                <w:color w:val="auto"/>
              </w:rPr>
            </w:pPr>
            <w:r>
              <w:rPr>
                <w:rFonts w:ascii="Arial" w:cs="Arial" w:eastAsia="Arial" w:hAnsi="Arial"/>
                <w:sz w:val="22"/>
                <w:szCs w:val="22"/>
                <w:color w:val="466EA5"/>
              </w:rPr>
              <w:t>$ 2.47</w:t>
            </w:r>
          </w:p>
        </w:tc>
        <w:tc>
          <w:tcPr>
            <w:tcW w:w="1080" w:type="dxa"/>
            <w:vAlign w:val="bottom"/>
          </w:tcPr>
          <w:p>
            <w:pPr>
              <w:jc w:val="right"/>
              <w:spacing w:after="0"/>
              <w:rPr>
                <w:sz w:val="20"/>
                <w:szCs w:val="20"/>
                <w:color w:val="auto"/>
              </w:rPr>
            </w:pPr>
            <w:r>
              <w:rPr>
                <w:rFonts w:ascii="Arial" w:cs="Arial" w:eastAsia="Arial" w:hAnsi="Arial"/>
                <w:sz w:val="22"/>
                <w:szCs w:val="22"/>
                <w:color w:val="466EA5"/>
              </w:rPr>
              <w:t>$ 479.9</w:t>
            </w:r>
          </w:p>
        </w:tc>
        <w:tc>
          <w:tcPr>
            <w:tcW w:w="1000" w:type="dxa"/>
            <w:vAlign w:val="bottom"/>
          </w:tcPr>
          <w:p>
            <w:pPr>
              <w:jc w:val="right"/>
              <w:ind w:right="55"/>
              <w:spacing w:after="0"/>
              <w:rPr>
                <w:sz w:val="20"/>
                <w:szCs w:val="20"/>
                <w:color w:val="auto"/>
              </w:rPr>
            </w:pPr>
            <w:r>
              <w:rPr>
                <w:rFonts w:ascii="Arial" w:cs="Arial" w:eastAsia="Arial" w:hAnsi="Arial"/>
                <w:sz w:val="22"/>
                <w:szCs w:val="22"/>
                <w:color w:val="466EA5"/>
              </w:rPr>
              <w:t>$ 251.6</w:t>
            </w:r>
          </w:p>
        </w:tc>
        <w:tc>
          <w:tcPr>
            <w:tcW w:w="740" w:type="dxa"/>
            <w:vAlign w:val="bottom"/>
          </w:tcPr>
          <w:p>
            <w:pPr>
              <w:jc w:val="right"/>
              <w:spacing w:after="0"/>
              <w:rPr>
                <w:sz w:val="20"/>
                <w:szCs w:val="20"/>
                <w:color w:val="auto"/>
              </w:rPr>
            </w:pPr>
            <w:r>
              <w:rPr>
                <w:rFonts w:ascii="Arial" w:cs="Arial" w:eastAsia="Arial" w:hAnsi="Arial"/>
                <w:sz w:val="22"/>
                <w:szCs w:val="22"/>
                <w:color w:val="466EA5"/>
              </w:rPr>
              <w:t>$ 3.04</w:t>
            </w:r>
          </w:p>
        </w:tc>
      </w:tr>
      <w:tr>
        <w:trPr>
          <w:trHeight w:val="637"/>
        </w:trPr>
        <w:tc>
          <w:tcPr>
            <w:tcW w:w="2380" w:type="dxa"/>
            <w:vAlign w:val="bottom"/>
          </w:tcPr>
          <w:p>
            <w:pPr>
              <w:spacing w:after="0"/>
              <w:rPr>
                <w:sz w:val="20"/>
                <w:szCs w:val="20"/>
                <w:color w:val="auto"/>
              </w:rPr>
            </w:pPr>
            <w:r>
              <w:rPr>
                <w:rFonts w:ascii="Arial" w:cs="Arial" w:eastAsia="Arial" w:hAnsi="Arial"/>
                <w:sz w:val="19"/>
                <w:szCs w:val="19"/>
                <w:b w:val="1"/>
                <w:bCs w:val="1"/>
                <w:color w:val="282A32"/>
                <w:w w:val="96"/>
              </w:rPr>
              <w:t xml:space="preserve">Reorganization Charges </w:t>
            </w:r>
            <w:r>
              <w:rPr>
                <w:rFonts w:ascii="Arial" w:cs="Arial" w:eastAsia="Arial" w:hAnsi="Arial"/>
                <w:sz w:val="25"/>
                <w:szCs w:val="25"/>
                <w:b w:val="1"/>
                <w:bCs w:val="1"/>
                <w:color w:val="282A32"/>
                <w:w w:val="96"/>
                <w:vertAlign w:val="superscript"/>
              </w:rPr>
              <w:t>(1)</w:t>
            </w:r>
          </w:p>
        </w:tc>
        <w:tc>
          <w:tcPr>
            <w:tcW w:w="700" w:type="dxa"/>
            <w:vAlign w:val="bottom"/>
          </w:tcPr>
          <w:p>
            <w:pPr>
              <w:jc w:val="right"/>
              <w:spacing w:after="0"/>
              <w:rPr>
                <w:sz w:val="20"/>
                <w:szCs w:val="20"/>
                <w:color w:val="auto"/>
              </w:rPr>
            </w:pPr>
            <w:r>
              <w:rPr>
                <w:rFonts w:ascii="Arial" w:cs="Arial" w:eastAsia="Arial" w:hAnsi="Arial"/>
                <w:sz w:val="22"/>
                <w:szCs w:val="22"/>
                <w:color w:val="466EA5"/>
              </w:rPr>
              <w:t>26.6</w:t>
            </w:r>
          </w:p>
        </w:tc>
        <w:tc>
          <w:tcPr>
            <w:tcW w:w="1060" w:type="dxa"/>
            <w:vAlign w:val="bottom"/>
          </w:tcPr>
          <w:p>
            <w:pPr>
              <w:jc w:val="right"/>
              <w:ind w:right="90"/>
              <w:spacing w:after="0"/>
              <w:rPr>
                <w:sz w:val="20"/>
                <w:szCs w:val="20"/>
                <w:color w:val="auto"/>
              </w:rPr>
            </w:pPr>
            <w:r>
              <w:rPr>
                <w:rFonts w:ascii="Arial" w:cs="Arial" w:eastAsia="Arial" w:hAnsi="Arial"/>
                <w:sz w:val="22"/>
                <w:szCs w:val="22"/>
                <w:color w:val="466EA5"/>
              </w:rPr>
              <w:t>18.3</w:t>
            </w:r>
          </w:p>
        </w:tc>
        <w:tc>
          <w:tcPr>
            <w:tcW w:w="860" w:type="dxa"/>
            <w:vAlign w:val="bottom"/>
          </w:tcPr>
          <w:p>
            <w:pPr>
              <w:jc w:val="right"/>
              <w:ind w:right="35"/>
              <w:spacing w:after="0"/>
              <w:rPr>
                <w:sz w:val="20"/>
                <w:szCs w:val="20"/>
                <w:color w:val="auto"/>
              </w:rPr>
            </w:pPr>
            <w:r>
              <w:rPr>
                <w:rFonts w:ascii="Arial" w:cs="Arial" w:eastAsia="Arial" w:hAnsi="Arial"/>
                <w:sz w:val="22"/>
                <w:szCs w:val="22"/>
                <w:color w:val="466EA5"/>
              </w:rPr>
              <w:t>0.23</w:t>
            </w:r>
          </w:p>
        </w:tc>
        <w:tc>
          <w:tcPr>
            <w:tcW w:w="1080" w:type="dxa"/>
            <w:vAlign w:val="bottom"/>
          </w:tcPr>
          <w:p>
            <w:pPr>
              <w:jc w:val="right"/>
              <w:spacing w:after="0"/>
              <w:rPr>
                <w:sz w:val="20"/>
                <w:szCs w:val="20"/>
                <w:color w:val="auto"/>
              </w:rPr>
            </w:pPr>
            <w:r>
              <w:rPr>
                <w:rFonts w:ascii="Arial" w:cs="Arial" w:eastAsia="Arial" w:hAnsi="Arial"/>
                <w:sz w:val="22"/>
                <w:szCs w:val="22"/>
                <w:color w:val="466EA5"/>
              </w:rPr>
              <w:t>45.4</w:t>
            </w:r>
          </w:p>
        </w:tc>
        <w:tc>
          <w:tcPr>
            <w:tcW w:w="980" w:type="dxa"/>
            <w:vAlign w:val="bottom"/>
          </w:tcPr>
          <w:p>
            <w:pPr>
              <w:jc w:val="right"/>
              <w:ind w:right="55"/>
              <w:spacing w:after="0"/>
              <w:rPr>
                <w:sz w:val="20"/>
                <w:szCs w:val="20"/>
                <w:color w:val="auto"/>
              </w:rPr>
            </w:pPr>
            <w:r>
              <w:rPr>
                <w:rFonts w:ascii="Arial" w:cs="Arial" w:eastAsia="Arial" w:hAnsi="Arial"/>
                <w:sz w:val="22"/>
                <w:szCs w:val="22"/>
                <w:color w:val="466EA5"/>
              </w:rPr>
              <w:t>32.1</w:t>
            </w:r>
          </w:p>
        </w:tc>
        <w:tc>
          <w:tcPr>
            <w:tcW w:w="880" w:type="dxa"/>
            <w:vAlign w:val="bottom"/>
          </w:tcPr>
          <w:p>
            <w:pPr>
              <w:jc w:val="right"/>
              <w:ind w:right="35"/>
              <w:spacing w:after="0"/>
              <w:rPr>
                <w:sz w:val="20"/>
                <w:szCs w:val="20"/>
                <w:color w:val="auto"/>
              </w:rPr>
            </w:pPr>
            <w:r>
              <w:rPr>
                <w:rFonts w:ascii="Arial" w:cs="Arial" w:eastAsia="Arial" w:hAnsi="Arial"/>
                <w:sz w:val="22"/>
                <w:szCs w:val="22"/>
                <w:color w:val="466EA5"/>
              </w:rPr>
              <w:t>0.40</w:t>
            </w:r>
          </w:p>
        </w:tc>
        <w:tc>
          <w:tcPr>
            <w:tcW w:w="1080" w:type="dxa"/>
            <w:vAlign w:val="bottom"/>
          </w:tcPr>
          <w:p>
            <w:pPr>
              <w:jc w:val="right"/>
              <w:spacing w:after="0"/>
              <w:rPr>
                <w:sz w:val="20"/>
                <w:szCs w:val="20"/>
                <w:color w:val="auto"/>
              </w:rPr>
            </w:pPr>
            <w:r>
              <w:rPr>
                <w:rFonts w:ascii="Arial" w:cs="Arial" w:eastAsia="Arial" w:hAnsi="Arial"/>
                <w:sz w:val="22"/>
                <w:szCs w:val="22"/>
                <w:color w:val="466EA5"/>
              </w:rPr>
              <w:t>20.5</w:t>
            </w:r>
          </w:p>
        </w:tc>
        <w:tc>
          <w:tcPr>
            <w:tcW w:w="1000" w:type="dxa"/>
            <w:vAlign w:val="bottom"/>
          </w:tcPr>
          <w:p>
            <w:pPr>
              <w:jc w:val="right"/>
              <w:ind w:right="55"/>
              <w:spacing w:after="0"/>
              <w:rPr>
                <w:sz w:val="20"/>
                <w:szCs w:val="20"/>
                <w:color w:val="auto"/>
              </w:rPr>
            </w:pPr>
            <w:r>
              <w:rPr>
                <w:rFonts w:ascii="Arial" w:cs="Arial" w:eastAsia="Arial" w:hAnsi="Arial"/>
                <w:sz w:val="22"/>
                <w:szCs w:val="22"/>
                <w:color w:val="466EA5"/>
              </w:rPr>
              <w:t>16.3</w:t>
            </w:r>
          </w:p>
        </w:tc>
        <w:tc>
          <w:tcPr>
            <w:tcW w:w="740" w:type="dxa"/>
            <w:vAlign w:val="bottom"/>
          </w:tcPr>
          <w:p>
            <w:pPr>
              <w:jc w:val="right"/>
              <w:spacing w:after="0"/>
              <w:rPr>
                <w:sz w:val="20"/>
                <w:szCs w:val="20"/>
                <w:color w:val="auto"/>
              </w:rPr>
            </w:pPr>
            <w:r>
              <w:rPr>
                <w:rFonts w:ascii="Arial" w:cs="Arial" w:eastAsia="Arial" w:hAnsi="Arial"/>
                <w:sz w:val="22"/>
                <w:szCs w:val="22"/>
                <w:color w:val="466EA5"/>
              </w:rPr>
              <w:t>0.20</w:t>
            </w:r>
          </w:p>
        </w:tc>
      </w:tr>
      <w:tr>
        <w:trPr>
          <w:trHeight w:val="567"/>
        </w:trPr>
        <w:tc>
          <w:tcPr>
            <w:tcW w:w="2380" w:type="dxa"/>
            <w:vAlign w:val="bottom"/>
          </w:tcPr>
          <w:p>
            <w:pPr>
              <w:spacing w:after="0"/>
              <w:rPr>
                <w:sz w:val="20"/>
                <w:szCs w:val="20"/>
                <w:color w:val="auto"/>
              </w:rPr>
            </w:pPr>
            <w:r>
              <w:rPr>
                <w:rFonts w:ascii="Arial" w:cs="Arial" w:eastAsia="Arial" w:hAnsi="Arial"/>
                <w:sz w:val="19"/>
                <w:szCs w:val="19"/>
                <w:b w:val="1"/>
                <w:bCs w:val="1"/>
                <w:color w:val="282A32"/>
              </w:rPr>
              <w:t>Legal Costs - US</w:t>
            </w:r>
          </w:p>
        </w:tc>
        <w:tc>
          <w:tcPr>
            <w:tcW w:w="700" w:type="dxa"/>
            <w:vAlign w:val="bottom"/>
          </w:tcPr>
          <w:p>
            <w:pPr>
              <w:jc w:val="right"/>
              <w:spacing w:after="0"/>
              <w:rPr>
                <w:sz w:val="20"/>
                <w:szCs w:val="20"/>
                <w:color w:val="auto"/>
              </w:rPr>
            </w:pPr>
            <w:r>
              <w:rPr>
                <w:rFonts w:ascii="Arial" w:cs="Arial" w:eastAsia="Arial" w:hAnsi="Arial"/>
                <w:sz w:val="22"/>
                <w:szCs w:val="22"/>
                <w:color w:val="466EA5"/>
              </w:rPr>
              <w:t>-</w:t>
            </w:r>
          </w:p>
        </w:tc>
        <w:tc>
          <w:tcPr>
            <w:tcW w:w="1060" w:type="dxa"/>
            <w:vAlign w:val="bottom"/>
          </w:tcPr>
          <w:p>
            <w:pPr>
              <w:jc w:val="right"/>
              <w:ind w:right="90"/>
              <w:spacing w:after="0"/>
              <w:rPr>
                <w:sz w:val="20"/>
                <w:szCs w:val="20"/>
                <w:color w:val="auto"/>
              </w:rPr>
            </w:pPr>
            <w:r>
              <w:rPr>
                <w:rFonts w:ascii="Arial" w:cs="Arial" w:eastAsia="Arial" w:hAnsi="Arial"/>
                <w:sz w:val="22"/>
                <w:szCs w:val="22"/>
                <w:color w:val="466EA5"/>
              </w:rPr>
              <w:t>-</w:t>
            </w:r>
          </w:p>
        </w:tc>
        <w:tc>
          <w:tcPr>
            <w:tcW w:w="860" w:type="dxa"/>
            <w:vAlign w:val="bottom"/>
          </w:tcPr>
          <w:p>
            <w:pPr>
              <w:jc w:val="right"/>
              <w:ind w:right="35"/>
              <w:spacing w:after="0"/>
              <w:rPr>
                <w:sz w:val="20"/>
                <w:szCs w:val="20"/>
                <w:color w:val="auto"/>
              </w:rPr>
            </w:pPr>
            <w:r>
              <w:rPr>
                <w:rFonts w:ascii="Arial" w:cs="Arial" w:eastAsia="Arial" w:hAnsi="Arial"/>
                <w:sz w:val="22"/>
                <w:szCs w:val="22"/>
                <w:color w:val="466EA5"/>
              </w:rPr>
              <w:t>-</w:t>
            </w:r>
          </w:p>
        </w:tc>
        <w:tc>
          <w:tcPr>
            <w:tcW w:w="1080" w:type="dxa"/>
            <w:vAlign w:val="bottom"/>
          </w:tcPr>
          <w:p>
            <w:pPr>
              <w:jc w:val="right"/>
              <w:spacing w:after="0"/>
              <w:rPr>
                <w:sz w:val="20"/>
                <w:szCs w:val="20"/>
                <w:color w:val="auto"/>
              </w:rPr>
            </w:pPr>
            <w:r>
              <w:rPr>
                <w:rFonts w:ascii="Arial" w:cs="Arial" w:eastAsia="Arial" w:hAnsi="Arial"/>
                <w:sz w:val="22"/>
                <w:szCs w:val="22"/>
                <w:color w:val="466EA5"/>
              </w:rPr>
              <w:t>10.0</w:t>
            </w:r>
          </w:p>
        </w:tc>
        <w:tc>
          <w:tcPr>
            <w:tcW w:w="980" w:type="dxa"/>
            <w:vAlign w:val="bottom"/>
          </w:tcPr>
          <w:p>
            <w:pPr>
              <w:jc w:val="right"/>
              <w:ind w:right="55"/>
              <w:spacing w:after="0"/>
              <w:rPr>
                <w:sz w:val="20"/>
                <w:szCs w:val="20"/>
                <w:color w:val="auto"/>
              </w:rPr>
            </w:pPr>
            <w:r>
              <w:rPr>
                <w:rFonts w:ascii="Arial" w:cs="Arial" w:eastAsia="Arial" w:hAnsi="Arial"/>
                <w:sz w:val="22"/>
                <w:szCs w:val="22"/>
                <w:color w:val="466EA5"/>
              </w:rPr>
              <w:t>6.5</w:t>
            </w:r>
          </w:p>
        </w:tc>
        <w:tc>
          <w:tcPr>
            <w:tcW w:w="880" w:type="dxa"/>
            <w:vAlign w:val="bottom"/>
          </w:tcPr>
          <w:p>
            <w:pPr>
              <w:jc w:val="right"/>
              <w:ind w:right="35"/>
              <w:spacing w:after="0"/>
              <w:rPr>
                <w:sz w:val="20"/>
                <w:szCs w:val="20"/>
                <w:color w:val="auto"/>
              </w:rPr>
            </w:pPr>
            <w:r>
              <w:rPr>
                <w:rFonts w:ascii="Arial" w:cs="Arial" w:eastAsia="Arial" w:hAnsi="Arial"/>
                <w:sz w:val="22"/>
                <w:szCs w:val="22"/>
                <w:color w:val="466EA5"/>
              </w:rPr>
              <w:t>0.08</w:t>
            </w:r>
          </w:p>
        </w:tc>
        <w:tc>
          <w:tcPr>
            <w:tcW w:w="1080" w:type="dxa"/>
            <w:vAlign w:val="bottom"/>
          </w:tcPr>
          <w:p>
            <w:pPr>
              <w:jc w:val="right"/>
              <w:spacing w:after="0"/>
              <w:rPr>
                <w:sz w:val="20"/>
                <w:szCs w:val="20"/>
                <w:color w:val="auto"/>
              </w:rPr>
            </w:pPr>
            <w:r>
              <w:rPr>
                <w:rFonts w:ascii="Arial" w:cs="Arial" w:eastAsia="Arial" w:hAnsi="Arial"/>
                <w:sz w:val="22"/>
                <w:szCs w:val="22"/>
                <w:color w:val="466EA5"/>
              </w:rPr>
              <w:t>-</w:t>
            </w:r>
          </w:p>
        </w:tc>
        <w:tc>
          <w:tcPr>
            <w:tcW w:w="1000" w:type="dxa"/>
            <w:vAlign w:val="bottom"/>
          </w:tcPr>
          <w:p>
            <w:pPr>
              <w:jc w:val="right"/>
              <w:ind w:right="55"/>
              <w:spacing w:after="0"/>
              <w:rPr>
                <w:sz w:val="20"/>
                <w:szCs w:val="20"/>
                <w:color w:val="auto"/>
              </w:rPr>
            </w:pPr>
            <w:r>
              <w:rPr>
                <w:rFonts w:ascii="Arial" w:cs="Arial" w:eastAsia="Arial" w:hAnsi="Arial"/>
                <w:sz w:val="22"/>
                <w:szCs w:val="22"/>
                <w:color w:val="466EA5"/>
              </w:rPr>
              <w:t>-</w:t>
            </w:r>
          </w:p>
        </w:tc>
        <w:tc>
          <w:tcPr>
            <w:tcW w:w="740" w:type="dxa"/>
            <w:vAlign w:val="bottom"/>
          </w:tcPr>
          <w:p>
            <w:pPr>
              <w:jc w:val="right"/>
              <w:spacing w:after="0"/>
              <w:rPr>
                <w:sz w:val="20"/>
                <w:szCs w:val="20"/>
                <w:color w:val="auto"/>
              </w:rPr>
            </w:pPr>
            <w:r>
              <w:rPr>
                <w:rFonts w:ascii="Arial" w:cs="Arial" w:eastAsia="Arial" w:hAnsi="Arial"/>
                <w:sz w:val="22"/>
                <w:szCs w:val="22"/>
                <w:color w:val="466EA5"/>
              </w:rPr>
              <w:t>-</w:t>
            </w:r>
          </w:p>
        </w:tc>
      </w:tr>
      <w:tr>
        <w:trPr>
          <w:trHeight w:val="624"/>
        </w:trPr>
        <w:tc>
          <w:tcPr>
            <w:tcW w:w="3080" w:type="dxa"/>
            <w:vAlign w:val="bottom"/>
            <w:gridSpan w:val="2"/>
          </w:tcPr>
          <w:p>
            <w:pPr>
              <w:spacing w:after="0"/>
              <w:rPr>
                <w:sz w:val="20"/>
                <w:szCs w:val="20"/>
                <w:color w:val="auto"/>
              </w:rPr>
            </w:pPr>
            <w:r>
              <w:rPr>
                <w:rFonts w:ascii="Arial" w:cs="Arial" w:eastAsia="Arial" w:hAnsi="Arial"/>
                <w:sz w:val="19"/>
                <w:szCs w:val="19"/>
                <w:b w:val="1"/>
                <w:bCs w:val="1"/>
                <w:color w:val="282A32"/>
              </w:rPr>
              <w:t xml:space="preserve">Earnings, Excluding non </w:t>
            </w:r>
            <w:r>
              <w:rPr>
                <w:rFonts w:ascii="Arial" w:cs="Arial" w:eastAsia="Arial" w:hAnsi="Arial"/>
                <w:sz w:val="22"/>
                <w:szCs w:val="22"/>
                <w:color w:val="466EA5"/>
              </w:rPr>
              <w:t>$ 121.4</w:t>
            </w:r>
          </w:p>
        </w:tc>
        <w:tc>
          <w:tcPr>
            <w:tcW w:w="1060" w:type="dxa"/>
            <w:vAlign w:val="bottom"/>
          </w:tcPr>
          <w:p>
            <w:pPr>
              <w:jc w:val="right"/>
              <w:ind w:right="90"/>
              <w:spacing w:after="0"/>
              <w:rPr>
                <w:sz w:val="20"/>
                <w:szCs w:val="20"/>
                <w:color w:val="auto"/>
              </w:rPr>
            </w:pPr>
            <w:r>
              <w:rPr>
                <w:rFonts w:ascii="Arial" w:cs="Arial" w:eastAsia="Arial" w:hAnsi="Arial"/>
                <w:sz w:val="22"/>
                <w:szCs w:val="22"/>
                <w:color w:val="466EA5"/>
              </w:rPr>
              <w:t>$ 71.6</w:t>
            </w:r>
          </w:p>
        </w:tc>
        <w:tc>
          <w:tcPr>
            <w:tcW w:w="860" w:type="dxa"/>
            <w:vAlign w:val="bottom"/>
          </w:tcPr>
          <w:p>
            <w:pPr>
              <w:jc w:val="right"/>
              <w:ind w:right="35"/>
              <w:spacing w:after="0"/>
              <w:rPr>
                <w:sz w:val="20"/>
                <w:szCs w:val="20"/>
                <w:color w:val="auto"/>
              </w:rPr>
            </w:pPr>
            <w:r>
              <w:rPr>
                <w:rFonts w:ascii="Arial" w:cs="Arial" w:eastAsia="Arial" w:hAnsi="Arial"/>
                <w:sz w:val="22"/>
                <w:szCs w:val="22"/>
                <w:color w:val="466EA5"/>
              </w:rPr>
              <w:t>$ 0.91</w:t>
            </w:r>
          </w:p>
        </w:tc>
        <w:tc>
          <w:tcPr>
            <w:tcW w:w="1080" w:type="dxa"/>
            <w:vAlign w:val="bottom"/>
          </w:tcPr>
          <w:p>
            <w:pPr>
              <w:jc w:val="right"/>
              <w:spacing w:after="0"/>
              <w:rPr>
                <w:sz w:val="20"/>
                <w:szCs w:val="20"/>
                <w:color w:val="auto"/>
              </w:rPr>
            </w:pPr>
            <w:r>
              <w:rPr>
                <w:rFonts w:ascii="Arial" w:cs="Arial" w:eastAsia="Arial" w:hAnsi="Arial"/>
                <w:sz w:val="22"/>
                <w:szCs w:val="22"/>
                <w:color w:val="466EA5"/>
              </w:rPr>
              <w:t>$ 423.8</w:t>
            </w:r>
          </w:p>
        </w:tc>
        <w:tc>
          <w:tcPr>
            <w:tcW w:w="980" w:type="dxa"/>
            <w:vAlign w:val="bottom"/>
          </w:tcPr>
          <w:p>
            <w:pPr>
              <w:jc w:val="right"/>
              <w:ind w:right="55"/>
              <w:spacing w:after="0"/>
              <w:rPr>
                <w:sz w:val="20"/>
                <w:szCs w:val="20"/>
                <w:color w:val="auto"/>
              </w:rPr>
            </w:pPr>
            <w:r>
              <w:rPr>
                <w:rFonts w:ascii="Arial" w:cs="Arial" w:eastAsia="Arial" w:hAnsi="Arial"/>
                <w:sz w:val="22"/>
                <w:szCs w:val="22"/>
                <w:color w:val="466EA5"/>
              </w:rPr>
              <w:t>$ 236.2</w:t>
            </w:r>
          </w:p>
        </w:tc>
        <w:tc>
          <w:tcPr>
            <w:tcW w:w="880" w:type="dxa"/>
            <w:vAlign w:val="bottom"/>
          </w:tcPr>
          <w:p>
            <w:pPr>
              <w:jc w:val="right"/>
              <w:ind w:right="35"/>
              <w:spacing w:after="0"/>
              <w:rPr>
                <w:sz w:val="20"/>
                <w:szCs w:val="20"/>
                <w:color w:val="auto"/>
              </w:rPr>
            </w:pPr>
            <w:r>
              <w:rPr>
                <w:rFonts w:ascii="Arial" w:cs="Arial" w:eastAsia="Arial" w:hAnsi="Arial"/>
                <w:sz w:val="22"/>
                <w:szCs w:val="22"/>
                <w:color w:val="466EA5"/>
              </w:rPr>
              <w:t>$ 2.95</w:t>
            </w:r>
          </w:p>
        </w:tc>
        <w:tc>
          <w:tcPr>
            <w:tcW w:w="1080" w:type="dxa"/>
            <w:vAlign w:val="bottom"/>
          </w:tcPr>
          <w:p>
            <w:pPr>
              <w:jc w:val="right"/>
              <w:spacing w:after="0"/>
              <w:rPr>
                <w:sz w:val="20"/>
                <w:szCs w:val="20"/>
                <w:color w:val="auto"/>
              </w:rPr>
            </w:pPr>
            <w:r>
              <w:rPr>
                <w:rFonts w:ascii="Arial" w:cs="Arial" w:eastAsia="Arial" w:hAnsi="Arial"/>
                <w:sz w:val="22"/>
                <w:szCs w:val="22"/>
                <w:color w:val="466EA5"/>
              </w:rPr>
              <w:t>$ 500.4</w:t>
            </w:r>
          </w:p>
        </w:tc>
        <w:tc>
          <w:tcPr>
            <w:tcW w:w="1000" w:type="dxa"/>
            <w:vAlign w:val="bottom"/>
          </w:tcPr>
          <w:p>
            <w:pPr>
              <w:jc w:val="right"/>
              <w:ind w:right="55"/>
              <w:spacing w:after="0"/>
              <w:rPr>
                <w:sz w:val="20"/>
                <w:szCs w:val="20"/>
                <w:color w:val="auto"/>
              </w:rPr>
            </w:pPr>
            <w:r>
              <w:rPr>
                <w:rFonts w:ascii="Arial" w:cs="Arial" w:eastAsia="Arial" w:hAnsi="Arial"/>
                <w:sz w:val="22"/>
                <w:szCs w:val="22"/>
                <w:color w:val="466EA5"/>
              </w:rPr>
              <w:t>$ 267.9</w:t>
            </w:r>
          </w:p>
        </w:tc>
        <w:tc>
          <w:tcPr>
            <w:tcW w:w="740" w:type="dxa"/>
            <w:vAlign w:val="bottom"/>
          </w:tcPr>
          <w:p>
            <w:pPr>
              <w:jc w:val="right"/>
              <w:spacing w:after="0"/>
              <w:rPr>
                <w:sz w:val="20"/>
                <w:szCs w:val="20"/>
                <w:color w:val="auto"/>
              </w:rPr>
            </w:pPr>
            <w:r>
              <w:rPr>
                <w:rFonts w:ascii="Arial" w:cs="Arial" w:eastAsia="Arial" w:hAnsi="Arial"/>
                <w:sz w:val="22"/>
                <w:szCs w:val="22"/>
                <w:color w:val="466EA5"/>
              </w:rPr>
              <w:t>$ 3.24</w:t>
            </w:r>
          </w:p>
        </w:tc>
      </w:tr>
      <w:tr>
        <w:trPr>
          <w:trHeight w:val="251"/>
        </w:trPr>
        <w:tc>
          <w:tcPr>
            <w:tcW w:w="2380" w:type="dxa"/>
            <w:vAlign w:val="bottom"/>
          </w:tcPr>
          <w:p>
            <w:pPr>
              <w:ind w:left="220"/>
              <w:spacing w:after="0"/>
              <w:rPr>
                <w:sz w:val="20"/>
                <w:szCs w:val="20"/>
                <w:color w:val="auto"/>
              </w:rPr>
            </w:pPr>
            <w:r>
              <w:rPr>
                <w:rFonts w:ascii="Arial" w:cs="Arial" w:eastAsia="Arial" w:hAnsi="Arial"/>
                <w:sz w:val="19"/>
                <w:szCs w:val="19"/>
                <w:b w:val="1"/>
                <w:bCs w:val="1"/>
                <w:color w:val="282A32"/>
              </w:rPr>
              <w:t>-recurring items</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282A32"/>
        </w:rPr>
        <w:t>(1) Includes reorganization charges as follows: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282A32"/>
        </w:rPr>
        <w:t>Q4 2012: Americas ($1.0M), Southern Europe ($2.8M), Northern Europe ($11.5M), APME ($0.4M), Right Management ($0.5M), Corporate ($10.4M)</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282A32"/>
        </w:rPr>
        <w:t>FY 2012: Americas ($9.3M), Southern Europe ($2.8M), Northern Europe ($11.5M), APME ($0.4M), Right Management ($10.9M), Corporate ($10.4M)</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282A32"/>
        </w:rPr>
        <w:t>FY 2011: Americas ($2.4M), Northern Europe ($12.0M), Right Management ($6.1M)</w:t>
      </w:r>
    </w:p>
    <w:p>
      <w:pPr>
        <w:ind w:left="10320"/>
        <w:spacing w:after="0"/>
        <w:rPr>
          <w:sz w:val="20"/>
          <w:szCs w:val="20"/>
          <w:color w:val="auto"/>
        </w:rPr>
      </w:pPr>
      <w:r>
        <w:rPr>
          <w:rFonts w:ascii="Arial" w:cs="Arial" w:eastAsia="Arial" w:hAnsi="Arial"/>
          <w:sz w:val="17"/>
          <w:szCs w:val="17"/>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557530</wp:posOffset>
            </wp:positionV>
            <wp:extent cx="726884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880"/>
          </w:cols>
          <w:pgMar w:left="340" w:top="514" w:right="679" w:bottom="1440" w:gutter="0" w:footer="0" w:header="0"/>
        </w:sectPr>
      </w:pPr>
    </w:p>
    <w:bookmarkStart w:id="16" w:name="page17"/>
    <w:bookmarkEnd w:id="16"/>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47"/>
          <w:szCs w:val="47"/>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280"/>
          </w:cols>
          <w:pgMar w:left="860" w:top="514" w:right="759" w:bottom="1440" w:gutter="0" w:footer="0" w:header="0"/>
        </w:sectPr>
      </w:pPr>
    </w:p>
    <w:bookmarkStart w:id="17" w:name="page18"/>
    <w:bookmarkEnd w:id="17"/>
    <w:p>
      <w:pPr>
        <w:ind w:left="6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50"/>
          <w:szCs w:val="50"/>
          <w:color w:val="5F81AA"/>
        </w:rPr>
        <w:t>Business Line Gross Profit - Q4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00" w:type="dxa"/>
            <w:vAlign w:val="bottom"/>
          </w:tcPr>
          <w:p>
            <w:pPr>
              <w:ind w:left="1520"/>
              <w:spacing w:after="0"/>
              <w:rPr>
                <w:sz w:val="20"/>
                <w:szCs w:val="20"/>
                <w:color w:val="auto"/>
              </w:rPr>
            </w:pPr>
            <w:r>
              <w:rPr>
                <w:rFonts w:ascii="Arial" w:cs="Arial" w:eastAsia="Arial" w:hAnsi="Arial"/>
                <w:sz w:val="19"/>
                <w:szCs w:val="19"/>
                <w:b w:val="1"/>
                <w:bCs w:val="1"/>
                <w:color w:val="7EA190"/>
              </w:rPr>
              <w:t xml:space="preserve">█ </w:t>
            </w:r>
            <w:r>
              <w:rPr>
                <w:rFonts w:ascii="Arial" w:cs="Arial" w:eastAsia="Arial" w:hAnsi="Arial"/>
                <w:sz w:val="19"/>
                <w:szCs w:val="19"/>
                <w:b w:val="1"/>
                <w:bCs w:val="1"/>
                <w:color w:val="343537"/>
              </w:rPr>
              <w:t>ManpowerGroup Solutions</w:t>
            </w:r>
          </w:p>
        </w:tc>
        <w:tc>
          <w:tcPr>
            <w:tcW w:w="4320" w:type="dxa"/>
            <w:vAlign w:val="bottom"/>
          </w:tcPr>
          <w:p>
            <w:pPr>
              <w:ind w:left="420"/>
              <w:spacing w:after="0"/>
              <w:rPr>
                <w:sz w:val="20"/>
                <w:szCs w:val="20"/>
                <w:color w:val="auto"/>
              </w:rPr>
            </w:pPr>
            <w:r>
              <w:rPr>
                <w:rFonts w:ascii="Arial" w:cs="Arial" w:eastAsia="Arial" w:hAnsi="Arial"/>
                <w:sz w:val="19"/>
                <w:szCs w:val="19"/>
                <w:b w:val="1"/>
                <w:bCs w:val="1"/>
                <w:color w:val="C8504F"/>
              </w:rPr>
              <w:t xml:space="preserve">█ </w:t>
            </w:r>
            <w:r>
              <w:rPr>
                <w:rFonts w:ascii="Arial" w:cs="Arial" w:eastAsia="Arial" w:hAnsi="Arial"/>
                <w:sz w:val="19"/>
                <w:szCs w:val="19"/>
                <w:b w:val="1"/>
                <w:bCs w:val="1"/>
                <w:color w:val="343537"/>
              </w:rPr>
              <w:t>Right Management</w:t>
            </w:r>
          </w:p>
        </w:tc>
        <w:tc>
          <w:tcPr>
            <w:tcW w:w="2520" w:type="dxa"/>
            <w:vAlign w:val="bottom"/>
            <w:vMerge w:val="restart"/>
          </w:tcPr>
          <w:p>
            <w:pPr>
              <w:jc w:val="right"/>
              <w:ind w:right="353"/>
              <w:spacing w:after="0"/>
              <w:rPr>
                <w:sz w:val="20"/>
                <w:szCs w:val="20"/>
                <w:color w:val="auto"/>
              </w:rPr>
            </w:pPr>
            <w:r>
              <w:rPr>
                <w:rFonts w:ascii="Arial" w:cs="Arial" w:eastAsia="Arial" w:hAnsi="Arial"/>
                <w:sz w:val="17"/>
                <w:szCs w:val="17"/>
                <w:color w:val="7F7F7F"/>
              </w:rPr>
              <w:t>7</w:t>
            </w:r>
          </w:p>
        </w:tc>
        <w:tc>
          <w:tcPr>
            <w:tcW w:w="0" w:type="dxa"/>
            <w:vAlign w:val="bottom"/>
          </w:tcPr>
          <w:p>
            <w:pPr>
              <w:spacing w:after="0"/>
              <w:rPr>
                <w:sz w:val="1"/>
                <w:szCs w:val="1"/>
                <w:color w:val="auto"/>
              </w:rPr>
            </w:pPr>
          </w:p>
        </w:tc>
      </w:tr>
      <w:tr>
        <w:trPr>
          <w:trHeight w:val="67"/>
        </w:trPr>
        <w:tc>
          <w:tcPr>
            <w:tcW w:w="4600" w:type="dxa"/>
            <w:vAlign w:val="bottom"/>
          </w:tcPr>
          <w:p>
            <w:pPr>
              <w:spacing w:after="0"/>
              <w:rPr>
                <w:sz w:val="5"/>
                <w:szCs w:val="5"/>
                <w:color w:val="auto"/>
              </w:rPr>
            </w:pPr>
          </w:p>
        </w:tc>
        <w:tc>
          <w:tcPr>
            <w:tcW w:w="432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3"/>
        </w:trPr>
        <w:tc>
          <w:tcPr>
            <w:tcW w:w="46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18" w:name="page19"/>
    <w:bookmarkEnd w:id="18"/>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40"/>
          </w:cols>
          <w:pgMar w:left="860" w:top="514" w:right="699" w:bottom="1440" w:gutter="0" w:footer="0" w:header="0"/>
        </w:sectPr>
      </w:pPr>
    </w:p>
    <w:bookmarkStart w:id="19" w:name="page20"/>
    <w:bookmarkEnd w:id="19"/>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50"/>
          <w:szCs w:val="50"/>
          <w:color w:val="5F81AA"/>
        </w:rPr>
        <w:t>Americas Segment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31"/>
          <w:szCs w:val="31"/>
          <w:color w:val="5F81AA"/>
        </w:rPr>
        <w:t>(22% of Revenue)</w:t>
      </w: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36"/>
        </w:trPr>
        <w:tc>
          <w:tcPr>
            <w:tcW w:w="208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2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r>
              <w:rPr>
                <w:rFonts w:ascii="Arial" w:cs="Arial" w:eastAsia="Arial" w:hAnsi="Arial"/>
                <w:sz w:val="17"/>
                <w:szCs w:val="17"/>
                <w:b w:val="1"/>
                <w:bCs w:val="1"/>
                <w:color w:val="282A32"/>
              </w:rPr>
              <w:t>(1)</w:t>
            </w:r>
          </w:p>
        </w:tc>
        <w:tc>
          <w:tcPr>
            <w:tcW w:w="0" w:type="dxa"/>
            <w:vAlign w:val="bottom"/>
          </w:tcPr>
          <w:p>
            <w:pPr>
              <w:spacing w:after="0" w:line="20" w:lineRule="exact"/>
              <w:rPr>
                <w:sz w:val="1"/>
                <w:szCs w:val="1"/>
                <w:color w:val="auto"/>
              </w:rPr>
            </w:pPr>
          </w:p>
        </w:tc>
      </w:tr>
      <w:tr>
        <w:trPr>
          <w:trHeight w:val="260"/>
        </w:trPr>
        <w:tc>
          <w:tcPr>
            <w:tcW w:w="208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212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08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A3A5AA"/>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A3A5AA"/>
          </w:tcPr>
          <w:p>
            <w:pPr>
              <w:spacing w:after="0"/>
              <w:rPr>
                <w:sz w:val="24"/>
                <w:szCs w:val="24"/>
                <w:color w:val="auto"/>
              </w:rPr>
            </w:pP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80" w:type="dxa"/>
            <w:vAlign w:val="bottom"/>
          </w:tcPr>
          <w:p>
            <w:pPr>
              <w:spacing w:after="0"/>
              <w:rPr>
                <w:sz w:val="24"/>
                <w:szCs w:val="24"/>
                <w:color w:val="auto"/>
              </w:rPr>
            </w:pPr>
          </w:p>
        </w:tc>
        <w:tc>
          <w:tcPr>
            <w:tcW w:w="40" w:type="dxa"/>
            <w:vAlign w:val="bottom"/>
            <w:shd w:val="clear" w:color="auto" w:fill="A3A5AA"/>
          </w:tcPr>
          <w:p>
            <w:pPr>
              <w:spacing w:after="0"/>
              <w:rPr>
                <w:sz w:val="24"/>
                <w:szCs w:val="24"/>
                <w:color w:val="auto"/>
              </w:rPr>
            </w:pPr>
          </w:p>
        </w:tc>
        <w:tc>
          <w:tcPr>
            <w:tcW w:w="2120" w:type="dxa"/>
            <w:vAlign w:val="bottom"/>
          </w:tcPr>
          <w:p>
            <w:pPr>
              <w:jc w:val="center"/>
              <w:ind w:left="95"/>
              <w:spacing w:after="0"/>
              <w:rPr>
                <w:sz w:val="20"/>
                <w:szCs w:val="20"/>
                <w:color w:val="auto"/>
              </w:rPr>
            </w:pPr>
            <w:r>
              <w:rPr>
                <w:rFonts w:ascii="Arial" w:cs="Arial" w:eastAsia="Arial" w:hAnsi="Arial"/>
                <w:sz w:val="25"/>
                <w:szCs w:val="25"/>
                <w:b w:val="1"/>
                <w:bCs w:val="1"/>
                <w:color w:val="282A32"/>
                <w:w w:val="96"/>
              </w:rPr>
              <w:t xml:space="preserve">Items </w:t>
            </w:r>
            <w:r>
              <w:rPr>
                <w:rFonts w:ascii="Arial" w:cs="Arial" w:eastAsia="Arial" w:hAnsi="Arial"/>
                <w:sz w:val="17"/>
                <w:szCs w:val="17"/>
                <w:b w:val="1"/>
                <w:bCs w:val="1"/>
                <w:color w:val="282A32"/>
                <w:w w:val="96"/>
              </w:rPr>
              <w:t>(2)</w:t>
            </w:r>
          </w:p>
        </w:tc>
        <w:tc>
          <w:tcPr>
            <w:tcW w:w="40" w:type="dxa"/>
            <w:vAlign w:val="bottom"/>
            <w:shd w:val="clear" w:color="auto" w:fill="A3A5AA"/>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8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5220" w:type="dxa"/>
            <w:vAlign w:val="bottom"/>
            <w:tcBorders>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2080" w:type="dxa"/>
            <w:vAlign w:val="bottom"/>
          </w:tcPr>
          <w:p>
            <w:pPr>
              <w:jc w:val="center"/>
              <w:ind w:left="189"/>
              <w:spacing w:after="0"/>
              <w:rPr>
                <w:sz w:val="20"/>
                <w:szCs w:val="20"/>
                <w:color w:val="auto"/>
              </w:rPr>
            </w:pPr>
            <w:r>
              <w:rPr>
                <w:rFonts w:ascii="Arial" w:cs="Arial" w:eastAsia="Arial" w:hAnsi="Arial"/>
                <w:sz w:val="38"/>
                <w:szCs w:val="38"/>
                <w:color w:val="282A32"/>
              </w:rPr>
              <w:t>0%</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435"/>
              <w:spacing w:after="0"/>
              <w:rPr>
                <w:sz w:val="20"/>
                <w:szCs w:val="20"/>
                <w:color w:val="auto"/>
              </w:rPr>
            </w:pPr>
            <w:r>
              <w:rPr>
                <w:rFonts w:ascii="Arial" w:cs="Arial" w:eastAsia="Arial" w:hAnsi="Arial"/>
                <w:sz w:val="38"/>
                <w:szCs w:val="38"/>
                <w:color w:val="282A32"/>
              </w:rPr>
              <w:t>0%</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$1.2B</w:t>
            </w:r>
          </w:p>
        </w:tc>
        <w:tc>
          <w:tcPr>
            <w:tcW w:w="0" w:type="dxa"/>
            <w:vAlign w:val="bottom"/>
          </w:tcPr>
          <w:p>
            <w:pPr>
              <w:spacing w:after="0"/>
              <w:rPr>
                <w:sz w:val="1"/>
                <w:szCs w:val="1"/>
                <w:color w:val="auto"/>
              </w:rPr>
            </w:pPr>
          </w:p>
        </w:tc>
      </w:tr>
      <w:tr>
        <w:trPr>
          <w:trHeight w:val="262"/>
        </w:trPr>
        <w:tc>
          <w:tcPr>
            <w:tcW w:w="2080" w:type="dxa"/>
            <w:vAlign w:val="bottom"/>
            <w:vMerge w:val="restart"/>
          </w:tcPr>
          <w:p>
            <w:pPr>
              <w:jc w:val="center"/>
              <w:ind w:left="189"/>
              <w:spacing w:after="0"/>
              <w:rPr>
                <w:sz w:val="20"/>
                <w:szCs w:val="20"/>
                <w:color w:val="auto"/>
              </w:rPr>
            </w:pPr>
            <w:r>
              <w:rPr>
                <w:rFonts w:ascii="Arial" w:cs="Arial" w:eastAsia="Arial" w:hAnsi="Arial"/>
                <w:sz w:val="38"/>
                <w:szCs w:val="38"/>
                <w:color w:val="282A32"/>
                <w:w w:val="99"/>
              </w:rPr>
              <w:t>0%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95"/>
              <w:spacing w:after="0"/>
              <w:rPr>
                <w:sz w:val="20"/>
                <w:szCs w:val="20"/>
                <w:color w:val="auto"/>
              </w:rPr>
            </w:pPr>
            <w:r>
              <w:rPr>
                <w:rFonts w:ascii="Arial" w:cs="Arial" w:eastAsia="Arial" w:hAnsi="Arial"/>
                <w:sz w:val="38"/>
                <w:szCs w:val="38"/>
                <w:color w:val="282A32"/>
                <w:w w:val="99"/>
              </w:rPr>
              <w:t>0%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80" w:type="dxa"/>
            <w:vAlign w:val="bottom"/>
            <w:vMerge w:val="continue"/>
          </w:tcPr>
          <w:p>
            <w:pPr>
              <w:spacing w:after="0"/>
              <w:rPr>
                <w:sz w:val="17"/>
                <w:szCs w:val="17"/>
                <w:color w:val="auto"/>
              </w:rPr>
            </w:pPr>
          </w:p>
        </w:tc>
        <w:tc>
          <w:tcPr>
            <w:tcW w:w="40" w:type="dxa"/>
            <w:vAlign w:val="bottom"/>
            <w:shd w:val="clear" w:color="auto" w:fill="A3A5AA"/>
          </w:tcPr>
          <w:p>
            <w:pPr>
              <w:spacing w:after="0"/>
              <w:rPr>
                <w:sz w:val="17"/>
                <w:szCs w:val="17"/>
                <w:color w:val="auto"/>
              </w:rPr>
            </w:pPr>
          </w:p>
        </w:tc>
        <w:tc>
          <w:tcPr>
            <w:tcW w:w="2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left w:val="single" w:sz="8" w:color="A3A5AA"/>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8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shd w:val="clear" w:color="auto" w:fill="A3A5AA"/>
          </w:tcPr>
          <w:p>
            <w:pPr>
              <w:spacing w:after="0"/>
              <w:rPr>
                <w:sz w:val="6"/>
                <w:szCs w:val="6"/>
                <w:color w:val="auto"/>
              </w:rPr>
            </w:pPr>
          </w:p>
        </w:tc>
        <w:tc>
          <w:tcPr>
            <w:tcW w:w="212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tcPr>
          <w:p>
            <w:pPr>
              <w:spacing w:after="0"/>
              <w:rPr>
                <w:sz w:val="6"/>
                <w:szCs w:val="6"/>
                <w:color w:val="auto"/>
              </w:rPr>
            </w:pPr>
          </w:p>
        </w:tc>
        <w:tc>
          <w:tcPr>
            <w:tcW w:w="522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080" w:type="dxa"/>
            <w:vAlign w:val="bottom"/>
          </w:tcPr>
          <w:p>
            <w:pPr>
              <w:jc w:val="center"/>
              <w:ind w:left="189"/>
              <w:spacing w:after="0"/>
              <w:rPr>
                <w:sz w:val="20"/>
                <w:szCs w:val="20"/>
                <w:color w:val="auto"/>
              </w:rPr>
            </w:pPr>
            <w:r>
              <w:rPr>
                <w:rFonts w:ascii="Arial" w:cs="Arial" w:eastAsia="Arial" w:hAnsi="Arial"/>
                <w:sz w:val="38"/>
                <w:szCs w:val="38"/>
                <w:color w:val="282A32"/>
              </w:rPr>
              <w:t>7%</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335"/>
              <w:spacing w:after="0"/>
              <w:rPr>
                <w:sz w:val="20"/>
                <w:szCs w:val="20"/>
                <w:color w:val="auto"/>
              </w:rPr>
            </w:pPr>
            <w:r>
              <w:rPr>
                <w:rFonts w:ascii="Arial" w:cs="Arial" w:eastAsia="Arial" w:hAnsi="Arial"/>
                <w:sz w:val="38"/>
                <w:szCs w:val="38"/>
                <w:color w:val="282A32"/>
              </w:rPr>
              <w:t>10%</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$36M</w:t>
            </w:r>
          </w:p>
        </w:tc>
        <w:tc>
          <w:tcPr>
            <w:tcW w:w="0" w:type="dxa"/>
            <w:vAlign w:val="bottom"/>
          </w:tcPr>
          <w:p>
            <w:pPr>
              <w:spacing w:after="0"/>
              <w:rPr>
                <w:sz w:val="1"/>
                <w:szCs w:val="1"/>
                <w:color w:val="auto"/>
              </w:rPr>
            </w:pPr>
          </w:p>
        </w:tc>
      </w:tr>
      <w:tr>
        <w:trPr>
          <w:trHeight w:val="262"/>
        </w:trPr>
        <w:tc>
          <w:tcPr>
            <w:tcW w:w="2080" w:type="dxa"/>
            <w:vAlign w:val="bottom"/>
            <w:vMerge w:val="restart"/>
          </w:tcPr>
          <w:p>
            <w:pPr>
              <w:jc w:val="center"/>
              <w:ind w:left="189"/>
              <w:spacing w:after="0"/>
              <w:rPr>
                <w:sz w:val="20"/>
                <w:szCs w:val="20"/>
                <w:color w:val="auto"/>
              </w:rPr>
            </w:pPr>
            <w:r>
              <w:rPr>
                <w:rFonts w:ascii="Arial" w:cs="Arial" w:eastAsia="Arial" w:hAnsi="Arial"/>
                <w:sz w:val="38"/>
                <w:szCs w:val="38"/>
                <w:color w:val="282A32"/>
                <w:w w:val="99"/>
              </w:rPr>
              <w:t>8%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95"/>
              <w:spacing w:after="0"/>
              <w:rPr>
                <w:sz w:val="20"/>
                <w:szCs w:val="20"/>
                <w:color w:val="auto"/>
              </w:rPr>
            </w:pPr>
            <w:r>
              <w:rPr>
                <w:rFonts w:ascii="Arial" w:cs="Arial" w:eastAsia="Arial" w:hAnsi="Arial"/>
                <w:sz w:val="38"/>
                <w:szCs w:val="38"/>
                <w:color w:val="282A32"/>
                <w:w w:val="98"/>
              </w:rPr>
              <w:t>11%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80" w:type="dxa"/>
            <w:vAlign w:val="bottom"/>
            <w:vMerge w:val="continue"/>
          </w:tcPr>
          <w:p>
            <w:pPr>
              <w:spacing w:after="0"/>
              <w:rPr>
                <w:sz w:val="21"/>
                <w:szCs w:val="21"/>
                <w:color w:val="auto"/>
              </w:rPr>
            </w:pPr>
          </w:p>
        </w:tc>
        <w:tc>
          <w:tcPr>
            <w:tcW w:w="40" w:type="dxa"/>
            <w:vAlign w:val="bottom"/>
            <w:shd w:val="clear" w:color="auto" w:fill="A3A5AA"/>
          </w:tcPr>
          <w:p>
            <w:pPr>
              <w:spacing w:after="0"/>
              <w:rPr>
                <w:sz w:val="21"/>
                <w:szCs w:val="21"/>
                <w:color w:val="auto"/>
              </w:rPr>
            </w:pPr>
          </w:p>
        </w:tc>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20" w:type="dxa"/>
            <w:vAlign w:val="bottom"/>
            <w:tcBorders>
              <w:left w:val="single" w:sz="8" w:color="A3A5A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08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tcPr>
          <w:p>
            <w:pPr>
              <w:spacing w:after="0"/>
              <w:rPr>
                <w:sz w:val="3"/>
                <w:szCs w:val="3"/>
                <w:color w:val="auto"/>
              </w:rPr>
            </w:pPr>
          </w:p>
        </w:tc>
        <w:tc>
          <w:tcPr>
            <w:tcW w:w="5220" w:type="dxa"/>
            <w:vAlign w:val="bottom"/>
            <w:tcBorders>
              <w:left w:val="single" w:sz="8" w:color="A3A5AA"/>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793"/>
        </w:trPr>
        <w:tc>
          <w:tcPr>
            <w:tcW w:w="2080" w:type="dxa"/>
            <w:vAlign w:val="bottom"/>
          </w:tcPr>
          <w:p>
            <w:pPr>
              <w:jc w:val="center"/>
              <w:ind w:left="189"/>
              <w:spacing w:after="0"/>
              <w:rPr>
                <w:sz w:val="20"/>
                <w:szCs w:val="20"/>
                <w:color w:val="auto"/>
              </w:rPr>
            </w:pPr>
            <w:r>
              <w:rPr>
                <w:rFonts w:ascii="Arial" w:cs="Arial" w:eastAsia="Arial" w:hAnsi="Arial"/>
                <w:sz w:val="38"/>
                <w:szCs w:val="38"/>
                <w:color w:val="282A32"/>
                <w:w w:val="98"/>
              </w:rPr>
              <w:t>20 bps</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95"/>
              <w:spacing w:after="0"/>
              <w:rPr>
                <w:sz w:val="20"/>
                <w:szCs w:val="20"/>
                <w:color w:val="auto"/>
              </w:rPr>
            </w:pPr>
            <w:r>
              <w:rPr>
                <w:rFonts w:ascii="Arial" w:cs="Arial" w:eastAsia="Arial" w:hAnsi="Arial"/>
                <w:sz w:val="38"/>
                <w:szCs w:val="38"/>
                <w:color w:val="282A32"/>
                <w:w w:val="98"/>
              </w:rPr>
              <w:t>30 bps</w:t>
            </w:r>
          </w:p>
        </w:tc>
        <w:tc>
          <w:tcPr>
            <w:tcW w:w="40" w:type="dxa"/>
            <w:vAlign w:val="bottom"/>
            <w:shd w:val="clear" w:color="auto" w:fill="A3A5AA"/>
          </w:tcPr>
          <w:p>
            <w:pPr>
              <w:spacing w:after="0"/>
              <w:rPr>
                <w:sz w:val="24"/>
                <w:szCs w:val="24"/>
                <w:color w:val="auto"/>
              </w:rPr>
            </w:pPr>
          </w:p>
        </w:tc>
        <w:tc>
          <w:tcPr>
            <w:tcW w:w="522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3.1%</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40" w:right="1100" w:hanging="291"/>
        <w:spacing w:after="0" w:line="255" w:lineRule="auto"/>
        <w:tabs>
          <w:tab w:leader="none" w:pos="835" w:val="left"/>
        </w:tabs>
        <w:numPr>
          <w:ilvl w:val="0"/>
          <w:numId w:val="5"/>
        </w:numPr>
        <w:rPr>
          <w:rFonts w:ascii="Arial" w:cs="Arial" w:eastAsia="Arial" w:hAnsi="Arial"/>
          <w:sz w:val="19"/>
          <w:szCs w:val="19"/>
          <w:color w:val="343537"/>
        </w:rPr>
      </w:pPr>
      <w:r>
        <w:rPr>
          <w:rFonts w:ascii="Arial" w:cs="Arial" w:eastAsia="Arial" w:hAnsi="Arial"/>
          <w:sz w:val="19"/>
          <w:szCs w:val="19"/>
          <w:color w:val="343537"/>
        </w:rPr>
        <w:t>Included in these amounts is the US, which had revenue of $751M (-2%) and OUP of $22M (-17%, or -20% excluding reorganization charges in Q4 2012 and Q4 2011).</w:t>
      </w:r>
    </w:p>
    <w:p>
      <w:pPr>
        <w:spacing w:after="0" w:line="55" w:lineRule="exact"/>
        <w:rPr>
          <w:rFonts w:ascii="Arial" w:cs="Arial" w:eastAsia="Arial" w:hAnsi="Arial"/>
          <w:sz w:val="19"/>
          <w:szCs w:val="19"/>
          <w:color w:val="343537"/>
        </w:rPr>
      </w:pPr>
    </w:p>
    <w:p>
      <w:pPr>
        <w:ind w:left="820" w:hanging="271"/>
        <w:spacing w:after="0"/>
        <w:tabs>
          <w:tab w:leader="none" w:pos="820" w:val="left"/>
        </w:tabs>
        <w:numPr>
          <w:ilvl w:val="0"/>
          <w:numId w:val="5"/>
        </w:numPr>
        <w:rPr>
          <w:rFonts w:ascii="Arial" w:cs="Arial" w:eastAsia="Arial" w:hAnsi="Arial"/>
          <w:sz w:val="19"/>
          <w:szCs w:val="19"/>
          <w:color w:val="282A32"/>
        </w:rPr>
      </w:pPr>
      <w:r>
        <w:rPr>
          <w:rFonts w:ascii="Arial" w:cs="Arial" w:eastAsia="Arial" w:hAnsi="Arial"/>
          <w:sz w:val="19"/>
          <w:szCs w:val="19"/>
          <w:color w:val="282A32"/>
        </w:rPr>
        <w:t>Excludes the impact of reorganization charges of $1.0M in Q4 2012 and $2.4M in Q4 2011.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343537"/>
        </w:rPr>
        <w:t>Operating Unit Profit (OUP) is the measure that we use to evaluate segment performance. OUP is</w:t>
      </w:r>
    </w:p>
    <w:p>
      <w:pPr>
        <w:ind w:left="460"/>
        <w:spacing w:after="0"/>
        <w:rPr>
          <w:sz w:val="20"/>
          <w:szCs w:val="20"/>
          <w:color w:val="auto"/>
        </w:rPr>
      </w:pPr>
      <w:r>
        <w:rPr>
          <w:rFonts w:ascii="Arial" w:cs="Arial" w:eastAsia="Arial" w:hAnsi="Arial"/>
          <w:sz w:val="19"/>
          <w:szCs w:val="19"/>
          <w:b w:val="1"/>
          <w:bCs w:val="1"/>
          <w:color w:val="343537"/>
        </w:rPr>
        <w:t xml:space="preserve">equal to segment revenues less direct costs and branch and national headquarters operating </w:t>
      </w:r>
      <w:r>
        <w:rPr>
          <w:rFonts w:ascii="Arial" w:cs="Arial" w:eastAsia="Arial" w:hAnsi="Arial"/>
          <w:sz w:val="34"/>
          <w:szCs w:val="34"/>
          <w:color w:val="7F7F7F"/>
          <w:vertAlign w:val="superscript"/>
        </w:rPr>
        <w:t>9</w:t>
      </w:r>
      <w:r>
        <w:rPr>
          <w:rFonts w:ascii="Arial" w:cs="Arial" w:eastAsia="Arial" w:hAnsi="Arial"/>
          <w:sz w:val="19"/>
          <w:szCs w:val="19"/>
          <w:b w:val="1"/>
          <w:bCs w:val="1"/>
          <w:color w:val="343537"/>
        </w:rPr>
        <w:t xml:space="preser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335915</wp:posOffset>
            </wp:positionV>
            <wp:extent cx="726884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80"/>
          </w:cols>
          <w:pgMar w:left="860" w:top="514" w:right="659" w:bottom="1440" w:gutter="0" w:footer="0" w:header="0"/>
        </w:sectPr>
      </w:pPr>
    </w:p>
    <w:bookmarkStart w:id="20" w:name="page21"/>
    <w:bookmarkEnd w:id="20"/>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397" w:lineRule="exact"/>
        <w:rPr>
          <w:sz w:val="20"/>
          <w:szCs w:val="20"/>
          <w:color w:val="auto"/>
        </w:rPr>
      </w:pPr>
    </w:p>
    <w:p>
      <w:pPr>
        <w:ind w:left="280"/>
        <w:spacing w:after="0"/>
        <w:rPr>
          <w:sz w:val="20"/>
          <w:szCs w:val="20"/>
          <w:color w:val="auto"/>
        </w:rPr>
      </w:pPr>
      <w:r>
        <w:rPr>
          <w:rFonts w:ascii="Arial" w:cs="Arial" w:eastAsia="Arial" w:hAnsi="Arial"/>
          <w:sz w:val="47"/>
          <w:szCs w:val="47"/>
          <w:color w:val="5F81AA"/>
        </w:rPr>
        <w:t>Americas - Q4 Revenue Growth YoY</w:t>
      </w:r>
    </w:p>
    <w:p>
      <w:pPr>
        <w:spacing w:after="0" w:line="200" w:lineRule="exact"/>
        <w:rPr>
          <w:sz w:val="20"/>
          <w:szCs w:val="20"/>
          <w:color w:val="auto"/>
        </w:rPr>
      </w:pPr>
    </w:p>
    <w:p>
      <w:pPr>
        <w:spacing w:after="0" w:line="307"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343537"/>
        </w:rPr>
        <w:t>% of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40"/>
          </w:cols>
          <w:pgMar w:left="860" w:top="514" w:right="699" w:bottom="1440" w:gutter="0" w:footer="0" w:header="0"/>
        </w:sectPr>
      </w:pPr>
    </w:p>
    <w:bookmarkStart w:id="21" w:name="page22"/>
    <w:bookmarkEnd w:id="21"/>
    <w:p>
      <w:pPr>
        <w:ind w:left="6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39" w:lineRule="exact"/>
        <w:rPr>
          <w:sz w:val="20"/>
          <w:szCs w:val="20"/>
          <w:color w:val="auto"/>
        </w:rPr>
      </w:pPr>
    </w:p>
    <w:p>
      <w:pPr>
        <w:ind w:left="860"/>
        <w:spacing w:after="0"/>
        <w:rPr>
          <w:sz w:val="20"/>
          <w:szCs w:val="20"/>
          <w:color w:val="auto"/>
        </w:rPr>
      </w:pPr>
      <w:r>
        <w:rPr>
          <w:rFonts w:ascii="Arial" w:cs="Arial" w:eastAsia="Arial" w:hAnsi="Arial"/>
          <w:sz w:val="50"/>
          <w:szCs w:val="50"/>
          <w:color w:val="5F81AA"/>
        </w:rPr>
        <w:t>Southern Europe Segment</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31"/>
          <w:szCs w:val="31"/>
          <w:color w:val="5F81AA"/>
        </w:rPr>
        <w:t>(34% of Revenue)</w:t>
      </w:r>
    </w:p>
    <w:p>
      <w:pPr>
        <w:spacing w:after="0" w:line="200" w:lineRule="exact"/>
        <w:rPr>
          <w:sz w:val="20"/>
          <w:szCs w:val="20"/>
          <w:color w:val="auto"/>
        </w:rPr>
      </w:pPr>
    </w:p>
    <w:p>
      <w:pPr>
        <w:spacing w:after="0" w:line="342" w:lineRule="exact"/>
        <w:rPr>
          <w:sz w:val="20"/>
          <w:szCs w:val="20"/>
          <w:color w:val="auto"/>
        </w:rPr>
      </w:pPr>
    </w:p>
    <w:tbl>
      <w:tblPr>
        <w:tblLayout w:type="fixed"/>
        <w:tblInd w:w="920" w:type="dxa"/>
        <w:tblCellMar>
          <w:top w:w="0" w:type="dxa"/>
          <w:left w:w="0" w:type="dxa"/>
          <w:bottom w:w="0" w:type="dxa"/>
          <w:right w:w="0" w:type="dxa"/>
        </w:tblCellMar>
      </w:tblPr>
      <w:tr>
        <w:trPr>
          <w:trHeight w:val="36"/>
        </w:trPr>
        <w:tc>
          <w:tcPr>
            <w:tcW w:w="210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2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r>
              <w:rPr>
                <w:rFonts w:ascii="Arial" w:cs="Arial" w:eastAsia="Arial" w:hAnsi="Arial"/>
                <w:sz w:val="17"/>
                <w:szCs w:val="17"/>
                <w:b w:val="1"/>
                <w:bCs w:val="1"/>
                <w:color w:val="282A32"/>
              </w:rPr>
              <w:t>(1)</w:t>
            </w:r>
          </w:p>
        </w:tc>
        <w:tc>
          <w:tcPr>
            <w:tcW w:w="0" w:type="dxa"/>
            <w:vAlign w:val="bottom"/>
          </w:tcPr>
          <w:p>
            <w:pPr>
              <w:spacing w:after="0" w:line="20" w:lineRule="exact"/>
              <w:rPr>
                <w:sz w:val="1"/>
                <w:szCs w:val="1"/>
                <w:color w:val="auto"/>
              </w:rPr>
            </w:pPr>
          </w:p>
        </w:tc>
      </w:tr>
      <w:tr>
        <w:trPr>
          <w:trHeight w:val="260"/>
        </w:trPr>
        <w:tc>
          <w:tcPr>
            <w:tcW w:w="210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212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10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A3A5AA"/>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A3A5AA"/>
          </w:tcPr>
          <w:p>
            <w:pPr>
              <w:spacing w:after="0"/>
              <w:rPr>
                <w:sz w:val="24"/>
                <w:szCs w:val="24"/>
                <w:color w:val="auto"/>
              </w:rPr>
            </w:pP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4"/>
                <w:szCs w:val="24"/>
                <w:color w:val="auto"/>
              </w:rPr>
            </w:pPr>
          </w:p>
        </w:tc>
        <w:tc>
          <w:tcPr>
            <w:tcW w:w="40" w:type="dxa"/>
            <w:vAlign w:val="bottom"/>
            <w:shd w:val="clear" w:color="auto" w:fill="A3A5AA"/>
          </w:tcPr>
          <w:p>
            <w:pPr>
              <w:spacing w:after="0"/>
              <w:rPr>
                <w:sz w:val="24"/>
                <w:szCs w:val="24"/>
                <w:color w:val="auto"/>
              </w:rPr>
            </w:pPr>
          </w:p>
        </w:tc>
        <w:tc>
          <w:tcPr>
            <w:tcW w:w="2120" w:type="dxa"/>
            <w:vAlign w:val="bottom"/>
          </w:tcPr>
          <w:p>
            <w:pPr>
              <w:jc w:val="center"/>
              <w:ind w:left="35"/>
              <w:spacing w:after="0"/>
              <w:rPr>
                <w:sz w:val="20"/>
                <w:szCs w:val="20"/>
                <w:color w:val="auto"/>
              </w:rPr>
            </w:pPr>
            <w:r>
              <w:rPr>
                <w:rFonts w:ascii="Arial" w:cs="Arial" w:eastAsia="Arial" w:hAnsi="Arial"/>
                <w:sz w:val="25"/>
                <w:szCs w:val="25"/>
                <w:b w:val="1"/>
                <w:bCs w:val="1"/>
                <w:color w:val="282A32"/>
              </w:rPr>
              <w:t>Items</w:t>
            </w:r>
            <w:r>
              <w:rPr>
                <w:rFonts w:ascii="Arial" w:cs="Arial" w:eastAsia="Arial" w:hAnsi="Arial"/>
                <w:sz w:val="17"/>
                <w:szCs w:val="17"/>
                <w:b w:val="1"/>
                <w:bCs w:val="1"/>
                <w:color w:val="282A32"/>
              </w:rPr>
              <w:t>(2)</w:t>
            </w:r>
          </w:p>
        </w:tc>
        <w:tc>
          <w:tcPr>
            <w:tcW w:w="40" w:type="dxa"/>
            <w:vAlign w:val="bottom"/>
            <w:shd w:val="clear" w:color="auto" w:fill="A3A5AA"/>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5220" w:type="dxa"/>
            <w:vAlign w:val="bottom"/>
            <w:tcBorders>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2100" w:type="dxa"/>
            <w:vAlign w:val="bottom"/>
          </w:tcPr>
          <w:p>
            <w:pPr>
              <w:jc w:val="center"/>
              <w:ind w:left="189"/>
              <w:spacing w:after="0"/>
              <w:rPr>
                <w:sz w:val="20"/>
                <w:szCs w:val="20"/>
                <w:color w:val="auto"/>
              </w:rPr>
            </w:pPr>
            <w:r>
              <w:rPr>
                <w:rFonts w:ascii="Arial" w:cs="Arial" w:eastAsia="Arial" w:hAnsi="Arial"/>
                <w:sz w:val="38"/>
                <w:szCs w:val="38"/>
                <w:color w:val="282A32"/>
                <w:w w:val="97"/>
              </w:rPr>
              <w:t>12%</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55"/>
              <w:spacing w:after="0"/>
              <w:rPr>
                <w:sz w:val="20"/>
                <w:szCs w:val="20"/>
                <w:color w:val="auto"/>
              </w:rPr>
            </w:pPr>
            <w:r>
              <w:rPr>
                <w:rFonts w:ascii="Arial" w:cs="Arial" w:eastAsia="Arial" w:hAnsi="Arial"/>
                <w:sz w:val="38"/>
                <w:szCs w:val="38"/>
                <w:color w:val="282A32"/>
                <w:w w:val="99"/>
              </w:rPr>
              <w:t>12%</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$1.8B</w:t>
            </w:r>
          </w:p>
        </w:tc>
        <w:tc>
          <w:tcPr>
            <w:tcW w:w="0" w:type="dxa"/>
            <w:vAlign w:val="bottom"/>
          </w:tcPr>
          <w:p>
            <w:pPr>
              <w:spacing w:after="0"/>
              <w:rPr>
                <w:sz w:val="1"/>
                <w:szCs w:val="1"/>
                <w:color w:val="auto"/>
              </w:rPr>
            </w:pPr>
          </w:p>
        </w:tc>
      </w:tr>
      <w:tr>
        <w:trPr>
          <w:trHeight w:val="262"/>
        </w:trPr>
        <w:tc>
          <w:tcPr>
            <w:tcW w:w="2100" w:type="dxa"/>
            <w:vAlign w:val="bottom"/>
            <w:vMerge w:val="restart"/>
          </w:tcPr>
          <w:p>
            <w:pPr>
              <w:jc w:val="center"/>
              <w:ind w:left="189"/>
              <w:spacing w:after="0"/>
              <w:rPr>
                <w:sz w:val="20"/>
                <w:szCs w:val="20"/>
                <w:color w:val="auto"/>
              </w:rPr>
            </w:pPr>
            <w:r>
              <w:rPr>
                <w:rFonts w:ascii="Arial" w:cs="Arial" w:eastAsia="Arial" w:hAnsi="Arial"/>
                <w:sz w:val="38"/>
                <w:szCs w:val="38"/>
                <w:color w:val="282A32"/>
                <w:w w:val="98"/>
              </w:rPr>
              <w:t>8%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55"/>
              <w:spacing w:after="0"/>
              <w:rPr>
                <w:sz w:val="20"/>
                <w:szCs w:val="20"/>
                <w:color w:val="auto"/>
              </w:rPr>
            </w:pPr>
            <w:r>
              <w:rPr>
                <w:rFonts w:ascii="Arial" w:cs="Arial" w:eastAsia="Arial" w:hAnsi="Arial"/>
                <w:sz w:val="38"/>
                <w:szCs w:val="38"/>
                <w:color w:val="282A32"/>
                <w:w w:val="99"/>
              </w:rPr>
              <w:t>8%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A3A5AA"/>
          </w:tcPr>
          <w:p>
            <w:pPr>
              <w:spacing w:after="0"/>
              <w:rPr>
                <w:sz w:val="17"/>
                <w:szCs w:val="17"/>
                <w:color w:val="auto"/>
              </w:rPr>
            </w:pPr>
          </w:p>
        </w:tc>
        <w:tc>
          <w:tcPr>
            <w:tcW w:w="2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left w:val="single" w:sz="8" w:color="A3A5AA"/>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10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shd w:val="clear" w:color="auto" w:fill="A3A5AA"/>
          </w:tcPr>
          <w:p>
            <w:pPr>
              <w:spacing w:after="0"/>
              <w:rPr>
                <w:sz w:val="6"/>
                <w:szCs w:val="6"/>
                <w:color w:val="auto"/>
              </w:rPr>
            </w:pPr>
          </w:p>
        </w:tc>
        <w:tc>
          <w:tcPr>
            <w:tcW w:w="212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tcPr>
          <w:p>
            <w:pPr>
              <w:spacing w:after="0"/>
              <w:rPr>
                <w:sz w:val="6"/>
                <w:szCs w:val="6"/>
                <w:color w:val="auto"/>
              </w:rPr>
            </w:pPr>
          </w:p>
        </w:tc>
        <w:tc>
          <w:tcPr>
            <w:tcW w:w="522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100" w:type="dxa"/>
            <w:vAlign w:val="bottom"/>
          </w:tcPr>
          <w:p>
            <w:pPr>
              <w:jc w:val="center"/>
              <w:ind w:left="189"/>
              <w:spacing w:after="0"/>
              <w:rPr>
                <w:sz w:val="20"/>
                <w:szCs w:val="20"/>
                <w:color w:val="auto"/>
              </w:rPr>
            </w:pPr>
            <w:r>
              <w:rPr>
                <w:rFonts w:ascii="Arial" w:cs="Arial" w:eastAsia="Arial" w:hAnsi="Arial"/>
                <w:sz w:val="38"/>
                <w:szCs w:val="38"/>
                <w:color w:val="282A32"/>
                <w:w w:val="97"/>
              </w:rPr>
              <w:t>34%</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55"/>
              <w:spacing w:after="0"/>
              <w:rPr>
                <w:sz w:val="20"/>
                <w:szCs w:val="20"/>
                <w:color w:val="auto"/>
              </w:rPr>
            </w:pPr>
            <w:r>
              <w:rPr>
                <w:rFonts w:ascii="Arial" w:cs="Arial" w:eastAsia="Arial" w:hAnsi="Arial"/>
                <w:sz w:val="38"/>
                <w:szCs w:val="38"/>
                <w:color w:val="282A32"/>
                <w:w w:val="99"/>
              </w:rPr>
              <w:t>28%</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$28M</w:t>
            </w:r>
          </w:p>
        </w:tc>
        <w:tc>
          <w:tcPr>
            <w:tcW w:w="0" w:type="dxa"/>
            <w:vAlign w:val="bottom"/>
          </w:tcPr>
          <w:p>
            <w:pPr>
              <w:spacing w:after="0"/>
              <w:rPr>
                <w:sz w:val="1"/>
                <w:szCs w:val="1"/>
                <w:color w:val="auto"/>
              </w:rPr>
            </w:pPr>
          </w:p>
        </w:tc>
      </w:tr>
      <w:tr>
        <w:trPr>
          <w:trHeight w:val="262"/>
        </w:trPr>
        <w:tc>
          <w:tcPr>
            <w:tcW w:w="2100" w:type="dxa"/>
            <w:vAlign w:val="bottom"/>
            <w:vMerge w:val="restart"/>
          </w:tcPr>
          <w:p>
            <w:pPr>
              <w:jc w:val="center"/>
              <w:ind w:left="189"/>
              <w:spacing w:after="0"/>
              <w:rPr>
                <w:sz w:val="20"/>
                <w:szCs w:val="20"/>
                <w:color w:val="auto"/>
              </w:rPr>
            </w:pPr>
            <w:r>
              <w:rPr>
                <w:rFonts w:ascii="Arial" w:cs="Arial" w:eastAsia="Arial" w:hAnsi="Arial"/>
                <w:sz w:val="38"/>
                <w:szCs w:val="38"/>
                <w:color w:val="282A32"/>
              </w:rPr>
              <w:t>31%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55"/>
              <w:spacing w:after="0"/>
              <w:rPr>
                <w:sz w:val="20"/>
                <w:szCs w:val="20"/>
                <w:color w:val="auto"/>
              </w:rPr>
            </w:pPr>
            <w:r>
              <w:rPr>
                <w:rFonts w:ascii="Arial" w:cs="Arial" w:eastAsia="Arial" w:hAnsi="Arial"/>
                <w:sz w:val="38"/>
                <w:szCs w:val="38"/>
                <w:color w:val="282A32"/>
                <w:w w:val="98"/>
              </w:rPr>
              <w:t>24%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40" w:type="dxa"/>
            <w:vAlign w:val="bottom"/>
            <w:shd w:val="clear" w:color="auto" w:fill="A3A5AA"/>
          </w:tcPr>
          <w:p>
            <w:pPr>
              <w:spacing w:after="0"/>
              <w:rPr>
                <w:sz w:val="21"/>
                <w:szCs w:val="21"/>
                <w:color w:val="auto"/>
              </w:rPr>
            </w:pPr>
          </w:p>
        </w:tc>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20" w:type="dxa"/>
            <w:vAlign w:val="bottom"/>
            <w:tcBorders>
              <w:left w:val="single" w:sz="8" w:color="A3A5A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tcPr>
          <w:p>
            <w:pPr>
              <w:spacing w:after="0"/>
              <w:rPr>
                <w:sz w:val="3"/>
                <w:szCs w:val="3"/>
                <w:color w:val="auto"/>
              </w:rPr>
            </w:pPr>
          </w:p>
        </w:tc>
        <w:tc>
          <w:tcPr>
            <w:tcW w:w="5220" w:type="dxa"/>
            <w:vAlign w:val="bottom"/>
            <w:tcBorders>
              <w:left w:val="single" w:sz="8" w:color="A3A5AA"/>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793"/>
        </w:trPr>
        <w:tc>
          <w:tcPr>
            <w:tcW w:w="2100" w:type="dxa"/>
            <w:vAlign w:val="bottom"/>
          </w:tcPr>
          <w:p>
            <w:pPr>
              <w:jc w:val="center"/>
              <w:ind w:left="189"/>
              <w:spacing w:after="0"/>
              <w:rPr>
                <w:sz w:val="20"/>
                <w:szCs w:val="20"/>
                <w:color w:val="auto"/>
              </w:rPr>
            </w:pPr>
            <w:r>
              <w:rPr>
                <w:rFonts w:ascii="Arial" w:cs="Arial" w:eastAsia="Arial" w:hAnsi="Arial"/>
                <w:sz w:val="38"/>
                <w:szCs w:val="38"/>
                <w:color w:val="282A32"/>
                <w:w w:val="99"/>
              </w:rPr>
              <w:t>50 bps</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75"/>
              <w:spacing w:after="0"/>
              <w:rPr>
                <w:sz w:val="20"/>
                <w:szCs w:val="20"/>
                <w:color w:val="auto"/>
              </w:rPr>
            </w:pPr>
            <w:r>
              <w:rPr>
                <w:rFonts w:ascii="Arial" w:cs="Arial" w:eastAsia="Arial" w:hAnsi="Arial"/>
                <w:sz w:val="38"/>
                <w:szCs w:val="38"/>
                <w:color w:val="282A32"/>
                <w:w w:val="99"/>
              </w:rPr>
              <w:t>30 bps</w:t>
            </w:r>
          </w:p>
        </w:tc>
        <w:tc>
          <w:tcPr>
            <w:tcW w:w="40" w:type="dxa"/>
            <w:vAlign w:val="bottom"/>
            <w:shd w:val="clear" w:color="auto" w:fill="A3A5AA"/>
          </w:tcPr>
          <w:p>
            <w:pPr>
              <w:spacing w:after="0"/>
              <w:rPr>
                <w:sz w:val="24"/>
                <w:szCs w:val="24"/>
                <w:color w:val="auto"/>
              </w:rPr>
            </w:pPr>
          </w:p>
        </w:tc>
        <w:tc>
          <w:tcPr>
            <w:tcW w:w="522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1.6%</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left="1200" w:right="920" w:hanging="279"/>
        <w:spacing w:after="0" w:line="251" w:lineRule="auto"/>
        <w:tabs>
          <w:tab w:leader="none" w:pos="1195" w:val="left"/>
        </w:tabs>
        <w:numPr>
          <w:ilvl w:val="0"/>
          <w:numId w:val="6"/>
        </w:numPr>
        <w:rPr>
          <w:rFonts w:ascii="Arial" w:cs="Arial" w:eastAsia="Arial" w:hAnsi="Arial"/>
          <w:sz w:val="19"/>
          <w:szCs w:val="19"/>
          <w:color w:val="343537"/>
        </w:rPr>
      </w:pPr>
      <w:r>
        <w:rPr>
          <w:rFonts w:ascii="Arial" w:cs="Arial" w:eastAsia="Arial" w:hAnsi="Arial"/>
          <w:sz w:val="19"/>
          <w:szCs w:val="19"/>
          <w:color w:val="343537"/>
        </w:rPr>
        <w:t>Included in these amounts is France, which had revenue of $1.3B (-9% CC) and OUP of $18M (-8% CC, or -1% excluding reorganization charges in Q4 2012). On an organic basis, France revenue decreased 10% in CC. On an organic basis, Segment revenue decreased 9% in CC.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40" w:type="dxa"/>
            <w:vAlign w:val="bottom"/>
          </w:tcPr>
          <w:p>
            <w:pPr>
              <w:ind w:left="920"/>
              <w:spacing w:after="0"/>
              <w:rPr>
                <w:sz w:val="20"/>
                <w:szCs w:val="20"/>
                <w:color w:val="auto"/>
              </w:rPr>
            </w:pPr>
            <w:r>
              <w:rPr>
                <w:rFonts w:ascii="Arial" w:cs="Arial" w:eastAsia="Arial" w:hAnsi="Arial"/>
                <w:sz w:val="19"/>
                <w:szCs w:val="19"/>
                <w:color w:val="282A32"/>
              </w:rPr>
              <w:t>(2) Excludes the impact of reorganization charges of $2.8M in Q4 2012.</w:t>
            </w:r>
          </w:p>
        </w:tc>
        <w:tc>
          <w:tcPr>
            <w:tcW w:w="2600" w:type="dxa"/>
            <w:vAlign w:val="bottom"/>
          </w:tcPr>
          <w:p>
            <w:pPr>
              <w:jc w:val="right"/>
              <w:ind w:right="393"/>
              <w:spacing w:after="0"/>
              <w:rPr>
                <w:sz w:val="20"/>
                <w:szCs w:val="20"/>
                <w:color w:val="auto"/>
              </w:rPr>
            </w:pPr>
            <w:r>
              <w:rPr>
                <w:rFonts w:ascii="Arial" w:cs="Arial" w:eastAsia="Arial" w:hAnsi="Arial"/>
                <w:sz w:val="17"/>
                <w:szCs w:val="17"/>
                <w:color w:val="7F7F7F"/>
              </w:rPr>
              <w:t>11</w:t>
            </w:r>
          </w:p>
        </w:tc>
      </w:tr>
      <w:tr>
        <w:trPr>
          <w:trHeight w:val="707"/>
        </w:trPr>
        <w:tc>
          <w:tcPr>
            <w:tcW w:w="88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22" w:name="page23"/>
    <w:bookmarkEnd w:id="22"/>
    <w:p>
      <w:pPr>
        <w:ind w:left="6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47"/>
          <w:szCs w:val="47"/>
          <w:color w:val="5F81AA"/>
        </w:rPr>
        <w:t>Southern Europe - Q4 Revenue Growth YoY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80" w:right="9280" w:hanging="285"/>
        <w:spacing w:after="0" w:line="301" w:lineRule="auto"/>
        <w:tabs>
          <w:tab w:leader="none" w:pos="867" w:val="left"/>
        </w:tabs>
        <w:numPr>
          <w:ilvl w:val="0"/>
          <w:numId w:val="7"/>
        </w:numPr>
        <w:rPr>
          <w:rFonts w:ascii="Arial" w:cs="Arial" w:eastAsia="Arial" w:hAnsi="Arial"/>
          <w:sz w:val="23"/>
          <w:szCs w:val="23"/>
          <w:b w:val="1"/>
          <w:bCs w:val="1"/>
          <w:color w:val="343537"/>
        </w:rPr>
      </w:pPr>
      <w:r>
        <w:rPr>
          <w:rFonts w:ascii="Arial" w:cs="Arial" w:eastAsia="Arial" w:hAnsi="Arial"/>
          <w:sz w:val="23"/>
          <w:szCs w:val="23"/>
          <w:b w:val="1"/>
          <w:bCs w:val="1"/>
          <w:color w:val="343537"/>
        </w:rPr>
        <w:t>of Segment Revenue</w:t>
      </w:r>
    </w:p>
    <w:p>
      <w:pPr>
        <w:spacing w:after="0" w:line="334" w:lineRule="exact"/>
        <w:rPr>
          <w:sz w:val="20"/>
          <w:szCs w:val="20"/>
          <w:color w:val="auto"/>
        </w:rPr>
      </w:pPr>
    </w:p>
    <w:p>
      <w:pPr>
        <w:ind w:left="1140"/>
        <w:spacing w:after="0"/>
        <w:tabs>
          <w:tab w:leader="none" w:pos="3320" w:val="left"/>
        </w:tabs>
        <w:rPr>
          <w:sz w:val="20"/>
          <w:szCs w:val="20"/>
          <w:color w:val="auto"/>
        </w:rPr>
      </w:pPr>
      <w:r>
        <w:rPr>
          <w:rFonts w:ascii="Arial" w:cs="Arial" w:eastAsia="Arial" w:hAnsi="Arial"/>
          <w:sz w:val="28"/>
          <w:szCs w:val="28"/>
          <w:b w:val="1"/>
          <w:bCs w:val="1"/>
          <w:color w:val="6698C2"/>
        </w:rPr>
        <w:t>74%</w:t>
      </w:r>
      <w:r>
        <w:rPr>
          <w:sz w:val="20"/>
          <w:szCs w:val="20"/>
          <w:color w:val="auto"/>
        </w:rPr>
        <w:tab/>
      </w:r>
      <w:r>
        <w:rPr>
          <w:rFonts w:ascii="Arial" w:cs="Arial" w:eastAsia="Arial" w:hAnsi="Arial"/>
          <w:sz w:val="35"/>
          <w:szCs w:val="35"/>
          <w:b w:val="1"/>
          <w:bCs w:val="1"/>
          <w:color w:val="282A32"/>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0"/>
        <w:spacing w:after="0"/>
        <w:rPr>
          <w:sz w:val="20"/>
          <w:szCs w:val="20"/>
          <w:color w:val="auto"/>
        </w:rPr>
      </w:pPr>
      <w:r>
        <w:rPr>
          <w:rFonts w:ascii="Arial" w:cs="Arial" w:eastAsia="Arial" w:hAnsi="Arial"/>
          <w:sz w:val="28"/>
          <w:szCs w:val="28"/>
          <w:b w:val="1"/>
          <w:bCs w:val="1"/>
          <w:color w:val="6698C2"/>
        </w:rPr>
        <w:t>15%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0"/>
        <w:spacing w:after="0"/>
        <w:rPr>
          <w:sz w:val="20"/>
          <w:szCs w:val="20"/>
          <w:color w:val="auto"/>
        </w:rPr>
      </w:pPr>
      <w:r>
        <w:rPr>
          <w:rFonts w:ascii="Arial" w:cs="Arial" w:eastAsia="Arial" w:hAnsi="Arial"/>
          <w:sz w:val="28"/>
          <w:szCs w:val="28"/>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0"/>
        <w:spacing w:after="0"/>
        <w:rPr>
          <w:sz w:val="20"/>
          <w:szCs w:val="20"/>
          <w:color w:val="auto"/>
        </w:rPr>
      </w:pPr>
      <w:r>
        <w:rPr>
          <w:rFonts w:ascii="Arial" w:cs="Arial" w:eastAsia="Arial" w:hAnsi="Arial"/>
          <w:sz w:val="28"/>
          <w:szCs w:val="28"/>
          <w:b w:val="1"/>
          <w:bCs w:val="1"/>
          <w:color w:val="6698C2"/>
        </w:rPr>
        <w:t>6%</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580" w:type="dxa"/>
            <w:vAlign w:val="bottom"/>
          </w:tcPr>
          <w:p>
            <w:pPr>
              <w:jc w:val="center"/>
              <w:ind w:left="3635"/>
              <w:spacing w:after="0"/>
              <w:rPr>
                <w:sz w:val="20"/>
                <w:szCs w:val="20"/>
                <w:color w:val="auto"/>
              </w:rPr>
            </w:pPr>
            <w:r>
              <w:rPr>
                <w:rFonts w:ascii="Arial" w:cs="Arial" w:eastAsia="Arial" w:hAnsi="Arial"/>
                <w:sz w:val="22"/>
                <w:szCs w:val="22"/>
                <w:b w:val="1"/>
                <w:bCs w:val="1"/>
                <w:color w:val="343537"/>
              </w:rPr>
              <w:t>Revenue</w:t>
            </w:r>
          </w:p>
        </w:tc>
        <w:tc>
          <w:tcPr>
            <w:tcW w:w="3960" w:type="dxa"/>
            <w:vAlign w:val="bottom"/>
          </w:tcPr>
          <w:p>
            <w:pPr>
              <w:ind w:left="440"/>
              <w:spacing w:after="0"/>
              <w:rPr>
                <w:sz w:val="20"/>
                <w:szCs w:val="20"/>
                <w:color w:val="auto"/>
              </w:rPr>
            </w:pPr>
            <w:r>
              <w:rPr>
                <w:rFonts w:ascii="Arial" w:cs="Arial" w:eastAsia="Arial" w:hAnsi="Arial"/>
                <w:sz w:val="22"/>
                <w:szCs w:val="22"/>
                <w:b w:val="1"/>
                <w:bCs w:val="1"/>
                <w:color w:val="343537"/>
              </w:rPr>
              <w:t>Revenue Growth - CC</w:t>
            </w:r>
          </w:p>
        </w:tc>
        <w:tc>
          <w:tcPr>
            <w:tcW w:w="1900" w:type="dxa"/>
            <w:vAlign w:val="bottom"/>
          </w:tcPr>
          <w:p>
            <w:pPr>
              <w:spacing w:after="0"/>
              <w:rPr>
                <w:sz w:val="22"/>
                <w:szCs w:val="22"/>
                <w:color w:val="auto"/>
              </w:rPr>
            </w:pPr>
          </w:p>
        </w:tc>
      </w:tr>
      <w:tr>
        <w:trPr>
          <w:trHeight w:val="293"/>
        </w:trPr>
        <w:tc>
          <w:tcPr>
            <w:tcW w:w="5580" w:type="dxa"/>
            <w:vAlign w:val="bottom"/>
          </w:tcPr>
          <w:p>
            <w:pPr>
              <w:jc w:val="center"/>
              <w:ind w:left="3635"/>
              <w:spacing w:after="0"/>
              <w:rPr>
                <w:sz w:val="20"/>
                <w:szCs w:val="20"/>
                <w:color w:val="auto"/>
              </w:rPr>
            </w:pPr>
            <w:r>
              <w:rPr>
                <w:rFonts w:ascii="Arial" w:cs="Arial" w:eastAsia="Arial" w:hAnsi="Arial"/>
                <w:sz w:val="22"/>
                <w:szCs w:val="22"/>
                <w:b w:val="1"/>
                <w:bCs w:val="1"/>
                <w:color w:val="343537"/>
                <w:w w:val="98"/>
              </w:rPr>
              <w:t>Growth</w:t>
            </w:r>
          </w:p>
        </w:tc>
        <w:tc>
          <w:tcPr>
            <w:tcW w:w="39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3"/>
        </w:trPr>
        <w:tc>
          <w:tcPr>
            <w:tcW w:w="9540" w:type="dxa"/>
            <w:vAlign w:val="bottom"/>
            <w:gridSpan w:val="2"/>
          </w:tcPr>
          <w:p>
            <w:pPr>
              <w:ind w:left="1300"/>
              <w:spacing w:after="0"/>
              <w:rPr>
                <w:sz w:val="20"/>
                <w:szCs w:val="20"/>
                <w:color w:val="auto"/>
              </w:rPr>
            </w:pPr>
            <w:r>
              <w:rPr>
                <w:rFonts w:ascii="Arial" w:cs="Arial" w:eastAsia="Arial" w:hAnsi="Arial"/>
                <w:sz w:val="19"/>
                <w:szCs w:val="19"/>
                <w:color w:val="343537"/>
              </w:rPr>
              <w:t>(1) On an organic basis, France revenue decreased 14% (-10% in CC).</w:t>
            </w:r>
          </w:p>
        </w:tc>
        <w:tc>
          <w:tcPr>
            <w:tcW w:w="1900" w:type="dxa"/>
            <w:vAlign w:val="bottom"/>
          </w:tcPr>
          <w:p>
            <w:pPr>
              <w:jc w:val="right"/>
              <w:ind w:right="353"/>
              <w:spacing w:after="0"/>
              <w:rPr>
                <w:sz w:val="20"/>
                <w:szCs w:val="20"/>
                <w:color w:val="auto"/>
              </w:rPr>
            </w:pPr>
            <w:r>
              <w:rPr>
                <w:rFonts w:ascii="Arial" w:cs="Arial" w:eastAsia="Arial" w:hAnsi="Arial"/>
                <w:sz w:val="17"/>
                <w:szCs w:val="17"/>
                <w:color w:val="7F7F7F"/>
              </w:rPr>
              <w:t>12</w:t>
            </w:r>
          </w:p>
        </w:tc>
      </w:tr>
      <w:tr>
        <w:trPr>
          <w:trHeight w:val="660"/>
        </w:trPr>
        <w:tc>
          <w:tcPr>
            <w:tcW w:w="558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23" w:name="page24"/>
    <w:bookmarkEnd w:id="23"/>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Arial" w:cs="Arial" w:eastAsia="Arial" w:hAnsi="Arial"/>
          <w:sz w:val="50"/>
          <w:szCs w:val="50"/>
          <w:color w:val="5F81AA"/>
        </w:rPr>
        <w:t>Northern Europe Segment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31"/>
          <w:szCs w:val="31"/>
          <w:color w:val="5F81AA"/>
        </w:rPr>
        <w:t>(29% of Revenue)</w:t>
      </w: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36"/>
        </w:trPr>
        <w:tc>
          <w:tcPr>
            <w:tcW w:w="2100" w:type="dxa"/>
            <w:vAlign w:val="bottom"/>
            <w:vMerge w:val="restart"/>
          </w:tcPr>
          <w:p>
            <w:pPr>
              <w:ind w:left="900"/>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2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line="20" w:lineRule="exact"/>
              <w:rPr>
                <w:sz w:val="1"/>
                <w:szCs w:val="1"/>
                <w:color w:val="auto"/>
              </w:rPr>
            </w:pPr>
          </w:p>
        </w:tc>
      </w:tr>
      <w:tr>
        <w:trPr>
          <w:trHeight w:val="260"/>
        </w:trPr>
        <w:tc>
          <w:tcPr>
            <w:tcW w:w="210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212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100" w:type="dxa"/>
            <w:vAlign w:val="bottom"/>
          </w:tcPr>
          <w:p>
            <w:pPr>
              <w:ind w:left="500"/>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A3A5AA"/>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A3A5AA"/>
          </w:tcPr>
          <w:p>
            <w:pPr>
              <w:spacing w:after="0"/>
              <w:rPr>
                <w:sz w:val="24"/>
                <w:szCs w:val="24"/>
                <w:color w:val="auto"/>
              </w:rPr>
            </w:pP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4"/>
                <w:szCs w:val="24"/>
                <w:color w:val="auto"/>
              </w:rPr>
            </w:pPr>
          </w:p>
        </w:tc>
        <w:tc>
          <w:tcPr>
            <w:tcW w:w="40" w:type="dxa"/>
            <w:vAlign w:val="bottom"/>
            <w:shd w:val="clear" w:color="auto" w:fill="A3A5AA"/>
          </w:tcPr>
          <w:p>
            <w:pPr>
              <w:spacing w:after="0"/>
              <w:rPr>
                <w:sz w:val="24"/>
                <w:szCs w:val="24"/>
                <w:color w:val="auto"/>
              </w:rPr>
            </w:pPr>
          </w:p>
        </w:tc>
        <w:tc>
          <w:tcPr>
            <w:tcW w:w="2120" w:type="dxa"/>
            <w:vAlign w:val="bottom"/>
          </w:tcPr>
          <w:p>
            <w:pPr>
              <w:jc w:val="center"/>
              <w:ind w:left="95"/>
              <w:spacing w:after="0"/>
              <w:rPr>
                <w:sz w:val="20"/>
                <w:szCs w:val="20"/>
                <w:color w:val="auto"/>
              </w:rPr>
            </w:pPr>
            <w:r>
              <w:rPr>
                <w:rFonts w:ascii="Arial" w:cs="Arial" w:eastAsia="Arial" w:hAnsi="Arial"/>
                <w:sz w:val="25"/>
                <w:szCs w:val="25"/>
                <w:b w:val="1"/>
                <w:bCs w:val="1"/>
                <w:color w:val="282A32"/>
              </w:rPr>
              <w:t xml:space="preserve">Items </w:t>
            </w:r>
            <w:r>
              <w:rPr>
                <w:rFonts w:ascii="Arial" w:cs="Arial" w:eastAsia="Arial" w:hAnsi="Arial"/>
                <w:sz w:val="17"/>
                <w:szCs w:val="17"/>
                <w:b w:val="1"/>
                <w:bCs w:val="1"/>
                <w:color w:val="282A32"/>
              </w:rPr>
              <w:t>(1)</w:t>
            </w:r>
          </w:p>
        </w:tc>
        <w:tc>
          <w:tcPr>
            <w:tcW w:w="40" w:type="dxa"/>
            <w:vAlign w:val="bottom"/>
            <w:shd w:val="clear" w:color="auto" w:fill="A3A5AA"/>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5220" w:type="dxa"/>
            <w:vAlign w:val="bottom"/>
            <w:tcBorders>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2100" w:type="dxa"/>
            <w:vAlign w:val="bottom"/>
          </w:tcPr>
          <w:p>
            <w:pPr>
              <w:jc w:val="right"/>
              <w:ind w:right="429"/>
              <w:spacing w:after="0"/>
              <w:rPr>
                <w:sz w:val="20"/>
                <w:szCs w:val="20"/>
                <w:color w:val="auto"/>
              </w:rPr>
            </w:pPr>
            <w:r>
              <w:rPr>
                <w:rFonts w:ascii="Arial" w:cs="Arial" w:eastAsia="Arial" w:hAnsi="Arial"/>
                <w:sz w:val="38"/>
                <w:szCs w:val="38"/>
                <w:color w:val="282A32"/>
              </w:rPr>
              <w:t>3%</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455"/>
              <w:spacing w:after="0"/>
              <w:rPr>
                <w:sz w:val="20"/>
                <w:szCs w:val="20"/>
                <w:color w:val="auto"/>
              </w:rPr>
            </w:pPr>
            <w:r>
              <w:rPr>
                <w:rFonts w:ascii="Arial" w:cs="Arial" w:eastAsia="Arial" w:hAnsi="Arial"/>
                <w:sz w:val="38"/>
                <w:szCs w:val="38"/>
                <w:color w:val="282A32"/>
              </w:rPr>
              <w:t>3%</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$1.5B</w:t>
            </w:r>
          </w:p>
        </w:tc>
        <w:tc>
          <w:tcPr>
            <w:tcW w:w="0" w:type="dxa"/>
            <w:vAlign w:val="bottom"/>
          </w:tcPr>
          <w:p>
            <w:pPr>
              <w:spacing w:after="0"/>
              <w:rPr>
                <w:sz w:val="1"/>
                <w:szCs w:val="1"/>
                <w:color w:val="auto"/>
              </w:rPr>
            </w:pPr>
          </w:p>
        </w:tc>
      </w:tr>
      <w:tr>
        <w:trPr>
          <w:trHeight w:val="262"/>
        </w:trPr>
        <w:tc>
          <w:tcPr>
            <w:tcW w:w="2100" w:type="dxa"/>
            <w:vAlign w:val="bottom"/>
            <w:vMerge w:val="restart"/>
          </w:tcPr>
          <w:p>
            <w:pPr>
              <w:ind w:left="640"/>
              <w:spacing w:after="0"/>
              <w:rPr>
                <w:sz w:val="20"/>
                <w:szCs w:val="20"/>
                <w:color w:val="auto"/>
              </w:rPr>
            </w:pPr>
            <w:r>
              <w:rPr>
                <w:rFonts w:ascii="Arial" w:cs="Arial" w:eastAsia="Arial" w:hAnsi="Arial"/>
                <w:sz w:val="38"/>
                <w:szCs w:val="38"/>
                <w:color w:val="282A32"/>
              </w:rPr>
              <w:t>3%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55"/>
              <w:spacing w:after="0"/>
              <w:rPr>
                <w:sz w:val="20"/>
                <w:szCs w:val="20"/>
                <w:color w:val="auto"/>
              </w:rPr>
            </w:pPr>
            <w:r>
              <w:rPr>
                <w:rFonts w:ascii="Arial" w:cs="Arial" w:eastAsia="Arial" w:hAnsi="Arial"/>
                <w:sz w:val="38"/>
                <w:szCs w:val="38"/>
                <w:color w:val="282A32"/>
                <w:w w:val="99"/>
              </w:rPr>
              <w:t>3%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A3A5AA"/>
          </w:tcPr>
          <w:p>
            <w:pPr>
              <w:spacing w:after="0"/>
              <w:rPr>
                <w:sz w:val="17"/>
                <w:szCs w:val="17"/>
                <w:color w:val="auto"/>
              </w:rPr>
            </w:pPr>
          </w:p>
        </w:tc>
        <w:tc>
          <w:tcPr>
            <w:tcW w:w="2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left w:val="single" w:sz="8" w:color="A3A5AA"/>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10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shd w:val="clear" w:color="auto" w:fill="A3A5AA"/>
          </w:tcPr>
          <w:p>
            <w:pPr>
              <w:spacing w:after="0"/>
              <w:rPr>
                <w:sz w:val="6"/>
                <w:szCs w:val="6"/>
                <w:color w:val="auto"/>
              </w:rPr>
            </w:pPr>
          </w:p>
        </w:tc>
        <w:tc>
          <w:tcPr>
            <w:tcW w:w="212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tcPr>
          <w:p>
            <w:pPr>
              <w:spacing w:after="0"/>
              <w:rPr>
                <w:sz w:val="6"/>
                <w:szCs w:val="6"/>
                <w:color w:val="auto"/>
              </w:rPr>
            </w:pPr>
          </w:p>
        </w:tc>
        <w:tc>
          <w:tcPr>
            <w:tcW w:w="522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100" w:type="dxa"/>
            <w:vAlign w:val="bottom"/>
          </w:tcPr>
          <w:p>
            <w:pPr>
              <w:jc w:val="right"/>
              <w:ind w:right="329"/>
              <w:spacing w:after="0"/>
              <w:rPr>
                <w:sz w:val="20"/>
                <w:szCs w:val="20"/>
                <w:color w:val="auto"/>
              </w:rPr>
            </w:pPr>
            <w:r>
              <w:rPr>
                <w:rFonts w:ascii="Arial" w:cs="Arial" w:eastAsia="Arial" w:hAnsi="Arial"/>
                <w:sz w:val="38"/>
                <w:szCs w:val="38"/>
                <w:color w:val="282A32"/>
              </w:rPr>
              <w:t>34%</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355"/>
              <w:spacing w:after="0"/>
              <w:rPr>
                <w:sz w:val="20"/>
                <w:szCs w:val="20"/>
                <w:color w:val="auto"/>
              </w:rPr>
            </w:pPr>
            <w:r>
              <w:rPr>
                <w:rFonts w:ascii="Arial" w:cs="Arial" w:eastAsia="Arial" w:hAnsi="Arial"/>
                <w:sz w:val="38"/>
                <w:szCs w:val="38"/>
                <w:color w:val="282A32"/>
              </w:rPr>
              <w:t>28%</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$34M</w:t>
            </w:r>
          </w:p>
        </w:tc>
        <w:tc>
          <w:tcPr>
            <w:tcW w:w="0" w:type="dxa"/>
            <w:vAlign w:val="bottom"/>
          </w:tcPr>
          <w:p>
            <w:pPr>
              <w:spacing w:after="0"/>
              <w:rPr>
                <w:sz w:val="1"/>
                <w:szCs w:val="1"/>
                <w:color w:val="auto"/>
              </w:rPr>
            </w:pPr>
          </w:p>
        </w:tc>
      </w:tr>
      <w:tr>
        <w:trPr>
          <w:trHeight w:val="262"/>
        </w:trPr>
        <w:tc>
          <w:tcPr>
            <w:tcW w:w="2100" w:type="dxa"/>
            <w:vAlign w:val="bottom"/>
            <w:vMerge w:val="restart"/>
          </w:tcPr>
          <w:p>
            <w:pPr>
              <w:ind w:left="520"/>
              <w:spacing w:after="0"/>
              <w:rPr>
                <w:sz w:val="20"/>
                <w:szCs w:val="20"/>
                <w:color w:val="auto"/>
              </w:rPr>
            </w:pPr>
            <w:r>
              <w:rPr>
                <w:rFonts w:ascii="Arial" w:cs="Arial" w:eastAsia="Arial" w:hAnsi="Arial"/>
                <w:sz w:val="38"/>
                <w:szCs w:val="38"/>
                <w:color w:val="282A32"/>
              </w:rPr>
              <w:t>34%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75"/>
              <w:spacing w:after="0"/>
              <w:rPr>
                <w:sz w:val="20"/>
                <w:szCs w:val="20"/>
                <w:color w:val="auto"/>
              </w:rPr>
            </w:pPr>
            <w:r>
              <w:rPr>
                <w:rFonts w:ascii="Arial" w:cs="Arial" w:eastAsia="Arial" w:hAnsi="Arial"/>
                <w:sz w:val="38"/>
                <w:szCs w:val="38"/>
                <w:color w:val="282A32"/>
              </w:rPr>
              <w:t>28%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40" w:type="dxa"/>
            <w:vAlign w:val="bottom"/>
            <w:shd w:val="clear" w:color="auto" w:fill="A3A5AA"/>
          </w:tcPr>
          <w:p>
            <w:pPr>
              <w:spacing w:after="0"/>
              <w:rPr>
                <w:sz w:val="21"/>
                <w:szCs w:val="21"/>
                <w:color w:val="auto"/>
              </w:rPr>
            </w:pPr>
          </w:p>
        </w:tc>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20" w:type="dxa"/>
            <w:vAlign w:val="bottom"/>
            <w:tcBorders>
              <w:left w:val="single" w:sz="8" w:color="A3A5A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tcPr>
          <w:p>
            <w:pPr>
              <w:spacing w:after="0"/>
              <w:rPr>
                <w:sz w:val="3"/>
                <w:szCs w:val="3"/>
                <w:color w:val="auto"/>
              </w:rPr>
            </w:pPr>
          </w:p>
        </w:tc>
        <w:tc>
          <w:tcPr>
            <w:tcW w:w="5220" w:type="dxa"/>
            <w:vAlign w:val="bottom"/>
            <w:tcBorders>
              <w:left w:val="single" w:sz="8" w:color="A3A5AA"/>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793"/>
        </w:trPr>
        <w:tc>
          <w:tcPr>
            <w:tcW w:w="2100" w:type="dxa"/>
            <w:vAlign w:val="bottom"/>
          </w:tcPr>
          <w:p>
            <w:pPr>
              <w:ind w:left="560"/>
              <w:spacing w:after="0"/>
              <w:rPr>
                <w:sz w:val="20"/>
                <w:szCs w:val="20"/>
                <w:color w:val="auto"/>
              </w:rPr>
            </w:pPr>
            <w:r>
              <w:rPr>
                <w:rFonts w:ascii="Arial" w:cs="Arial" w:eastAsia="Arial" w:hAnsi="Arial"/>
                <w:sz w:val="38"/>
                <w:szCs w:val="38"/>
                <w:color w:val="282A32"/>
              </w:rPr>
              <w:t>110 bps</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75"/>
              <w:spacing w:after="0"/>
              <w:rPr>
                <w:sz w:val="20"/>
                <w:szCs w:val="20"/>
                <w:color w:val="auto"/>
              </w:rPr>
            </w:pPr>
            <w:r>
              <w:rPr>
                <w:rFonts w:ascii="Arial" w:cs="Arial" w:eastAsia="Arial" w:hAnsi="Arial"/>
                <w:sz w:val="38"/>
                <w:szCs w:val="38"/>
                <w:color w:val="282A32"/>
                <w:w w:val="99"/>
              </w:rPr>
              <w:t>100 bps</w:t>
            </w:r>
          </w:p>
        </w:tc>
        <w:tc>
          <w:tcPr>
            <w:tcW w:w="40" w:type="dxa"/>
            <w:vAlign w:val="bottom"/>
            <w:shd w:val="clear" w:color="auto" w:fill="A3A5AA"/>
          </w:tcPr>
          <w:p>
            <w:pPr>
              <w:spacing w:after="0"/>
              <w:rPr>
                <w:sz w:val="24"/>
                <w:szCs w:val="24"/>
                <w:color w:val="auto"/>
              </w:rPr>
            </w:pPr>
          </w:p>
        </w:tc>
        <w:tc>
          <w:tcPr>
            <w:tcW w:w="522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2.3%</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0"/>
        <w:spacing w:after="0"/>
        <w:rPr>
          <w:sz w:val="20"/>
          <w:szCs w:val="20"/>
          <w:color w:val="auto"/>
        </w:rPr>
      </w:pPr>
      <w:r>
        <w:rPr>
          <w:rFonts w:ascii="Arial" w:cs="Arial" w:eastAsia="Arial" w:hAnsi="Arial"/>
          <w:sz w:val="19"/>
          <w:szCs w:val="19"/>
          <w:color w:val="282A32"/>
        </w:rPr>
        <w:t>(1) Excludes the impact of reorganization charges of $11.5M in Q4 2012 and $12.0M in Q4 2011.</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80"/>
          </w:cols>
          <w:pgMar w:left="860" w:top="514" w:right="659" w:bottom="1440" w:gutter="0" w:footer="0" w:header="0"/>
        </w:sectPr>
      </w:pPr>
    </w:p>
    <w:bookmarkStart w:id="24" w:name="page25"/>
    <w:bookmarkEnd w:id="24"/>
    <w:p>
      <w:pPr>
        <w:ind w:left="6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79" w:lineRule="exact"/>
        <w:rPr>
          <w:sz w:val="20"/>
          <w:szCs w:val="20"/>
          <w:color w:val="auto"/>
        </w:rPr>
      </w:pPr>
    </w:p>
    <w:p>
      <w:pPr>
        <w:ind w:left="900"/>
        <w:spacing w:after="0"/>
        <w:rPr>
          <w:sz w:val="20"/>
          <w:szCs w:val="20"/>
          <w:color w:val="auto"/>
        </w:rPr>
      </w:pPr>
      <w:r>
        <w:rPr>
          <w:rFonts w:ascii="Arial" w:cs="Arial" w:eastAsia="Arial" w:hAnsi="Arial"/>
          <w:sz w:val="47"/>
          <w:szCs w:val="47"/>
          <w:color w:val="5F81AA"/>
        </w:rPr>
        <w:t>Northern Europe - Q4 Revenue Growth YoY</w:t>
      </w:r>
    </w:p>
    <w:p>
      <w:pPr>
        <w:spacing w:after="0" w:line="377" w:lineRule="exact"/>
        <w:rPr>
          <w:sz w:val="20"/>
          <w:szCs w:val="20"/>
          <w:color w:val="auto"/>
        </w:rPr>
      </w:pPr>
    </w:p>
    <w:p>
      <w:pPr>
        <w:ind w:left="860" w:right="9320" w:hanging="294"/>
        <w:spacing w:after="0" w:line="301" w:lineRule="auto"/>
        <w:tabs>
          <w:tab w:leader="none" w:pos="847" w:val="left"/>
        </w:tabs>
        <w:numPr>
          <w:ilvl w:val="0"/>
          <w:numId w:val="8"/>
        </w:numPr>
        <w:rPr>
          <w:rFonts w:ascii="Arial" w:cs="Arial" w:eastAsia="Arial" w:hAnsi="Arial"/>
          <w:sz w:val="23"/>
          <w:szCs w:val="23"/>
          <w:b w:val="1"/>
          <w:bCs w:val="1"/>
          <w:color w:val="343537"/>
        </w:rPr>
      </w:pPr>
      <w:r>
        <w:rPr>
          <w:rFonts w:ascii="Arial" w:cs="Arial" w:eastAsia="Arial" w:hAnsi="Arial"/>
          <w:sz w:val="23"/>
          <w:szCs w:val="23"/>
          <w:b w:val="1"/>
          <w:bCs w:val="1"/>
          <w:color w:val="343537"/>
        </w:rPr>
        <w:t>of Segment Revenue</w:t>
      </w:r>
    </w:p>
    <w:p>
      <w:pPr>
        <w:spacing w:after="0" w:line="200" w:lineRule="exact"/>
        <w:rPr>
          <w:sz w:val="20"/>
          <w:szCs w:val="20"/>
          <w:color w:val="auto"/>
        </w:rPr>
      </w:pPr>
    </w:p>
    <w:p>
      <w:pPr>
        <w:spacing w:after="0" w:line="221" w:lineRule="exact"/>
        <w:rPr>
          <w:sz w:val="20"/>
          <w:szCs w:val="20"/>
          <w:color w:val="auto"/>
        </w:rPr>
      </w:pPr>
    </w:p>
    <w:p>
      <w:pPr>
        <w:ind w:left="1040"/>
        <w:spacing w:after="0"/>
        <w:rPr>
          <w:sz w:val="20"/>
          <w:szCs w:val="20"/>
          <w:color w:val="auto"/>
        </w:rPr>
      </w:pPr>
      <w:r>
        <w:rPr>
          <w:rFonts w:ascii="Arial" w:cs="Arial" w:eastAsia="Arial" w:hAnsi="Arial"/>
          <w:sz w:val="28"/>
          <w:szCs w:val="28"/>
          <w:b w:val="1"/>
          <w:bCs w:val="1"/>
          <w:color w:val="6698C2"/>
        </w:rPr>
        <w:t>26%</w:t>
      </w:r>
    </w:p>
    <w:p>
      <w:pPr>
        <w:spacing w:after="0" w:line="200" w:lineRule="exact"/>
        <w:rPr>
          <w:sz w:val="20"/>
          <w:szCs w:val="20"/>
          <w:color w:val="auto"/>
        </w:rPr>
      </w:pPr>
    </w:p>
    <w:p>
      <w:pPr>
        <w:spacing w:after="0" w:line="281" w:lineRule="exact"/>
        <w:rPr>
          <w:sz w:val="20"/>
          <w:szCs w:val="20"/>
          <w:color w:val="auto"/>
        </w:rPr>
      </w:pPr>
    </w:p>
    <w:p>
      <w:pPr>
        <w:ind w:left="1060"/>
        <w:spacing w:after="0"/>
        <w:rPr>
          <w:sz w:val="20"/>
          <w:szCs w:val="20"/>
          <w:color w:val="auto"/>
        </w:rPr>
      </w:pPr>
      <w:r>
        <w:rPr>
          <w:rFonts w:ascii="Arial" w:cs="Arial" w:eastAsia="Arial" w:hAnsi="Arial"/>
          <w:sz w:val="28"/>
          <w:szCs w:val="28"/>
          <w:b w:val="1"/>
          <w:bCs w:val="1"/>
          <w:color w:val="6698C2"/>
        </w:rPr>
        <w:t>24%</w:t>
      </w:r>
    </w:p>
    <w:p>
      <w:pPr>
        <w:spacing w:after="0" w:line="200" w:lineRule="exact"/>
        <w:rPr>
          <w:sz w:val="20"/>
          <w:szCs w:val="20"/>
          <w:color w:val="auto"/>
        </w:rPr>
      </w:pP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8"/>
          <w:szCs w:val="28"/>
          <w:b w:val="1"/>
          <w:bCs w:val="1"/>
          <w:color w:val="6698C2"/>
        </w:rPr>
        <w:t>12%</w:t>
      </w:r>
    </w:p>
    <w:p>
      <w:pPr>
        <w:spacing w:after="0" w:line="200" w:lineRule="exact"/>
        <w:rPr>
          <w:sz w:val="20"/>
          <w:szCs w:val="20"/>
          <w:color w:val="auto"/>
        </w:rPr>
      </w:pPr>
    </w:p>
    <w:p>
      <w:pPr>
        <w:spacing w:after="0" w:line="257" w:lineRule="exact"/>
        <w:rPr>
          <w:sz w:val="20"/>
          <w:szCs w:val="20"/>
          <w:color w:val="auto"/>
        </w:rPr>
      </w:pPr>
    </w:p>
    <w:p>
      <w:pPr>
        <w:ind w:left="1080"/>
        <w:spacing w:after="0"/>
        <w:rPr>
          <w:sz w:val="20"/>
          <w:szCs w:val="20"/>
          <w:color w:val="auto"/>
        </w:rPr>
      </w:pPr>
      <w:r>
        <w:rPr>
          <w:rFonts w:ascii="Arial" w:cs="Arial" w:eastAsia="Arial" w:hAnsi="Arial"/>
          <w:sz w:val="28"/>
          <w:szCs w:val="28"/>
          <w:b w:val="1"/>
          <w:bCs w:val="1"/>
          <w:color w:val="6698C2"/>
        </w:rPr>
        <w:t>10%</w:t>
      </w:r>
    </w:p>
    <w:p>
      <w:pPr>
        <w:spacing w:after="0" w:line="200" w:lineRule="exact"/>
        <w:rPr>
          <w:sz w:val="20"/>
          <w:szCs w:val="20"/>
          <w:color w:val="auto"/>
        </w:rPr>
      </w:pPr>
    </w:p>
    <w:p>
      <w:pPr>
        <w:spacing w:after="0" w:line="304" w:lineRule="exact"/>
        <w:rPr>
          <w:sz w:val="20"/>
          <w:szCs w:val="20"/>
          <w:color w:val="auto"/>
        </w:rPr>
      </w:pPr>
    </w:p>
    <w:p>
      <w:pPr>
        <w:ind w:left="1180"/>
        <w:spacing w:after="0"/>
        <w:rPr>
          <w:sz w:val="20"/>
          <w:szCs w:val="20"/>
          <w:color w:val="auto"/>
        </w:rPr>
      </w:pPr>
      <w:r>
        <w:rPr>
          <w:rFonts w:ascii="Arial" w:cs="Arial" w:eastAsia="Arial" w:hAnsi="Arial"/>
          <w:sz w:val="28"/>
          <w:szCs w:val="28"/>
          <w:b w:val="1"/>
          <w:bCs w:val="1"/>
          <w:color w:val="6698C2"/>
        </w:rPr>
        <w:t>7%</w:t>
      </w:r>
    </w:p>
    <w:p>
      <w:pPr>
        <w:spacing w:after="0" w:line="200" w:lineRule="exact"/>
        <w:rPr>
          <w:sz w:val="20"/>
          <w:szCs w:val="20"/>
          <w:color w:val="auto"/>
        </w:rPr>
      </w:pPr>
    </w:p>
    <w:p>
      <w:pPr>
        <w:spacing w:after="0" w:line="304" w:lineRule="exact"/>
        <w:rPr>
          <w:sz w:val="20"/>
          <w:szCs w:val="20"/>
          <w:color w:val="auto"/>
        </w:rPr>
      </w:pPr>
    </w:p>
    <w:p>
      <w:pPr>
        <w:ind w:left="1060"/>
        <w:spacing w:after="0"/>
        <w:rPr>
          <w:sz w:val="20"/>
          <w:szCs w:val="20"/>
          <w:color w:val="auto"/>
        </w:rPr>
      </w:pPr>
      <w:r>
        <w:rPr>
          <w:rFonts w:ascii="Arial" w:cs="Arial" w:eastAsia="Arial" w:hAnsi="Arial"/>
          <w:sz w:val="28"/>
          <w:szCs w:val="28"/>
          <w:b w:val="1"/>
          <w:bCs w:val="1"/>
          <w:color w:val="6698C2"/>
        </w:rPr>
        <w:t>21%</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80" w:type="dxa"/>
            <w:vAlign w:val="bottom"/>
          </w:tcPr>
          <w:p>
            <w:pPr>
              <w:jc w:val="center"/>
              <w:ind w:left="3430"/>
              <w:spacing w:after="0"/>
              <w:rPr>
                <w:sz w:val="20"/>
                <w:szCs w:val="20"/>
                <w:color w:val="auto"/>
              </w:rPr>
            </w:pPr>
            <w:r>
              <w:rPr>
                <w:rFonts w:ascii="Arial" w:cs="Arial" w:eastAsia="Arial" w:hAnsi="Arial"/>
                <w:sz w:val="22"/>
                <w:szCs w:val="22"/>
                <w:b w:val="1"/>
                <w:bCs w:val="1"/>
                <w:color w:val="343537"/>
              </w:rPr>
              <w:t>Revenue</w:t>
            </w:r>
          </w:p>
        </w:tc>
        <w:tc>
          <w:tcPr>
            <w:tcW w:w="4080" w:type="dxa"/>
            <w:vAlign w:val="bottom"/>
          </w:tcPr>
          <w:p>
            <w:pPr>
              <w:ind w:left="460"/>
              <w:spacing w:after="0"/>
              <w:rPr>
                <w:sz w:val="20"/>
                <w:szCs w:val="20"/>
                <w:color w:val="auto"/>
              </w:rPr>
            </w:pPr>
            <w:r>
              <w:rPr>
                <w:rFonts w:ascii="Arial" w:cs="Arial" w:eastAsia="Arial" w:hAnsi="Arial"/>
                <w:sz w:val="22"/>
                <w:szCs w:val="22"/>
                <w:b w:val="1"/>
                <w:bCs w:val="1"/>
                <w:color w:val="343537"/>
              </w:rPr>
              <w:t>Revenue Growth - CC</w:t>
            </w:r>
          </w:p>
        </w:tc>
        <w:tc>
          <w:tcPr>
            <w:tcW w:w="1980" w:type="dxa"/>
            <w:vAlign w:val="bottom"/>
          </w:tcPr>
          <w:p>
            <w:pPr>
              <w:jc w:val="right"/>
              <w:ind w:right="353"/>
              <w:spacing w:after="0"/>
              <w:rPr>
                <w:sz w:val="20"/>
                <w:szCs w:val="20"/>
                <w:color w:val="auto"/>
              </w:rPr>
            </w:pPr>
            <w:r>
              <w:rPr>
                <w:rFonts w:ascii="Arial" w:cs="Arial" w:eastAsia="Arial" w:hAnsi="Arial"/>
                <w:sz w:val="17"/>
                <w:szCs w:val="17"/>
                <w:color w:val="7F7F7F"/>
              </w:rPr>
              <w:t>14</w:t>
            </w:r>
          </w:p>
        </w:tc>
      </w:tr>
      <w:tr>
        <w:trPr>
          <w:trHeight w:val="293"/>
        </w:trPr>
        <w:tc>
          <w:tcPr>
            <w:tcW w:w="5380" w:type="dxa"/>
            <w:vAlign w:val="bottom"/>
          </w:tcPr>
          <w:p>
            <w:pPr>
              <w:jc w:val="center"/>
              <w:ind w:left="3430"/>
              <w:spacing w:after="0"/>
              <w:rPr>
                <w:sz w:val="20"/>
                <w:szCs w:val="20"/>
                <w:color w:val="auto"/>
              </w:rPr>
            </w:pPr>
            <w:r>
              <w:rPr>
                <w:rFonts w:ascii="Arial" w:cs="Arial" w:eastAsia="Arial" w:hAnsi="Arial"/>
                <w:sz w:val="22"/>
                <w:szCs w:val="22"/>
                <w:b w:val="1"/>
                <w:bCs w:val="1"/>
                <w:color w:val="343537"/>
                <w:w w:val="98"/>
              </w:rPr>
              <w:t>Growth</w:t>
            </w: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90"/>
        </w:trPr>
        <w:tc>
          <w:tcPr>
            <w:tcW w:w="53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25" w:name="page26"/>
    <w:bookmarkEnd w:id="25"/>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50"/>
          <w:szCs w:val="50"/>
          <w:color w:val="5F81AA"/>
        </w:rPr>
        <w:t>APME Segment</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31"/>
          <w:szCs w:val="31"/>
          <w:color w:val="5F81AA"/>
        </w:rPr>
        <w:t>(13% of Revenue)</w:t>
      </w:r>
    </w:p>
    <w:p>
      <w:pPr>
        <w:spacing w:after="0" w:line="377" w:lineRule="exact"/>
        <w:rPr>
          <w:sz w:val="20"/>
          <w:szCs w:val="20"/>
          <w:color w:val="auto"/>
        </w:rPr>
      </w:pPr>
    </w:p>
    <w:tbl>
      <w:tblPr>
        <w:tblLayout w:type="fixed"/>
        <w:tblInd w:w="180" w:type="dxa"/>
        <w:tblCellMar>
          <w:top w:w="0" w:type="dxa"/>
          <w:left w:w="0" w:type="dxa"/>
          <w:bottom w:w="0" w:type="dxa"/>
          <w:right w:w="0" w:type="dxa"/>
        </w:tblCellMar>
      </w:tblPr>
      <w:tr>
        <w:trPr>
          <w:trHeight w:val="36"/>
        </w:trPr>
        <w:tc>
          <w:tcPr>
            <w:tcW w:w="2100" w:type="dxa"/>
            <w:vAlign w:val="bottom"/>
            <w:vMerge w:val="restart"/>
          </w:tcPr>
          <w:p>
            <w:pPr>
              <w:ind w:left="900"/>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2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line="20" w:lineRule="exact"/>
              <w:rPr>
                <w:sz w:val="1"/>
                <w:szCs w:val="1"/>
                <w:color w:val="auto"/>
              </w:rPr>
            </w:pPr>
          </w:p>
        </w:tc>
      </w:tr>
      <w:tr>
        <w:trPr>
          <w:trHeight w:val="260"/>
        </w:trPr>
        <w:tc>
          <w:tcPr>
            <w:tcW w:w="210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2120" w:type="dxa"/>
            <w:vAlign w:val="bottom"/>
            <w:vMerge w:val="continue"/>
          </w:tcPr>
          <w:p>
            <w:pPr>
              <w:spacing w:after="0"/>
              <w:rPr>
                <w:sz w:val="22"/>
                <w:szCs w:val="22"/>
                <w:color w:val="auto"/>
              </w:rPr>
            </w:pPr>
          </w:p>
        </w:tc>
        <w:tc>
          <w:tcPr>
            <w:tcW w:w="40" w:type="dxa"/>
            <w:vAlign w:val="bottom"/>
            <w:shd w:val="clear" w:color="auto" w:fill="A3A5AA"/>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100" w:type="dxa"/>
            <w:vAlign w:val="bottom"/>
          </w:tcPr>
          <w:p>
            <w:pPr>
              <w:ind w:left="500"/>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A3A5AA"/>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A3A5AA"/>
          </w:tcPr>
          <w:p>
            <w:pPr>
              <w:spacing w:after="0"/>
              <w:rPr>
                <w:sz w:val="24"/>
                <w:szCs w:val="24"/>
                <w:color w:val="auto"/>
              </w:rPr>
            </w:pP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4"/>
                <w:szCs w:val="24"/>
                <w:color w:val="auto"/>
              </w:rPr>
            </w:pPr>
          </w:p>
        </w:tc>
        <w:tc>
          <w:tcPr>
            <w:tcW w:w="40" w:type="dxa"/>
            <w:vAlign w:val="bottom"/>
            <w:shd w:val="clear" w:color="auto" w:fill="A3A5AA"/>
          </w:tcPr>
          <w:p>
            <w:pPr>
              <w:spacing w:after="0"/>
              <w:rPr>
                <w:sz w:val="24"/>
                <w:szCs w:val="24"/>
                <w:color w:val="auto"/>
              </w:rPr>
            </w:pPr>
          </w:p>
        </w:tc>
        <w:tc>
          <w:tcPr>
            <w:tcW w:w="2120" w:type="dxa"/>
            <w:vAlign w:val="bottom"/>
          </w:tcPr>
          <w:p>
            <w:pPr>
              <w:jc w:val="center"/>
              <w:ind w:left="175"/>
              <w:spacing w:after="0"/>
              <w:rPr>
                <w:sz w:val="20"/>
                <w:szCs w:val="20"/>
                <w:color w:val="auto"/>
              </w:rPr>
            </w:pPr>
            <w:r>
              <w:rPr>
                <w:rFonts w:ascii="Arial" w:cs="Arial" w:eastAsia="Arial" w:hAnsi="Arial"/>
                <w:sz w:val="25"/>
                <w:szCs w:val="25"/>
                <w:b w:val="1"/>
                <w:bCs w:val="1"/>
                <w:color w:val="282A32"/>
              </w:rPr>
              <w:t xml:space="preserve">Items </w:t>
            </w:r>
            <w:r>
              <w:rPr>
                <w:rFonts w:ascii="Arial" w:cs="Arial" w:eastAsia="Arial" w:hAnsi="Arial"/>
                <w:sz w:val="17"/>
                <w:szCs w:val="17"/>
                <w:b w:val="1"/>
                <w:bCs w:val="1"/>
                <w:color w:val="282A32"/>
              </w:rPr>
              <w:t>(1)</w:t>
            </w:r>
          </w:p>
        </w:tc>
        <w:tc>
          <w:tcPr>
            <w:tcW w:w="40" w:type="dxa"/>
            <w:vAlign w:val="bottom"/>
            <w:shd w:val="clear" w:color="auto" w:fill="A3A5AA"/>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5220" w:type="dxa"/>
            <w:vAlign w:val="bottom"/>
            <w:tcBorders>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2100" w:type="dxa"/>
            <w:vAlign w:val="bottom"/>
          </w:tcPr>
          <w:p>
            <w:pPr>
              <w:jc w:val="right"/>
              <w:ind w:right="429"/>
              <w:spacing w:after="0"/>
              <w:rPr>
                <w:sz w:val="20"/>
                <w:szCs w:val="20"/>
                <w:color w:val="auto"/>
              </w:rPr>
            </w:pPr>
            <w:r>
              <w:rPr>
                <w:rFonts w:ascii="Arial" w:cs="Arial" w:eastAsia="Arial" w:hAnsi="Arial"/>
                <w:sz w:val="38"/>
                <w:szCs w:val="38"/>
                <w:color w:val="282A32"/>
              </w:rPr>
              <w:t>0%</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455"/>
              <w:spacing w:after="0"/>
              <w:rPr>
                <w:sz w:val="20"/>
                <w:szCs w:val="20"/>
                <w:color w:val="auto"/>
              </w:rPr>
            </w:pPr>
            <w:r>
              <w:rPr>
                <w:rFonts w:ascii="Arial" w:cs="Arial" w:eastAsia="Arial" w:hAnsi="Arial"/>
                <w:sz w:val="38"/>
                <w:szCs w:val="38"/>
                <w:color w:val="282A32"/>
              </w:rPr>
              <w:t>0%</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$698M</w:t>
            </w:r>
          </w:p>
        </w:tc>
        <w:tc>
          <w:tcPr>
            <w:tcW w:w="0" w:type="dxa"/>
            <w:vAlign w:val="bottom"/>
          </w:tcPr>
          <w:p>
            <w:pPr>
              <w:spacing w:after="0"/>
              <w:rPr>
                <w:sz w:val="1"/>
                <w:szCs w:val="1"/>
                <w:color w:val="auto"/>
              </w:rPr>
            </w:pPr>
          </w:p>
        </w:tc>
      </w:tr>
      <w:tr>
        <w:trPr>
          <w:trHeight w:val="262"/>
        </w:trPr>
        <w:tc>
          <w:tcPr>
            <w:tcW w:w="2100" w:type="dxa"/>
            <w:vAlign w:val="bottom"/>
            <w:vMerge w:val="restart"/>
          </w:tcPr>
          <w:p>
            <w:pPr>
              <w:ind w:left="640"/>
              <w:spacing w:after="0"/>
              <w:rPr>
                <w:sz w:val="20"/>
                <w:szCs w:val="20"/>
                <w:color w:val="auto"/>
              </w:rPr>
            </w:pPr>
            <w:r>
              <w:rPr>
                <w:rFonts w:ascii="Arial" w:cs="Arial" w:eastAsia="Arial" w:hAnsi="Arial"/>
                <w:sz w:val="38"/>
                <w:szCs w:val="38"/>
                <w:color w:val="282A32"/>
              </w:rPr>
              <w:t>1%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55"/>
              <w:spacing w:after="0"/>
              <w:rPr>
                <w:sz w:val="20"/>
                <w:szCs w:val="20"/>
                <w:color w:val="auto"/>
              </w:rPr>
            </w:pPr>
            <w:r>
              <w:rPr>
                <w:rFonts w:ascii="Arial" w:cs="Arial" w:eastAsia="Arial" w:hAnsi="Arial"/>
                <w:sz w:val="38"/>
                <w:szCs w:val="38"/>
                <w:color w:val="282A32"/>
                <w:w w:val="99"/>
              </w:rPr>
              <w:t>1%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A3A5AA"/>
          </w:tcPr>
          <w:p>
            <w:pPr>
              <w:spacing w:after="0"/>
              <w:rPr>
                <w:sz w:val="17"/>
                <w:szCs w:val="17"/>
                <w:color w:val="auto"/>
              </w:rPr>
            </w:pPr>
          </w:p>
        </w:tc>
        <w:tc>
          <w:tcPr>
            <w:tcW w:w="2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Borders>
              <w:left w:val="single" w:sz="8" w:color="A3A5AA"/>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10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shd w:val="clear" w:color="auto" w:fill="A3A5AA"/>
          </w:tcPr>
          <w:p>
            <w:pPr>
              <w:spacing w:after="0"/>
              <w:rPr>
                <w:sz w:val="6"/>
                <w:szCs w:val="6"/>
                <w:color w:val="auto"/>
              </w:rPr>
            </w:pPr>
          </w:p>
        </w:tc>
        <w:tc>
          <w:tcPr>
            <w:tcW w:w="2120" w:type="dxa"/>
            <w:vAlign w:val="bottom"/>
            <w:tcBorders>
              <w:bottom w:val="single" w:sz="8" w:color="A3A5AA"/>
            </w:tcBorders>
          </w:tcPr>
          <w:p>
            <w:pPr>
              <w:spacing w:after="0"/>
              <w:rPr>
                <w:sz w:val="6"/>
                <w:szCs w:val="6"/>
                <w:color w:val="auto"/>
              </w:rPr>
            </w:pPr>
          </w:p>
        </w:tc>
        <w:tc>
          <w:tcPr>
            <w:tcW w:w="40" w:type="dxa"/>
            <w:vAlign w:val="bottom"/>
            <w:tcBorders>
              <w:bottom w:val="single" w:sz="8" w:color="A3A5AA"/>
            </w:tcBorders>
          </w:tcPr>
          <w:p>
            <w:pPr>
              <w:spacing w:after="0"/>
              <w:rPr>
                <w:sz w:val="6"/>
                <w:szCs w:val="6"/>
                <w:color w:val="auto"/>
              </w:rPr>
            </w:pPr>
          </w:p>
        </w:tc>
        <w:tc>
          <w:tcPr>
            <w:tcW w:w="522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100" w:type="dxa"/>
            <w:vAlign w:val="bottom"/>
          </w:tcPr>
          <w:p>
            <w:pPr>
              <w:jc w:val="right"/>
              <w:ind w:right="329"/>
              <w:spacing w:after="0"/>
              <w:rPr>
                <w:sz w:val="20"/>
                <w:szCs w:val="20"/>
                <w:color w:val="auto"/>
              </w:rPr>
            </w:pPr>
            <w:r>
              <w:rPr>
                <w:rFonts w:ascii="Arial" w:cs="Arial" w:eastAsia="Arial" w:hAnsi="Arial"/>
                <w:sz w:val="38"/>
                <w:szCs w:val="38"/>
                <w:color w:val="282A32"/>
              </w:rPr>
              <w:t>31%</w:t>
            </w:r>
          </w:p>
        </w:tc>
        <w:tc>
          <w:tcPr>
            <w:tcW w:w="40" w:type="dxa"/>
            <w:vAlign w:val="bottom"/>
            <w:shd w:val="clear" w:color="auto" w:fill="A3A5AA"/>
          </w:tcPr>
          <w:p>
            <w:pPr>
              <w:spacing w:after="0"/>
              <w:rPr>
                <w:sz w:val="24"/>
                <w:szCs w:val="24"/>
                <w:color w:val="auto"/>
              </w:rPr>
            </w:pPr>
          </w:p>
        </w:tc>
        <w:tc>
          <w:tcPr>
            <w:tcW w:w="2120" w:type="dxa"/>
            <w:vAlign w:val="bottom"/>
          </w:tcPr>
          <w:p>
            <w:pPr>
              <w:jc w:val="right"/>
              <w:ind w:right="355"/>
              <w:spacing w:after="0"/>
              <w:rPr>
                <w:sz w:val="20"/>
                <w:szCs w:val="20"/>
                <w:color w:val="auto"/>
              </w:rPr>
            </w:pPr>
            <w:r>
              <w:rPr>
                <w:rFonts w:ascii="Arial" w:cs="Arial" w:eastAsia="Arial" w:hAnsi="Arial"/>
                <w:sz w:val="38"/>
                <w:szCs w:val="38"/>
                <w:color w:val="282A32"/>
              </w:rPr>
              <w:t>33%</w:t>
            </w:r>
          </w:p>
        </w:tc>
        <w:tc>
          <w:tcPr>
            <w:tcW w:w="4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$28M</w:t>
            </w:r>
          </w:p>
        </w:tc>
        <w:tc>
          <w:tcPr>
            <w:tcW w:w="0" w:type="dxa"/>
            <w:vAlign w:val="bottom"/>
          </w:tcPr>
          <w:p>
            <w:pPr>
              <w:spacing w:after="0"/>
              <w:rPr>
                <w:sz w:val="1"/>
                <w:szCs w:val="1"/>
                <w:color w:val="auto"/>
              </w:rPr>
            </w:pPr>
          </w:p>
        </w:tc>
      </w:tr>
      <w:tr>
        <w:trPr>
          <w:trHeight w:val="262"/>
        </w:trPr>
        <w:tc>
          <w:tcPr>
            <w:tcW w:w="2100" w:type="dxa"/>
            <w:vAlign w:val="bottom"/>
            <w:vMerge w:val="restart"/>
          </w:tcPr>
          <w:p>
            <w:pPr>
              <w:ind w:left="520"/>
              <w:spacing w:after="0"/>
              <w:rPr>
                <w:sz w:val="20"/>
                <w:szCs w:val="20"/>
                <w:color w:val="auto"/>
              </w:rPr>
            </w:pPr>
            <w:r>
              <w:rPr>
                <w:rFonts w:ascii="Arial" w:cs="Arial" w:eastAsia="Arial" w:hAnsi="Arial"/>
                <w:sz w:val="38"/>
                <w:szCs w:val="38"/>
                <w:color w:val="282A32"/>
              </w:rPr>
              <w:t>33% CC</w:t>
            </w:r>
          </w:p>
        </w:tc>
        <w:tc>
          <w:tcPr>
            <w:tcW w:w="40" w:type="dxa"/>
            <w:vAlign w:val="bottom"/>
            <w:shd w:val="clear" w:color="auto" w:fill="A3A5AA"/>
          </w:tcPr>
          <w:p>
            <w:pPr>
              <w:spacing w:after="0"/>
              <w:rPr>
                <w:sz w:val="22"/>
                <w:szCs w:val="22"/>
                <w:color w:val="auto"/>
              </w:rPr>
            </w:pPr>
          </w:p>
        </w:tc>
        <w:tc>
          <w:tcPr>
            <w:tcW w:w="2120" w:type="dxa"/>
            <w:vAlign w:val="bottom"/>
            <w:vMerge w:val="restart"/>
          </w:tcPr>
          <w:p>
            <w:pPr>
              <w:jc w:val="center"/>
              <w:ind w:left="175"/>
              <w:spacing w:after="0"/>
              <w:rPr>
                <w:sz w:val="20"/>
                <w:szCs w:val="20"/>
                <w:color w:val="auto"/>
              </w:rPr>
            </w:pPr>
            <w:r>
              <w:rPr>
                <w:rFonts w:ascii="Arial" w:cs="Arial" w:eastAsia="Arial" w:hAnsi="Arial"/>
                <w:sz w:val="38"/>
                <w:szCs w:val="38"/>
                <w:color w:val="282A32"/>
              </w:rPr>
              <w:t>35% CC</w:t>
            </w:r>
          </w:p>
        </w:tc>
        <w:tc>
          <w:tcPr>
            <w:tcW w:w="4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40" w:type="dxa"/>
            <w:vAlign w:val="bottom"/>
            <w:shd w:val="clear" w:color="auto" w:fill="A3A5AA"/>
          </w:tcPr>
          <w:p>
            <w:pPr>
              <w:spacing w:after="0"/>
              <w:rPr>
                <w:sz w:val="21"/>
                <w:szCs w:val="21"/>
                <w:color w:val="auto"/>
              </w:rPr>
            </w:pPr>
          </w:p>
        </w:tc>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20" w:type="dxa"/>
            <w:vAlign w:val="bottom"/>
            <w:tcBorders>
              <w:left w:val="single" w:sz="8" w:color="A3A5A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shd w:val="clear" w:color="auto" w:fill="A3A5AA"/>
          </w:tcPr>
          <w:p>
            <w:pPr>
              <w:spacing w:after="0"/>
              <w:rPr>
                <w:sz w:val="3"/>
                <w:szCs w:val="3"/>
                <w:color w:val="auto"/>
              </w:rPr>
            </w:pPr>
          </w:p>
        </w:tc>
        <w:tc>
          <w:tcPr>
            <w:tcW w:w="2120" w:type="dxa"/>
            <w:vAlign w:val="bottom"/>
            <w:tcBorders>
              <w:bottom w:val="single" w:sz="8" w:color="A3A5AA"/>
            </w:tcBorders>
          </w:tcPr>
          <w:p>
            <w:pPr>
              <w:spacing w:after="0"/>
              <w:rPr>
                <w:sz w:val="3"/>
                <w:szCs w:val="3"/>
                <w:color w:val="auto"/>
              </w:rPr>
            </w:pPr>
          </w:p>
        </w:tc>
        <w:tc>
          <w:tcPr>
            <w:tcW w:w="40" w:type="dxa"/>
            <w:vAlign w:val="bottom"/>
            <w:tcBorders>
              <w:bottom w:val="single" w:sz="8" w:color="A3A5AA"/>
            </w:tcBorders>
          </w:tcPr>
          <w:p>
            <w:pPr>
              <w:spacing w:after="0"/>
              <w:rPr>
                <w:sz w:val="3"/>
                <w:szCs w:val="3"/>
                <w:color w:val="auto"/>
              </w:rPr>
            </w:pPr>
          </w:p>
        </w:tc>
        <w:tc>
          <w:tcPr>
            <w:tcW w:w="5220" w:type="dxa"/>
            <w:vAlign w:val="bottom"/>
            <w:tcBorders>
              <w:left w:val="single" w:sz="8" w:color="A3A5AA"/>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793"/>
        </w:trPr>
        <w:tc>
          <w:tcPr>
            <w:tcW w:w="2100" w:type="dxa"/>
            <w:vAlign w:val="bottom"/>
          </w:tcPr>
          <w:p>
            <w:pPr>
              <w:ind w:left="560"/>
              <w:spacing w:after="0"/>
              <w:rPr>
                <w:sz w:val="20"/>
                <w:szCs w:val="20"/>
                <w:color w:val="auto"/>
              </w:rPr>
            </w:pPr>
            <w:r>
              <w:rPr>
                <w:rFonts w:ascii="Arial" w:cs="Arial" w:eastAsia="Arial" w:hAnsi="Arial"/>
                <w:sz w:val="38"/>
                <w:szCs w:val="38"/>
                <w:color w:val="282A32"/>
              </w:rPr>
              <w:t>100 bps</w:t>
            </w:r>
          </w:p>
        </w:tc>
        <w:tc>
          <w:tcPr>
            <w:tcW w:w="40" w:type="dxa"/>
            <w:vAlign w:val="bottom"/>
            <w:shd w:val="clear" w:color="auto" w:fill="A3A5AA"/>
          </w:tcPr>
          <w:p>
            <w:pPr>
              <w:spacing w:after="0"/>
              <w:rPr>
                <w:sz w:val="24"/>
                <w:szCs w:val="24"/>
                <w:color w:val="auto"/>
              </w:rPr>
            </w:pPr>
          </w:p>
        </w:tc>
        <w:tc>
          <w:tcPr>
            <w:tcW w:w="2120" w:type="dxa"/>
            <w:vAlign w:val="bottom"/>
          </w:tcPr>
          <w:p>
            <w:pPr>
              <w:jc w:val="center"/>
              <w:ind w:left="175"/>
              <w:spacing w:after="0"/>
              <w:rPr>
                <w:sz w:val="20"/>
                <w:szCs w:val="20"/>
                <w:color w:val="auto"/>
              </w:rPr>
            </w:pPr>
            <w:r>
              <w:rPr>
                <w:rFonts w:ascii="Arial" w:cs="Arial" w:eastAsia="Arial" w:hAnsi="Arial"/>
                <w:sz w:val="38"/>
                <w:szCs w:val="38"/>
                <w:color w:val="282A32"/>
                <w:w w:val="99"/>
              </w:rPr>
              <w:t>100 bps</w:t>
            </w:r>
          </w:p>
        </w:tc>
        <w:tc>
          <w:tcPr>
            <w:tcW w:w="40" w:type="dxa"/>
            <w:vAlign w:val="bottom"/>
            <w:shd w:val="clear" w:color="auto" w:fill="A3A5AA"/>
          </w:tcPr>
          <w:p>
            <w:pPr>
              <w:spacing w:after="0"/>
              <w:rPr>
                <w:sz w:val="24"/>
                <w:szCs w:val="24"/>
                <w:color w:val="auto"/>
              </w:rPr>
            </w:pPr>
          </w:p>
        </w:tc>
        <w:tc>
          <w:tcPr>
            <w:tcW w:w="522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4.1%</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shd w:val="clear" w:color="auto" w:fill="A3A5AA"/>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0"/>
        <w:spacing w:after="0"/>
        <w:rPr>
          <w:sz w:val="20"/>
          <w:szCs w:val="20"/>
          <w:color w:val="auto"/>
        </w:rPr>
      </w:pPr>
      <w:r>
        <w:rPr>
          <w:rFonts w:ascii="Arial" w:cs="Arial" w:eastAsia="Arial" w:hAnsi="Arial"/>
          <w:sz w:val="19"/>
          <w:szCs w:val="19"/>
          <w:color w:val="282A32"/>
        </w:rPr>
        <w:t>(1) Excludes the impact of reorganization charges of $0.4M in Q4 2012.</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40"/>
          </w:cols>
          <w:pgMar w:left="860" w:top="514" w:right="699" w:bottom="1440" w:gutter="0" w:footer="0" w:header="0"/>
        </w:sectPr>
      </w:pPr>
    </w:p>
    <w:bookmarkStart w:id="26" w:name="page27"/>
    <w:bookmarkEnd w:id="26"/>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350" w:lineRule="exact"/>
        <w:rPr>
          <w:sz w:val="20"/>
          <w:szCs w:val="20"/>
          <w:color w:val="auto"/>
        </w:rPr>
      </w:pPr>
    </w:p>
    <w:p>
      <w:pPr>
        <w:ind w:left="280"/>
        <w:spacing w:after="0"/>
        <w:rPr>
          <w:sz w:val="20"/>
          <w:szCs w:val="20"/>
          <w:color w:val="auto"/>
        </w:rPr>
      </w:pPr>
      <w:r>
        <w:rPr>
          <w:rFonts w:ascii="Arial" w:cs="Arial" w:eastAsia="Arial" w:hAnsi="Arial"/>
          <w:sz w:val="47"/>
          <w:szCs w:val="47"/>
          <w:color w:val="5F81AA"/>
        </w:rPr>
        <w:t>APME - Q4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40"/>
          </w:cols>
          <w:pgMar w:left="860" w:top="514" w:right="699" w:bottom="1440" w:gutter="0" w:footer="0" w:header="0"/>
        </w:sectPr>
      </w:pPr>
    </w:p>
    <w:bookmarkStart w:id="27" w:name="page28"/>
    <w:bookmarkEnd w:id="27"/>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369" w:lineRule="exact"/>
        <w:rPr>
          <w:sz w:val="20"/>
          <w:szCs w:val="20"/>
          <w:color w:val="auto"/>
        </w:rPr>
      </w:pPr>
    </w:p>
    <w:p>
      <w:pPr>
        <w:ind w:left="240"/>
        <w:spacing w:after="0"/>
        <w:rPr>
          <w:sz w:val="20"/>
          <w:szCs w:val="20"/>
          <w:color w:val="auto"/>
        </w:rPr>
      </w:pPr>
      <w:r>
        <w:rPr>
          <w:rFonts w:ascii="Arial" w:cs="Arial" w:eastAsia="Arial" w:hAnsi="Arial"/>
          <w:sz w:val="50"/>
          <w:szCs w:val="50"/>
          <w:color w:val="5F81AA"/>
        </w:rPr>
        <w:t>Right Management Segment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31"/>
          <w:szCs w:val="31"/>
          <w:color w:val="5F81AA"/>
        </w:rPr>
        <w:t>(2% of Revenue)</w:t>
      </w:r>
    </w:p>
    <w:p>
      <w:pPr>
        <w:spacing w:after="0" w:line="200" w:lineRule="exact"/>
        <w:rPr>
          <w:sz w:val="20"/>
          <w:szCs w:val="20"/>
          <w:color w:val="auto"/>
        </w:rPr>
      </w:pP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36"/>
        </w:trPr>
        <w:tc>
          <w:tcPr>
            <w:tcW w:w="210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20" w:type="dxa"/>
            <w:vAlign w:val="bottom"/>
          </w:tcPr>
          <w:p>
            <w:pPr>
              <w:spacing w:after="0"/>
              <w:rPr>
                <w:sz w:val="3"/>
                <w:szCs w:val="3"/>
                <w:color w:val="auto"/>
              </w:rPr>
            </w:pPr>
          </w:p>
        </w:tc>
        <w:tc>
          <w:tcPr>
            <w:tcW w:w="214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20" w:type="dxa"/>
            <w:vAlign w:val="bottom"/>
          </w:tcPr>
          <w:p>
            <w:pPr>
              <w:spacing w:after="0"/>
              <w:rPr>
                <w:sz w:val="3"/>
                <w:szCs w:val="3"/>
                <w:color w:val="auto"/>
              </w:rPr>
            </w:pP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auto"/>
              </w:rPr>
              <w:t>Q4 Financial Highlights</w:t>
            </w:r>
          </w:p>
        </w:tc>
        <w:tc>
          <w:tcPr>
            <w:tcW w:w="0" w:type="dxa"/>
            <w:vAlign w:val="bottom"/>
          </w:tcPr>
          <w:p>
            <w:pPr>
              <w:spacing w:after="0" w:line="20" w:lineRule="exact"/>
              <w:rPr>
                <w:sz w:val="1"/>
                <w:szCs w:val="1"/>
                <w:color w:val="auto"/>
              </w:rPr>
            </w:pPr>
          </w:p>
        </w:tc>
      </w:tr>
      <w:tr>
        <w:trPr>
          <w:trHeight w:val="260"/>
        </w:trPr>
        <w:tc>
          <w:tcPr>
            <w:tcW w:w="2100" w:type="dxa"/>
            <w:vAlign w:val="bottom"/>
            <w:vMerge w:val="continue"/>
          </w:tcPr>
          <w:p>
            <w:pPr>
              <w:spacing w:after="0"/>
              <w:rPr>
                <w:sz w:val="22"/>
                <w:szCs w:val="22"/>
                <w:color w:val="auto"/>
              </w:rPr>
            </w:pPr>
          </w:p>
        </w:tc>
        <w:tc>
          <w:tcPr>
            <w:tcW w:w="20" w:type="dxa"/>
            <w:vAlign w:val="bottom"/>
            <w:shd w:val="clear" w:color="auto" w:fill="A3A5AA"/>
          </w:tcPr>
          <w:p>
            <w:pPr>
              <w:spacing w:after="0"/>
              <w:rPr>
                <w:sz w:val="22"/>
                <w:szCs w:val="22"/>
                <w:color w:val="auto"/>
              </w:rPr>
            </w:pPr>
          </w:p>
        </w:tc>
        <w:tc>
          <w:tcPr>
            <w:tcW w:w="2140" w:type="dxa"/>
            <w:vAlign w:val="bottom"/>
            <w:vMerge w:val="continue"/>
          </w:tcPr>
          <w:p>
            <w:pPr>
              <w:spacing w:after="0"/>
              <w:rPr>
                <w:sz w:val="22"/>
                <w:szCs w:val="22"/>
                <w:color w:val="auto"/>
              </w:rPr>
            </w:pPr>
          </w:p>
        </w:tc>
        <w:tc>
          <w:tcPr>
            <w:tcW w:w="20" w:type="dxa"/>
            <w:vAlign w:val="bottom"/>
            <w:shd w:val="clear" w:color="auto" w:fill="A3A5AA"/>
          </w:tcPr>
          <w:p>
            <w:pPr>
              <w:spacing w:after="0"/>
              <w:rPr>
                <w:sz w:val="22"/>
                <w:szCs w:val="22"/>
                <w:color w:val="auto"/>
              </w:rPr>
            </w:pPr>
          </w:p>
        </w:tc>
        <w:tc>
          <w:tcPr>
            <w:tcW w:w="5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210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20" w:type="dxa"/>
            <w:vAlign w:val="bottom"/>
            <w:shd w:val="clear" w:color="auto" w:fill="A3A5AA"/>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20" w:type="dxa"/>
            <w:vAlign w:val="bottom"/>
            <w:shd w:val="clear" w:color="auto" w:fill="A3A5AA"/>
          </w:tcPr>
          <w:p>
            <w:pPr>
              <w:spacing w:after="0"/>
              <w:rPr>
                <w:sz w:val="24"/>
                <w:szCs w:val="24"/>
                <w:color w:val="auto"/>
              </w:rPr>
            </w:pP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100" w:type="dxa"/>
            <w:vAlign w:val="bottom"/>
          </w:tcPr>
          <w:p>
            <w:pPr>
              <w:spacing w:after="0"/>
              <w:rPr>
                <w:sz w:val="24"/>
                <w:szCs w:val="24"/>
                <w:color w:val="auto"/>
              </w:rPr>
            </w:pPr>
          </w:p>
        </w:tc>
        <w:tc>
          <w:tcPr>
            <w:tcW w:w="20" w:type="dxa"/>
            <w:vAlign w:val="bottom"/>
            <w:shd w:val="clear" w:color="auto" w:fill="A3A5AA"/>
          </w:tcPr>
          <w:p>
            <w:pPr>
              <w:spacing w:after="0"/>
              <w:rPr>
                <w:sz w:val="24"/>
                <w:szCs w:val="24"/>
                <w:color w:val="auto"/>
              </w:rPr>
            </w:pPr>
          </w:p>
        </w:tc>
        <w:tc>
          <w:tcPr>
            <w:tcW w:w="2140" w:type="dxa"/>
            <w:vAlign w:val="bottom"/>
          </w:tcPr>
          <w:p>
            <w:pPr>
              <w:jc w:val="center"/>
              <w:ind w:left="75"/>
              <w:spacing w:after="0"/>
              <w:rPr>
                <w:sz w:val="20"/>
                <w:szCs w:val="20"/>
                <w:color w:val="auto"/>
              </w:rPr>
            </w:pPr>
            <w:r>
              <w:rPr>
                <w:rFonts w:ascii="Arial" w:cs="Arial" w:eastAsia="Arial" w:hAnsi="Arial"/>
                <w:sz w:val="25"/>
                <w:szCs w:val="25"/>
                <w:b w:val="1"/>
                <w:bCs w:val="1"/>
                <w:color w:val="282A32"/>
              </w:rPr>
              <w:t>Items</w:t>
            </w:r>
            <w:r>
              <w:rPr>
                <w:rFonts w:ascii="Arial" w:cs="Arial" w:eastAsia="Arial" w:hAnsi="Arial"/>
                <w:sz w:val="17"/>
                <w:szCs w:val="17"/>
                <w:b w:val="1"/>
                <w:bCs w:val="1"/>
                <w:color w:val="282A32"/>
              </w:rPr>
              <w:t>(1)</w:t>
            </w:r>
          </w:p>
        </w:tc>
        <w:tc>
          <w:tcPr>
            <w:tcW w:w="20" w:type="dxa"/>
            <w:vAlign w:val="bottom"/>
            <w:shd w:val="clear" w:color="auto" w:fill="A3A5AA"/>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100" w:type="dxa"/>
            <w:vAlign w:val="bottom"/>
            <w:tcBorders>
              <w:bottom w:val="single" w:sz="8" w:color="A3A5AA"/>
            </w:tcBorders>
          </w:tcPr>
          <w:p>
            <w:pPr>
              <w:spacing w:after="0"/>
              <w:rPr>
                <w:sz w:val="3"/>
                <w:szCs w:val="3"/>
                <w:color w:val="auto"/>
              </w:rPr>
            </w:pPr>
          </w:p>
        </w:tc>
        <w:tc>
          <w:tcPr>
            <w:tcW w:w="20" w:type="dxa"/>
            <w:vAlign w:val="bottom"/>
            <w:tcBorders>
              <w:bottom w:val="single" w:sz="8" w:color="A3A5AA"/>
            </w:tcBorders>
            <w:shd w:val="clear" w:color="auto" w:fill="A3A5AA"/>
          </w:tcPr>
          <w:p>
            <w:pPr>
              <w:spacing w:after="0"/>
              <w:rPr>
                <w:sz w:val="3"/>
                <w:szCs w:val="3"/>
                <w:color w:val="auto"/>
              </w:rPr>
            </w:pPr>
          </w:p>
        </w:tc>
        <w:tc>
          <w:tcPr>
            <w:tcW w:w="2140" w:type="dxa"/>
            <w:vAlign w:val="bottom"/>
            <w:tcBorders>
              <w:bottom w:val="single" w:sz="8" w:color="A3A5AA"/>
            </w:tcBorders>
          </w:tcPr>
          <w:p>
            <w:pPr>
              <w:spacing w:after="0"/>
              <w:rPr>
                <w:sz w:val="3"/>
                <w:szCs w:val="3"/>
                <w:color w:val="auto"/>
              </w:rPr>
            </w:pPr>
          </w:p>
        </w:tc>
        <w:tc>
          <w:tcPr>
            <w:tcW w:w="20" w:type="dxa"/>
            <w:vAlign w:val="bottom"/>
            <w:tcBorders>
              <w:bottom w:val="single" w:sz="8" w:color="A3A5AA"/>
            </w:tcBorders>
            <w:shd w:val="clear" w:color="auto" w:fill="A3A5AA"/>
          </w:tcPr>
          <w:p>
            <w:pPr>
              <w:spacing w:after="0"/>
              <w:rPr>
                <w:sz w:val="3"/>
                <w:szCs w:val="3"/>
                <w:color w:val="auto"/>
              </w:rPr>
            </w:pPr>
          </w:p>
        </w:tc>
        <w:tc>
          <w:tcPr>
            <w:tcW w:w="5220" w:type="dxa"/>
            <w:vAlign w:val="bottom"/>
            <w:tcBorders>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2100" w:type="dxa"/>
            <w:vAlign w:val="bottom"/>
          </w:tcPr>
          <w:p>
            <w:pPr>
              <w:jc w:val="center"/>
              <w:ind w:left="189"/>
              <w:spacing w:after="0"/>
              <w:rPr>
                <w:sz w:val="20"/>
                <w:szCs w:val="20"/>
                <w:color w:val="auto"/>
              </w:rPr>
            </w:pPr>
            <w:r>
              <w:rPr>
                <w:rFonts w:ascii="Arial" w:cs="Arial" w:eastAsia="Arial" w:hAnsi="Arial"/>
                <w:sz w:val="38"/>
                <w:szCs w:val="38"/>
                <w:color w:val="282A32"/>
                <w:w w:val="98"/>
              </w:rPr>
              <w:t>6%</w:t>
            </w:r>
          </w:p>
        </w:tc>
        <w:tc>
          <w:tcPr>
            <w:tcW w:w="20" w:type="dxa"/>
            <w:vAlign w:val="bottom"/>
            <w:shd w:val="clear" w:color="auto" w:fill="A3A5AA"/>
          </w:tcPr>
          <w:p>
            <w:pPr>
              <w:spacing w:after="0"/>
              <w:rPr>
                <w:sz w:val="24"/>
                <w:szCs w:val="24"/>
                <w:color w:val="auto"/>
              </w:rPr>
            </w:pPr>
          </w:p>
        </w:tc>
        <w:tc>
          <w:tcPr>
            <w:tcW w:w="2140" w:type="dxa"/>
            <w:vAlign w:val="bottom"/>
          </w:tcPr>
          <w:p>
            <w:pPr>
              <w:jc w:val="center"/>
              <w:ind w:left="175"/>
              <w:spacing w:after="0"/>
              <w:rPr>
                <w:sz w:val="20"/>
                <w:szCs w:val="20"/>
                <w:color w:val="auto"/>
              </w:rPr>
            </w:pPr>
            <w:r>
              <w:rPr>
                <w:rFonts w:ascii="Arial" w:cs="Arial" w:eastAsia="Arial" w:hAnsi="Arial"/>
                <w:sz w:val="38"/>
                <w:szCs w:val="38"/>
                <w:color w:val="282A32"/>
              </w:rPr>
              <w:t>6%</w:t>
            </w:r>
          </w:p>
        </w:tc>
        <w:tc>
          <w:tcPr>
            <w:tcW w:w="20" w:type="dxa"/>
            <w:vAlign w:val="bottom"/>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$85M</w:t>
            </w:r>
          </w:p>
        </w:tc>
        <w:tc>
          <w:tcPr>
            <w:tcW w:w="0" w:type="dxa"/>
            <w:vAlign w:val="bottom"/>
          </w:tcPr>
          <w:p>
            <w:pPr>
              <w:spacing w:after="0"/>
              <w:rPr>
                <w:sz w:val="1"/>
                <w:szCs w:val="1"/>
                <w:color w:val="auto"/>
              </w:rPr>
            </w:pPr>
          </w:p>
        </w:tc>
      </w:tr>
      <w:tr>
        <w:trPr>
          <w:trHeight w:val="262"/>
        </w:trPr>
        <w:tc>
          <w:tcPr>
            <w:tcW w:w="2100" w:type="dxa"/>
            <w:vAlign w:val="bottom"/>
            <w:vMerge w:val="restart"/>
          </w:tcPr>
          <w:p>
            <w:pPr>
              <w:jc w:val="center"/>
              <w:ind w:left="169"/>
              <w:spacing w:after="0"/>
              <w:rPr>
                <w:sz w:val="20"/>
                <w:szCs w:val="20"/>
                <w:color w:val="auto"/>
              </w:rPr>
            </w:pPr>
            <w:r>
              <w:rPr>
                <w:rFonts w:ascii="Arial" w:cs="Arial" w:eastAsia="Arial" w:hAnsi="Arial"/>
                <w:sz w:val="38"/>
                <w:szCs w:val="38"/>
                <w:color w:val="282A32"/>
                <w:w w:val="99"/>
              </w:rPr>
              <w:t>7% CC</w:t>
            </w:r>
          </w:p>
        </w:tc>
        <w:tc>
          <w:tcPr>
            <w:tcW w:w="20" w:type="dxa"/>
            <w:vAlign w:val="bottom"/>
            <w:shd w:val="clear" w:color="auto" w:fill="A3A5AA"/>
          </w:tcPr>
          <w:p>
            <w:pPr>
              <w:spacing w:after="0"/>
              <w:rPr>
                <w:sz w:val="22"/>
                <w:szCs w:val="22"/>
                <w:color w:val="auto"/>
              </w:rPr>
            </w:pPr>
          </w:p>
        </w:tc>
        <w:tc>
          <w:tcPr>
            <w:tcW w:w="2140" w:type="dxa"/>
            <w:vAlign w:val="bottom"/>
            <w:vMerge w:val="restart"/>
          </w:tcPr>
          <w:p>
            <w:pPr>
              <w:jc w:val="center"/>
              <w:ind w:left="175"/>
              <w:spacing w:after="0"/>
              <w:rPr>
                <w:sz w:val="20"/>
                <w:szCs w:val="20"/>
                <w:color w:val="auto"/>
              </w:rPr>
            </w:pPr>
            <w:r>
              <w:rPr>
                <w:rFonts w:ascii="Arial" w:cs="Arial" w:eastAsia="Arial" w:hAnsi="Arial"/>
                <w:sz w:val="38"/>
                <w:szCs w:val="38"/>
                <w:color w:val="282A32"/>
                <w:w w:val="99"/>
              </w:rPr>
              <w:t>7% CC</w:t>
            </w:r>
          </w:p>
        </w:tc>
        <w:tc>
          <w:tcPr>
            <w:tcW w:w="2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20" w:type="dxa"/>
            <w:vAlign w:val="bottom"/>
            <w:shd w:val="clear" w:color="auto" w:fill="A3A5AA"/>
          </w:tcPr>
          <w:p>
            <w:pPr>
              <w:spacing w:after="0"/>
              <w:rPr>
                <w:sz w:val="17"/>
                <w:szCs w:val="17"/>
                <w:color w:val="auto"/>
              </w:rPr>
            </w:pPr>
          </w:p>
        </w:tc>
        <w:tc>
          <w:tcPr>
            <w:tcW w:w="2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left w:val="single" w:sz="8" w:color="A3A5AA"/>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100" w:type="dxa"/>
            <w:vAlign w:val="bottom"/>
            <w:tcBorders>
              <w:bottom w:val="single" w:sz="8" w:color="A3A5AA"/>
            </w:tcBorders>
          </w:tcPr>
          <w:p>
            <w:pPr>
              <w:spacing w:after="0"/>
              <w:rPr>
                <w:sz w:val="6"/>
                <w:szCs w:val="6"/>
                <w:color w:val="auto"/>
              </w:rPr>
            </w:pPr>
          </w:p>
        </w:tc>
        <w:tc>
          <w:tcPr>
            <w:tcW w:w="20" w:type="dxa"/>
            <w:vAlign w:val="bottom"/>
            <w:tcBorders>
              <w:bottom w:val="single" w:sz="8" w:color="A3A5AA"/>
            </w:tcBorders>
            <w:shd w:val="clear" w:color="auto" w:fill="A3A5AA"/>
          </w:tcPr>
          <w:p>
            <w:pPr>
              <w:spacing w:after="0"/>
              <w:rPr>
                <w:sz w:val="6"/>
                <w:szCs w:val="6"/>
                <w:color w:val="auto"/>
              </w:rPr>
            </w:pPr>
          </w:p>
        </w:tc>
        <w:tc>
          <w:tcPr>
            <w:tcW w:w="2140" w:type="dxa"/>
            <w:vAlign w:val="bottom"/>
            <w:tcBorders>
              <w:bottom w:val="single" w:sz="8" w:color="A3A5AA"/>
            </w:tcBorders>
          </w:tcPr>
          <w:p>
            <w:pPr>
              <w:spacing w:after="0"/>
              <w:rPr>
                <w:sz w:val="6"/>
                <w:szCs w:val="6"/>
                <w:color w:val="auto"/>
              </w:rPr>
            </w:pPr>
          </w:p>
        </w:tc>
        <w:tc>
          <w:tcPr>
            <w:tcW w:w="20" w:type="dxa"/>
            <w:vAlign w:val="bottom"/>
            <w:tcBorders>
              <w:bottom w:val="single" w:sz="8" w:color="A3A5AA"/>
            </w:tcBorders>
          </w:tcPr>
          <w:p>
            <w:pPr>
              <w:spacing w:after="0"/>
              <w:rPr>
                <w:sz w:val="6"/>
                <w:szCs w:val="6"/>
                <w:color w:val="auto"/>
              </w:rPr>
            </w:pPr>
          </w:p>
        </w:tc>
        <w:tc>
          <w:tcPr>
            <w:tcW w:w="5220" w:type="dxa"/>
            <w:vAlign w:val="bottom"/>
            <w:tcBorders>
              <w:left w:val="single" w:sz="8" w:color="A3A5AA"/>
              <w:bottom w:val="single" w:sz="8" w:color="A3A5AA"/>
            </w:tcBorders>
          </w:tcPr>
          <w:p>
            <w:pPr>
              <w:spacing w:after="0"/>
              <w:rPr>
                <w:sz w:val="6"/>
                <w:szCs w:val="6"/>
                <w:color w:val="auto"/>
              </w:rPr>
            </w:pPr>
          </w:p>
        </w:tc>
        <w:tc>
          <w:tcPr>
            <w:tcW w:w="0" w:type="dxa"/>
            <w:vAlign w:val="bottom"/>
          </w:tcPr>
          <w:p>
            <w:pPr>
              <w:spacing w:after="0"/>
              <w:rPr>
                <w:sz w:val="1"/>
                <w:szCs w:val="1"/>
                <w:color w:val="auto"/>
              </w:rPr>
            </w:pPr>
          </w:p>
        </w:tc>
      </w:tr>
      <w:tr>
        <w:trPr>
          <w:trHeight w:val="547"/>
        </w:trPr>
        <w:tc>
          <w:tcPr>
            <w:tcW w:w="2100" w:type="dxa"/>
            <w:vAlign w:val="bottom"/>
          </w:tcPr>
          <w:p>
            <w:pPr>
              <w:jc w:val="center"/>
              <w:spacing w:after="0"/>
              <w:rPr>
                <w:sz w:val="20"/>
                <w:szCs w:val="20"/>
                <w:color w:val="auto"/>
              </w:rPr>
            </w:pPr>
            <w:r>
              <w:rPr>
                <w:rFonts w:ascii="Arial" w:cs="Arial" w:eastAsia="Arial" w:hAnsi="Arial"/>
                <w:sz w:val="38"/>
                <w:szCs w:val="38"/>
                <w:color w:val="282A32"/>
                <w:w w:val="97"/>
              </w:rPr>
              <w:t>N/A</w:t>
            </w:r>
          </w:p>
        </w:tc>
        <w:tc>
          <w:tcPr>
            <w:tcW w:w="20" w:type="dxa"/>
            <w:vAlign w:val="bottom"/>
            <w:tcBorders>
              <w:bottom w:val="single" w:sz="8" w:color="A3A5AA"/>
            </w:tcBorders>
            <w:shd w:val="clear" w:color="auto" w:fill="A3A5AA"/>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38"/>
                <w:szCs w:val="38"/>
                <w:color w:val="282A32"/>
                <w:w w:val="97"/>
              </w:rPr>
              <w:t>N/A</w:t>
            </w:r>
          </w:p>
        </w:tc>
        <w:tc>
          <w:tcPr>
            <w:tcW w:w="20" w:type="dxa"/>
            <w:vAlign w:val="bottom"/>
            <w:tcBorders>
              <w:bottom w:val="single" w:sz="8" w:color="A3A5AA"/>
            </w:tcBorders>
            <w:shd w:val="clear" w:color="auto" w:fill="A3A5AA"/>
          </w:tcPr>
          <w:p>
            <w:pPr>
              <w:spacing w:after="0"/>
              <w:rPr>
                <w:sz w:val="24"/>
                <w:szCs w:val="24"/>
                <w:color w:val="auto"/>
              </w:rPr>
            </w:pPr>
          </w:p>
        </w:tc>
        <w:tc>
          <w:tcPr>
            <w:tcW w:w="5220" w:type="dxa"/>
            <w:vAlign w:val="bottom"/>
            <w:tcBorders>
              <w:left w:val="single" w:sz="8" w:color="A3A5AA"/>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$8M</w:t>
            </w:r>
          </w:p>
        </w:tc>
        <w:tc>
          <w:tcPr>
            <w:tcW w:w="0" w:type="dxa"/>
            <w:vAlign w:val="bottom"/>
          </w:tcPr>
          <w:p>
            <w:pPr>
              <w:spacing w:after="0"/>
              <w:rPr>
                <w:sz w:val="1"/>
                <w:szCs w:val="1"/>
                <w:color w:val="auto"/>
              </w:rPr>
            </w:pPr>
          </w:p>
        </w:tc>
      </w:tr>
      <w:tr>
        <w:trPr>
          <w:trHeight w:val="262"/>
        </w:trPr>
        <w:tc>
          <w:tcPr>
            <w:tcW w:w="2100" w:type="dxa"/>
            <w:vAlign w:val="bottom"/>
            <w:vMerge w:val="restart"/>
          </w:tcPr>
          <w:p>
            <w:pPr>
              <w:jc w:val="center"/>
              <w:spacing w:after="0"/>
              <w:rPr>
                <w:sz w:val="20"/>
                <w:szCs w:val="20"/>
                <w:color w:val="auto"/>
              </w:rPr>
            </w:pPr>
            <w:r>
              <w:rPr>
                <w:rFonts w:ascii="Arial" w:cs="Arial" w:eastAsia="Arial" w:hAnsi="Arial"/>
                <w:sz w:val="38"/>
                <w:szCs w:val="38"/>
                <w:color w:val="282A32"/>
                <w:w w:val="97"/>
              </w:rPr>
              <w:t>N/A</w:t>
            </w:r>
          </w:p>
        </w:tc>
        <w:tc>
          <w:tcPr>
            <w:tcW w:w="20" w:type="dxa"/>
            <w:vAlign w:val="bottom"/>
            <w:shd w:val="clear" w:color="auto" w:fill="A3A5AA"/>
          </w:tcPr>
          <w:p>
            <w:pPr>
              <w:spacing w:after="0"/>
              <w:rPr>
                <w:sz w:val="22"/>
                <w:szCs w:val="22"/>
                <w:color w:val="auto"/>
              </w:rPr>
            </w:pPr>
          </w:p>
        </w:tc>
        <w:tc>
          <w:tcPr>
            <w:tcW w:w="2140" w:type="dxa"/>
            <w:vAlign w:val="bottom"/>
            <w:vMerge w:val="restart"/>
          </w:tcPr>
          <w:p>
            <w:pPr>
              <w:jc w:val="center"/>
              <w:spacing w:after="0"/>
              <w:rPr>
                <w:sz w:val="20"/>
                <w:szCs w:val="20"/>
                <w:color w:val="auto"/>
              </w:rPr>
            </w:pPr>
            <w:r>
              <w:rPr>
                <w:rFonts w:ascii="Arial" w:cs="Arial" w:eastAsia="Arial" w:hAnsi="Arial"/>
                <w:sz w:val="38"/>
                <w:szCs w:val="38"/>
                <w:color w:val="282A32"/>
                <w:w w:val="97"/>
              </w:rPr>
              <w:t>N/A</w:t>
            </w:r>
          </w:p>
        </w:tc>
        <w:tc>
          <w:tcPr>
            <w:tcW w:w="20" w:type="dxa"/>
            <w:vAlign w:val="bottom"/>
          </w:tcPr>
          <w:p>
            <w:pPr>
              <w:spacing w:after="0"/>
              <w:rPr>
                <w:sz w:val="22"/>
                <w:szCs w:val="22"/>
                <w:color w:val="auto"/>
              </w:rPr>
            </w:pPr>
          </w:p>
        </w:tc>
        <w:tc>
          <w:tcPr>
            <w:tcW w:w="5220" w:type="dxa"/>
            <w:vAlign w:val="bottom"/>
            <w:tcBorders>
              <w:left w:val="single" w:sz="8" w:color="A3A5AA"/>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20" w:type="dxa"/>
            <w:vAlign w:val="bottom"/>
            <w:shd w:val="clear" w:color="auto" w:fill="A3A5AA"/>
          </w:tcPr>
          <w:p>
            <w:pPr>
              <w:spacing w:after="0"/>
              <w:rPr>
                <w:sz w:val="21"/>
                <w:szCs w:val="21"/>
                <w:color w:val="auto"/>
              </w:rPr>
            </w:pPr>
          </w:p>
        </w:tc>
        <w:tc>
          <w:tcPr>
            <w:tcW w:w="21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5220" w:type="dxa"/>
            <w:vAlign w:val="bottom"/>
            <w:tcBorders>
              <w:left w:val="single" w:sz="8" w:color="A3A5AA"/>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2100" w:type="dxa"/>
            <w:vAlign w:val="bottom"/>
            <w:tcBorders>
              <w:bottom w:val="single" w:sz="8" w:color="A3A5AA"/>
            </w:tcBorders>
          </w:tcPr>
          <w:p>
            <w:pPr>
              <w:spacing w:after="0"/>
              <w:rPr>
                <w:sz w:val="3"/>
                <w:szCs w:val="3"/>
                <w:color w:val="auto"/>
              </w:rPr>
            </w:pPr>
          </w:p>
        </w:tc>
        <w:tc>
          <w:tcPr>
            <w:tcW w:w="20" w:type="dxa"/>
            <w:vAlign w:val="bottom"/>
            <w:tcBorders>
              <w:bottom w:val="single" w:sz="8" w:color="A3A5AA"/>
            </w:tcBorders>
            <w:shd w:val="clear" w:color="auto" w:fill="A3A5AA"/>
          </w:tcPr>
          <w:p>
            <w:pPr>
              <w:spacing w:after="0"/>
              <w:rPr>
                <w:sz w:val="3"/>
                <w:szCs w:val="3"/>
                <w:color w:val="auto"/>
              </w:rPr>
            </w:pPr>
          </w:p>
        </w:tc>
        <w:tc>
          <w:tcPr>
            <w:tcW w:w="2140" w:type="dxa"/>
            <w:vAlign w:val="bottom"/>
            <w:tcBorders>
              <w:bottom w:val="single" w:sz="8" w:color="A3A5AA"/>
            </w:tcBorders>
          </w:tcPr>
          <w:p>
            <w:pPr>
              <w:spacing w:after="0"/>
              <w:rPr>
                <w:sz w:val="3"/>
                <w:szCs w:val="3"/>
                <w:color w:val="auto"/>
              </w:rPr>
            </w:pPr>
          </w:p>
        </w:tc>
        <w:tc>
          <w:tcPr>
            <w:tcW w:w="20" w:type="dxa"/>
            <w:vAlign w:val="bottom"/>
            <w:tcBorders>
              <w:bottom w:val="single" w:sz="8" w:color="A3A5AA"/>
            </w:tcBorders>
          </w:tcPr>
          <w:p>
            <w:pPr>
              <w:spacing w:after="0"/>
              <w:rPr>
                <w:sz w:val="3"/>
                <w:szCs w:val="3"/>
                <w:color w:val="auto"/>
              </w:rPr>
            </w:pPr>
          </w:p>
        </w:tc>
        <w:tc>
          <w:tcPr>
            <w:tcW w:w="5220" w:type="dxa"/>
            <w:vAlign w:val="bottom"/>
            <w:tcBorders>
              <w:left w:val="single" w:sz="8" w:color="A3A5AA"/>
              <w:bottom w:val="single" w:sz="8" w:color="A3A5AA"/>
            </w:tcBorders>
          </w:tcPr>
          <w:p>
            <w:pPr>
              <w:spacing w:after="0"/>
              <w:rPr>
                <w:sz w:val="3"/>
                <w:szCs w:val="3"/>
                <w:color w:val="auto"/>
              </w:rPr>
            </w:pPr>
          </w:p>
        </w:tc>
        <w:tc>
          <w:tcPr>
            <w:tcW w:w="0" w:type="dxa"/>
            <w:vAlign w:val="bottom"/>
          </w:tcPr>
          <w:p>
            <w:pPr>
              <w:spacing w:after="0"/>
              <w:rPr>
                <w:sz w:val="1"/>
                <w:szCs w:val="1"/>
                <w:color w:val="auto"/>
              </w:rPr>
            </w:pPr>
          </w:p>
        </w:tc>
      </w:tr>
      <w:tr>
        <w:trPr>
          <w:trHeight w:val="793"/>
        </w:trPr>
        <w:tc>
          <w:tcPr>
            <w:tcW w:w="2100" w:type="dxa"/>
            <w:vAlign w:val="bottom"/>
          </w:tcPr>
          <w:p>
            <w:pPr>
              <w:jc w:val="center"/>
              <w:ind w:left="169"/>
              <w:spacing w:after="0"/>
              <w:rPr>
                <w:sz w:val="20"/>
                <w:szCs w:val="20"/>
                <w:color w:val="auto"/>
              </w:rPr>
            </w:pPr>
            <w:r>
              <w:rPr>
                <w:rFonts w:ascii="Arial" w:cs="Arial" w:eastAsia="Arial" w:hAnsi="Arial"/>
                <w:sz w:val="38"/>
                <w:szCs w:val="38"/>
                <w:color w:val="282A32"/>
                <w:w w:val="99"/>
              </w:rPr>
              <w:t>1670 bps</w:t>
            </w:r>
          </w:p>
        </w:tc>
        <w:tc>
          <w:tcPr>
            <w:tcW w:w="20" w:type="dxa"/>
            <w:vAlign w:val="bottom"/>
            <w:shd w:val="clear" w:color="auto" w:fill="A3A5AA"/>
          </w:tcPr>
          <w:p>
            <w:pPr>
              <w:spacing w:after="0"/>
              <w:rPr>
                <w:sz w:val="24"/>
                <w:szCs w:val="24"/>
                <w:color w:val="auto"/>
              </w:rPr>
            </w:pPr>
          </w:p>
        </w:tc>
        <w:tc>
          <w:tcPr>
            <w:tcW w:w="2140" w:type="dxa"/>
            <w:vAlign w:val="bottom"/>
          </w:tcPr>
          <w:p>
            <w:pPr>
              <w:jc w:val="center"/>
              <w:ind w:left="175"/>
              <w:spacing w:after="0"/>
              <w:rPr>
                <w:sz w:val="20"/>
                <w:szCs w:val="20"/>
                <w:color w:val="auto"/>
              </w:rPr>
            </w:pPr>
            <w:r>
              <w:rPr>
                <w:rFonts w:ascii="Arial" w:cs="Arial" w:eastAsia="Arial" w:hAnsi="Arial"/>
                <w:sz w:val="38"/>
                <w:szCs w:val="38"/>
                <w:color w:val="282A32"/>
              </w:rPr>
              <w:t>960 bps</w:t>
            </w:r>
          </w:p>
        </w:tc>
        <w:tc>
          <w:tcPr>
            <w:tcW w:w="20" w:type="dxa"/>
            <w:vAlign w:val="bottom"/>
            <w:shd w:val="clear" w:color="auto" w:fill="A3A5AA"/>
          </w:tcPr>
          <w:p>
            <w:pPr>
              <w:spacing w:after="0"/>
              <w:rPr>
                <w:sz w:val="24"/>
                <w:szCs w:val="24"/>
                <w:color w:val="auto"/>
              </w:rPr>
            </w:pPr>
          </w:p>
        </w:tc>
        <w:tc>
          <w:tcPr>
            <w:tcW w:w="5220" w:type="dxa"/>
            <w:vAlign w:val="bottom"/>
          </w:tcPr>
          <w:p>
            <w:pPr>
              <w:ind w:left="34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9.7%</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0" w:type="dxa"/>
            <w:vAlign w:val="bottom"/>
            <w:shd w:val="clear" w:color="auto" w:fill="A3A5AA"/>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shd w:val="clear" w:color="auto" w:fill="A3A5AA"/>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0"/>
        <w:spacing w:after="0"/>
        <w:rPr>
          <w:sz w:val="20"/>
          <w:szCs w:val="20"/>
          <w:color w:val="auto"/>
        </w:rPr>
      </w:pPr>
      <w:r>
        <w:rPr>
          <w:rFonts w:ascii="Arial" w:cs="Arial" w:eastAsia="Arial" w:hAnsi="Arial"/>
          <w:sz w:val="19"/>
          <w:szCs w:val="19"/>
          <w:color w:val="282A32"/>
        </w:rPr>
        <w:t>(1) Excludes the impact of reorganization charges of $0.5M in Q4 2012 and $6.1M in Q4 2011.</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00"/>
          </w:cols>
          <w:pgMar w:left="860" w:top="514" w:right="739" w:bottom="1440" w:gutter="0" w:footer="0" w:header="0"/>
        </w:sectPr>
      </w:pPr>
    </w:p>
    <w:bookmarkStart w:id="28" w:name="page29"/>
    <w:bookmarkEnd w:id="28"/>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50"/>
          <w:szCs w:val="50"/>
          <w:color w:val="5F81AA"/>
        </w:rPr>
        <w:t>Cash Flow Summary - Full Year</w:t>
      </w:r>
    </w:p>
    <w:p>
      <w:pPr>
        <w:spacing w:after="0" w:line="373" w:lineRule="exact"/>
        <w:rPr>
          <w:sz w:val="20"/>
          <w:szCs w:val="20"/>
          <w:color w:val="auto"/>
        </w:rPr>
      </w:pPr>
    </w:p>
    <w:tbl>
      <w:tblPr>
        <w:tblLayout w:type="fixed"/>
        <w:tblInd w:w="380" w:type="dxa"/>
        <w:tblCellMar>
          <w:top w:w="0" w:type="dxa"/>
          <w:left w:w="0" w:type="dxa"/>
          <w:bottom w:w="0" w:type="dxa"/>
          <w:right w:w="0" w:type="dxa"/>
        </w:tblCellMar>
      </w:tblPr>
      <w:tr>
        <w:trPr>
          <w:trHeight w:val="419"/>
        </w:trPr>
        <w:tc>
          <w:tcPr>
            <w:tcW w:w="5560" w:type="dxa"/>
            <w:vAlign w:val="bottom"/>
          </w:tcPr>
          <w:p>
            <w:pPr>
              <w:spacing w:after="0"/>
              <w:rPr>
                <w:sz w:val="20"/>
                <w:szCs w:val="20"/>
                <w:color w:val="auto"/>
              </w:rPr>
            </w:pPr>
            <w:r>
              <w:rPr>
                <w:rFonts w:ascii="Arial" w:cs="Arial" w:eastAsia="Arial" w:hAnsi="Arial"/>
                <w:sz w:val="28"/>
                <w:szCs w:val="28"/>
                <w:color w:val="5F81AA"/>
              </w:rPr>
              <w:t>($ in millions)</w:t>
            </w:r>
          </w:p>
        </w:tc>
        <w:tc>
          <w:tcPr>
            <w:tcW w:w="1600" w:type="dxa"/>
            <w:vAlign w:val="bottom"/>
          </w:tcPr>
          <w:p>
            <w:pPr>
              <w:jc w:val="right"/>
              <w:spacing w:after="0"/>
              <w:rPr>
                <w:sz w:val="20"/>
                <w:szCs w:val="20"/>
                <w:color w:val="auto"/>
              </w:rPr>
            </w:pPr>
            <w:r>
              <w:rPr>
                <w:rFonts w:ascii="Arial" w:cs="Arial" w:eastAsia="Arial" w:hAnsi="Arial"/>
                <w:sz w:val="31"/>
                <w:szCs w:val="31"/>
                <w:b w:val="1"/>
                <w:bCs w:val="1"/>
                <w:color w:val="5F81AA"/>
              </w:rPr>
              <w:t>2012</w:t>
            </w:r>
          </w:p>
        </w:tc>
        <w:tc>
          <w:tcPr>
            <w:tcW w:w="1960" w:type="dxa"/>
            <w:vAlign w:val="bottom"/>
            <w:gridSpan w:val="2"/>
          </w:tcPr>
          <w:p>
            <w:pPr>
              <w:jc w:val="right"/>
              <w:spacing w:after="0"/>
              <w:rPr>
                <w:sz w:val="20"/>
                <w:szCs w:val="20"/>
                <w:color w:val="auto"/>
              </w:rPr>
            </w:pPr>
            <w:r>
              <w:rPr>
                <w:rFonts w:ascii="Arial" w:cs="Arial" w:eastAsia="Arial" w:hAnsi="Arial"/>
                <w:sz w:val="31"/>
                <w:szCs w:val="31"/>
                <w:b w:val="1"/>
                <w:bCs w:val="1"/>
                <w:color w:val="5F81AA"/>
              </w:rPr>
              <w:t>2011</w:t>
            </w:r>
          </w:p>
        </w:tc>
        <w:tc>
          <w:tcPr>
            <w:tcW w:w="0" w:type="dxa"/>
            <w:vAlign w:val="bottom"/>
          </w:tcPr>
          <w:p>
            <w:pPr>
              <w:spacing w:after="0"/>
              <w:rPr>
                <w:sz w:val="1"/>
                <w:szCs w:val="1"/>
                <w:color w:val="auto"/>
              </w:rPr>
            </w:pPr>
          </w:p>
        </w:tc>
      </w:tr>
      <w:tr>
        <w:trPr>
          <w:trHeight w:val="616"/>
        </w:trPr>
        <w:tc>
          <w:tcPr>
            <w:tcW w:w="5560" w:type="dxa"/>
            <w:vAlign w:val="bottom"/>
          </w:tcPr>
          <w:p>
            <w:pPr>
              <w:spacing w:after="0"/>
              <w:rPr>
                <w:sz w:val="20"/>
                <w:szCs w:val="20"/>
                <w:color w:val="auto"/>
              </w:rPr>
            </w:pPr>
            <w:r>
              <w:rPr>
                <w:rFonts w:ascii="Arial" w:cs="Arial" w:eastAsia="Arial" w:hAnsi="Arial"/>
                <w:sz w:val="28"/>
                <w:szCs w:val="28"/>
                <w:b w:val="1"/>
                <w:bCs w:val="1"/>
                <w:color w:val="282A32"/>
              </w:rPr>
              <w:t>Cash provided by operating activities</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332</w:t>
            </w:r>
          </w:p>
        </w:tc>
        <w:tc>
          <w:tcPr>
            <w:tcW w:w="1960" w:type="dxa"/>
            <w:vAlign w:val="bottom"/>
            <w:gridSpan w:val="2"/>
          </w:tcPr>
          <w:p>
            <w:pPr>
              <w:jc w:val="right"/>
              <w:ind w:right="38"/>
              <w:spacing w:after="0"/>
              <w:rPr>
                <w:sz w:val="20"/>
                <w:szCs w:val="20"/>
                <w:color w:val="auto"/>
              </w:rPr>
            </w:pPr>
            <w:r>
              <w:rPr>
                <w:rFonts w:ascii="Arial" w:cs="Arial" w:eastAsia="Arial" w:hAnsi="Arial"/>
                <w:sz w:val="28"/>
                <w:szCs w:val="28"/>
                <w:b w:val="1"/>
                <w:bCs w:val="1"/>
                <w:color w:val="282A32"/>
              </w:rPr>
              <w:t>69</w:t>
            </w:r>
          </w:p>
        </w:tc>
        <w:tc>
          <w:tcPr>
            <w:tcW w:w="0" w:type="dxa"/>
            <w:vAlign w:val="bottom"/>
          </w:tcPr>
          <w:p>
            <w:pPr>
              <w:spacing w:after="0"/>
              <w:rPr>
                <w:sz w:val="1"/>
                <w:szCs w:val="1"/>
                <w:color w:val="auto"/>
              </w:rPr>
            </w:pPr>
          </w:p>
        </w:tc>
      </w:tr>
      <w:tr>
        <w:trPr>
          <w:trHeight w:val="519"/>
        </w:trPr>
        <w:tc>
          <w:tcPr>
            <w:tcW w:w="5560" w:type="dxa"/>
            <w:vAlign w:val="bottom"/>
          </w:tcPr>
          <w:p>
            <w:pPr>
              <w:spacing w:after="0"/>
              <w:rPr>
                <w:sz w:val="20"/>
                <w:szCs w:val="20"/>
                <w:color w:val="auto"/>
              </w:rPr>
            </w:pPr>
            <w:r>
              <w:rPr>
                <w:rFonts w:ascii="Arial" w:cs="Arial" w:eastAsia="Arial" w:hAnsi="Arial"/>
                <w:sz w:val="28"/>
                <w:szCs w:val="28"/>
                <w:b w:val="1"/>
                <w:bCs w:val="1"/>
                <w:color w:val="282A32"/>
              </w:rPr>
              <w:t>Capital Expenditures</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(72)</w:t>
            </w:r>
          </w:p>
        </w:tc>
        <w:tc>
          <w:tcPr>
            <w:tcW w:w="19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(65)</w:t>
            </w:r>
          </w:p>
        </w:tc>
        <w:tc>
          <w:tcPr>
            <w:tcW w:w="0" w:type="dxa"/>
            <w:vAlign w:val="bottom"/>
          </w:tcPr>
          <w:p>
            <w:pPr>
              <w:spacing w:after="0"/>
              <w:rPr>
                <w:sz w:val="1"/>
                <w:szCs w:val="1"/>
                <w:color w:val="auto"/>
              </w:rPr>
            </w:pPr>
          </w:p>
        </w:tc>
      </w:tr>
      <w:tr>
        <w:trPr>
          <w:trHeight w:val="152"/>
        </w:trPr>
        <w:tc>
          <w:tcPr>
            <w:tcW w:w="5560" w:type="dxa"/>
            <w:vAlign w:val="bottom"/>
            <w:vMerge w:val="restart"/>
          </w:tcPr>
          <w:p>
            <w:pPr>
              <w:ind w:left="580"/>
              <w:spacing w:after="0"/>
              <w:rPr>
                <w:sz w:val="20"/>
                <w:szCs w:val="20"/>
                <w:color w:val="auto"/>
              </w:rPr>
            </w:pPr>
            <w:r>
              <w:rPr>
                <w:rFonts w:ascii="Arial" w:cs="Arial" w:eastAsia="Arial" w:hAnsi="Arial"/>
                <w:sz w:val="28"/>
                <w:szCs w:val="28"/>
                <w:b w:val="1"/>
                <w:bCs w:val="1"/>
                <w:color w:val="282A32"/>
              </w:rPr>
              <w:t>Free Cash Flow</w:t>
            </w:r>
          </w:p>
        </w:tc>
        <w:tc>
          <w:tcPr>
            <w:tcW w:w="1600" w:type="dxa"/>
            <w:vAlign w:val="bottom"/>
            <w:tcBorders>
              <w:bottom w:val="single" w:sz="8" w:color="282A32"/>
            </w:tcBorders>
          </w:tcPr>
          <w:p>
            <w:pPr>
              <w:spacing w:after="0"/>
              <w:rPr>
                <w:sz w:val="13"/>
                <w:szCs w:val="13"/>
                <w:color w:val="auto"/>
              </w:rPr>
            </w:pPr>
          </w:p>
        </w:tc>
        <w:tc>
          <w:tcPr>
            <w:tcW w:w="380" w:type="dxa"/>
            <w:vAlign w:val="bottom"/>
            <w:vMerge w:val="restart"/>
          </w:tcPr>
          <w:p>
            <w:pPr>
              <w:spacing w:after="0"/>
              <w:rPr>
                <w:sz w:val="13"/>
                <w:szCs w:val="13"/>
                <w:color w:val="auto"/>
              </w:rPr>
            </w:pPr>
          </w:p>
        </w:tc>
        <w:tc>
          <w:tcPr>
            <w:tcW w:w="158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556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260</w:t>
            </w:r>
          </w:p>
        </w:tc>
        <w:tc>
          <w:tcPr>
            <w:tcW w:w="380" w:type="dxa"/>
            <w:vAlign w:val="bottom"/>
            <w:vMerge w:val="continue"/>
          </w:tcPr>
          <w:p>
            <w:pPr>
              <w:spacing w:after="0"/>
              <w:rPr>
                <w:sz w:val="24"/>
                <w:szCs w:val="24"/>
                <w:color w:val="auto"/>
              </w:rPr>
            </w:pPr>
          </w:p>
        </w:tc>
        <w:tc>
          <w:tcPr>
            <w:tcW w:w="1580" w:type="dxa"/>
            <w:vAlign w:val="bottom"/>
          </w:tcPr>
          <w:p>
            <w:pPr>
              <w:jc w:val="right"/>
              <w:ind w:right="38"/>
              <w:spacing w:after="0"/>
              <w:rPr>
                <w:sz w:val="20"/>
                <w:szCs w:val="20"/>
                <w:color w:val="auto"/>
              </w:rPr>
            </w:pPr>
            <w:r>
              <w:rPr>
                <w:rFonts w:ascii="Arial" w:cs="Arial" w:eastAsia="Arial" w:hAnsi="Arial"/>
                <w:sz w:val="28"/>
                <w:szCs w:val="28"/>
                <w:b w:val="1"/>
                <w:bCs w:val="1"/>
                <w:color w:val="282A32"/>
              </w:rPr>
              <w:t>4</w:t>
            </w:r>
          </w:p>
        </w:tc>
        <w:tc>
          <w:tcPr>
            <w:tcW w:w="0" w:type="dxa"/>
            <w:vAlign w:val="bottom"/>
          </w:tcPr>
          <w:p>
            <w:pPr>
              <w:spacing w:after="0"/>
              <w:rPr>
                <w:sz w:val="1"/>
                <w:szCs w:val="1"/>
                <w:color w:val="auto"/>
              </w:rPr>
            </w:pPr>
          </w:p>
        </w:tc>
      </w:tr>
      <w:tr>
        <w:trPr>
          <w:trHeight w:val="475"/>
        </w:trPr>
        <w:tc>
          <w:tcPr>
            <w:tcW w:w="5560" w:type="dxa"/>
            <w:vAlign w:val="bottom"/>
          </w:tcPr>
          <w:p>
            <w:pPr>
              <w:spacing w:after="0"/>
              <w:rPr>
                <w:sz w:val="20"/>
                <w:szCs w:val="20"/>
                <w:color w:val="auto"/>
              </w:rPr>
            </w:pPr>
            <w:r>
              <w:rPr>
                <w:rFonts w:ascii="Arial" w:cs="Arial" w:eastAsia="Arial" w:hAnsi="Arial"/>
                <w:sz w:val="28"/>
                <w:szCs w:val="28"/>
                <w:b w:val="1"/>
                <w:bCs w:val="1"/>
                <w:color w:val="282A32"/>
              </w:rPr>
              <w:t>Change in Debt</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42</w:t>
            </w:r>
          </w:p>
        </w:tc>
        <w:tc>
          <w:tcPr>
            <w:tcW w:w="1960" w:type="dxa"/>
            <w:vAlign w:val="bottom"/>
            <w:gridSpan w:val="2"/>
          </w:tcPr>
          <w:p>
            <w:pPr>
              <w:jc w:val="right"/>
              <w:ind w:right="38"/>
              <w:spacing w:after="0"/>
              <w:rPr>
                <w:sz w:val="20"/>
                <w:szCs w:val="20"/>
                <w:color w:val="auto"/>
              </w:rPr>
            </w:pPr>
            <w:r>
              <w:rPr>
                <w:rFonts w:ascii="Arial" w:cs="Arial" w:eastAsia="Arial" w:hAnsi="Arial"/>
                <w:sz w:val="28"/>
                <w:szCs w:val="28"/>
                <w:b w:val="1"/>
                <w:bCs w:val="1"/>
                <w:color w:val="282A32"/>
              </w:rPr>
              <w:t>15</w:t>
            </w:r>
          </w:p>
        </w:tc>
        <w:tc>
          <w:tcPr>
            <w:tcW w:w="0" w:type="dxa"/>
            <w:vAlign w:val="bottom"/>
          </w:tcPr>
          <w:p>
            <w:pPr>
              <w:spacing w:after="0"/>
              <w:rPr>
                <w:sz w:val="1"/>
                <w:szCs w:val="1"/>
                <w:color w:val="auto"/>
              </w:rPr>
            </w:pPr>
          </w:p>
        </w:tc>
      </w:tr>
      <w:tr>
        <w:trPr>
          <w:trHeight w:val="508"/>
        </w:trPr>
        <w:tc>
          <w:tcPr>
            <w:tcW w:w="5560" w:type="dxa"/>
            <w:vAlign w:val="bottom"/>
          </w:tcPr>
          <w:p>
            <w:pPr>
              <w:spacing w:after="0"/>
              <w:rPr>
                <w:sz w:val="20"/>
                <w:szCs w:val="20"/>
                <w:color w:val="auto"/>
              </w:rPr>
            </w:pPr>
            <w:r>
              <w:rPr>
                <w:rFonts w:ascii="Arial" w:cs="Arial" w:eastAsia="Arial" w:hAnsi="Arial"/>
                <w:sz w:val="28"/>
                <w:szCs w:val="28"/>
                <w:b w:val="1"/>
                <w:bCs w:val="1"/>
                <w:color w:val="282A32"/>
              </w:rPr>
              <w:t>Share Repurchases</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(138)</w:t>
            </w:r>
          </w:p>
        </w:tc>
        <w:tc>
          <w:tcPr>
            <w:tcW w:w="19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(105)</w:t>
            </w:r>
          </w:p>
        </w:tc>
        <w:tc>
          <w:tcPr>
            <w:tcW w:w="0" w:type="dxa"/>
            <w:vAlign w:val="bottom"/>
          </w:tcPr>
          <w:p>
            <w:pPr>
              <w:spacing w:after="0"/>
              <w:rPr>
                <w:sz w:val="1"/>
                <w:szCs w:val="1"/>
                <w:color w:val="auto"/>
              </w:rPr>
            </w:pPr>
          </w:p>
        </w:tc>
      </w:tr>
      <w:tr>
        <w:trPr>
          <w:trHeight w:val="578"/>
        </w:trPr>
        <w:tc>
          <w:tcPr>
            <w:tcW w:w="5560" w:type="dxa"/>
            <w:vAlign w:val="bottom"/>
          </w:tcPr>
          <w:p>
            <w:pPr>
              <w:spacing w:after="0"/>
              <w:rPr>
                <w:sz w:val="20"/>
                <w:szCs w:val="20"/>
                <w:color w:val="auto"/>
              </w:rPr>
            </w:pPr>
            <w:r>
              <w:rPr>
                <w:rFonts w:ascii="Arial" w:cs="Arial" w:eastAsia="Arial" w:hAnsi="Arial"/>
                <w:sz w:val="28"/>
                <w:szCs w:val="28"/>
                <w:b w:val="1"/>
                <w:bCs w:val="1"/>
                <w:color w:val="282A32"/>
              </w:rPr>
              <w:t>Dividends paid</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(68)</w:t>
            </w:r>
          </w:p>
        </w:tc>
        <w:tc>
          <w:tcPr>
            <w:tcW w:w="19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(65)</w:t>
            </w:r>
          </w:p>
        </w:tc>
        <w:tc>
          <w:tcPr>
            <w:tcW w:w="0" w:type="dxa"/>
            <w:vAlign w:val="bottom"/>
          </w:tcPr>
          <w:p>
            <w:pPr>
              <w:spacing w:after="0"/>
              <w:rPr>
                <w:sz w:val="1"/>
                <w:szCs w:val="1"/>
                <w:color w:val="auto"/>
              </w:rPr>
            </w:pPr>
          </w:p>
        </w:tc>
      </w:tr>
      <w:tr>
        <w:trPr>
          <w:trHeight w:val="484"/>
        </w:trPr>
        <w:tc>
          <w:tcPr>
            <w:tcW w:w="5560" w:type="dxa"/>
            <w:vAlign w:val="bottom"/>
          </w:tcPr>
          <w:p>
            <w:pPr>
              <w:spacing w:after="0"/>
              <w:rPr>
                <w:sz w:val="20"/>
                <w:szCs w:val="20"/>
                <w:color w:val="auto"/>
              </w:rPr>
            </w:pPr>
            <w:r>
              <w:rPr>
                <w:rFonts w:ascii="Arial" w:cs="Arial" w:eastAsia="Arial" w:hAnsi="Arial"/>
                <w:sz w:val="28"/>
                <w:szCs w:val="28"/>
                <w:b w:val="1"/>
                <w:bCs w:val="1"/>
                <w:color w:val="282A32"/>
              </w:rPr>
              <w:t>Acquisitions of Businesses, net</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(49)</w:t>
            </w:r>
          </w:p>
        </w:tc>
        <w:tc>
          <w:tcPr>
            <w:tcW w:w="19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(49)</w:t>
            </w:r>
          </w:p>
        </w:tc>
        <w:tc>
          <w:tcPr>
            <w:tcW w:w="0" w:type="dxa"/>
            <w:vAlign w:val="bottom"/>
          </w:tcPr>
          <w:p>
            <w:pPr>
              <w:spacing w:after="0"/>
              <w:rPr>
                <w:sz w:val="1"/>
                <w:szCs w:val="1"/>
                <w:color w:val="auto"/>
              </w:rPr>
            </w:pPr>
          </w:p>
        </w:tc>
      </w:tr>
      <w:tr>
        <w:trPr>
          <w:trHeight w:val="401"/>
        </w:trPr>
        <w:tc>
          <w:tcPr>
            <w:tcW w:w="5560" w:type="dxa"/>
            <w:vAlign w:val="bottom"/>
          </w:tcPr>
          <w:p>
            <w:pPr>
              <w:spacing w:after="0"/>
              <w:rPr>
                <w:sz w:val="20"/>
                <w:szCs w:val="20"/>
                <w:color w:val="auto"/>
              </w:rPr>
            </w:pPr>
            <w:r>
              <w:rPr>
                <w:rFonts w:ascii="Arial" w:cs="Arial" w:eastAsia="Arial" w:hAnsi="Arial"/>
                <w:sz w:val="28"/>
                <w:szCs w:val="28"/>
                <w:b w:val="1"/>
                <w:bCs w:val="1"/>
                <w:color w:val="282A32"/>
              </w:rPr>
              <w:t>Effect of Exchange Rate Changes</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18</w:t>
            </w:r>
          </w:p>
        </w:tc>
        <w:tc>
          <w:tcPr>
            <w:tcW w:w="1960" w:type="dxa"/>
            <w:vAlign w:val="bottom"/>
            <w:gridSpan w:val="2"/>
          </w:tcPr>
          <w:p>
            <w:pPr>
              <w:jc w:val="right"/>
              <w:spacing w:after="0"/>
              <w:rPr>
                <w:sz w:val="20"/>
                <w:szCs w:val="20"/>
                <w:color w:val="auto"/>
              </w:rPr>
            </w:pPr>
            <w:r>
              <w:rPr>
                <w:rFonts w:ascii="Arial" w:cs="Arial" w:eastAsia="Arial" w:hAnsi="Arial"/>
                <w:sz w:val="28"/>
                <w:szCs w:val="28"/>
                <w:b w:val="1"/>
                <w:bCs w:val="1"/>
                <w:color w:val="282A32"/>
              </w:rPr>
              <w:t>(28)</w:t>
            </w:r>
          </w:p>
        </w:tc>
        <w:tc>
          <w:tcPr>
            <w:tcW w:w="0" w:type="dxa"/>
            <w:vAlign w:val="bottom"/>
          </w:tcPr>
          <w:p>
            <w:pPr>
              <w:spacing w:after="0"/>
              <w:rPr>
                <w:sz w:val="1"/>
                <w:szCs w:val="1"/>
                <w:color w:val="auto"/>
              </w:rPr>
            </w:pPr>
          </w:p>
        </w:tc>
      </w:tr>
      <w:tr>
        <w:trPr>
          <w:trHeight w:val="508"/>
        </w:trPr>
        <w:tc>
          <w:tcPr>
            <w:tcW w:w="5560" w:type="dxa"/>
            <w:vAlign w:val="bottom"/>
          </w:tcPr>
          <w:p>
            <w:pPr>
              <w:spacing w:after="0"/>
              <w:rPr>
                <w:sz w:val="20"/>
                <w:szCs w:val="20"/>
                <w:color w:val="auto"/>
              </w:rPr>
            </w:pPr>
            <w:r>
              <w:rPr>
                <w:rFonts w:ascii="Arial" w:cs="Arial" w:eastAsia="Arial" w:hAnsi="Arial"/>
                <w:sz w:val="28"/>
                <w:szCs w:val="28"/>
                <w:b w:val="1"/>
                <w:bCs w:val="1"/>
                <w:color w:val="282A32"/>
              </w:rPr>
              <w:t>Other</w:t>
            </w: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3</w:t>
            </w:r>
          </w:p>
        </w:tc>
        <w:tc>
          <w:tcPr>
            <w:tcW w:w="1960" w:type="dxa"/>
            <w:vAlign w:val="bottom"/>
            <w:gridSpan w:val="2"/>
          </w:tcPr>
          <w:p>
            <w:pPr>
              <w:jc w:val="right"/>
              <w:ind w:right="38"/>
              <w:spacing w:after="0"/>
              <w:rPr>
                <w:sz w:val="20"/>
                <w:szCs w:val="20"/>
                <w:color w:val="auto"/>
              </w:rPr>
            </w:pPr>
            <w:r>
              <w:rPr>
                <w:rFonts w:ascii="Arial" w:cs="Arial" w:eastAsia="Arial" w:hAnsi="Arial"/>
                <w:sz w:val="28"/>
                <w:szCs w:val="28"/>
                <w:b w:val="1"/>
                <w:bCs w:val="1"/>
                <w:color w:val="282A32"/>
              </w:rPr>
              <w:t>36</w:t>
            </w:r>
          </w:p>
        </w:tc>
        <w:tc>
          <w:tcPr>
            <w:tcW w:w="0" w:type="dxa"/>
            <w:vAlign w:val="bottom"/>
          </w:tcPr>
          <w:p>
            <w:pPr>
              <w:spacing w:after="0"/>
              <w:rPr>
                <w:sz w:val="1"/>
                <w:szCs w:val="1"/>
                <w:color w:val="auto"/>
              </w:rPr>
            </w:pPr>
          </w:p>
        </w:tc>
      </w:tr>
      <w:tr>
        <w:trPr>
          <w:trHeight w:val="152"/>
        </w:trPr>
        <w:tc>
          <w:tcPr>
            <w:tcW w:w="5560" w:type="dxa"/>
            <w:vAlign w:val="bottom"/>
            <w:vMerge w:val="restart"/>
          </w:tcPr>
          <w:p>
            <w:pPr>
              <w:ind w:left="580"/>
              <w:spacing w:after="0"/>
              <w:rPr>
                <w:sz w:val="20"/>
                <w:szCs w:val="20"/>
                <w:color w:val="auto"/>
              </w:rPr>
            </w:pPr>
            <w:r>
              <w:rPr>
                <w:rFonts w:ascii="Arial" w:cs="Arial" w:eastAsia="Arial" w:hAnsi="Arial"/>
                <w:sz w:val="28"/>
                <w:szCs w:val="28"/>
                <w:b w:val="1"/>
                <w:bCs w:val="1"/>
                <w:color w:val="282A32"/>
              </w:rPr>
              <w:t>Change in Cash</w:t>
            </w:r>
          </w:p>
        </w:tc>
        <w:tc>
          <w:tcPr>
            <w:tcW w:w="1600" w:type="dxa"/>
            <w:vAlign w:val="bottom"/>
            <w:tcBorders>
              <w:bottom w:val="single" w:sz="8" w:color="282A32"/>
            </w:tcBorders>
          </w:tcPr>
          <w:p>
            <w:pPr>
              <w:spacing w:after="0"/>
              <w:rPr>
                <w:sz w:val="13"/>
                <w:szCs w:val="13"/>
                <w:color w:val="auto"/>
              </w:rPr>
            </w:pPr>
          </w:p>
        </w:tc>
        <w:tc>
          <w:tcPr>
            <w:tcW w:w="380" w:type="dxa"/>
            <w:vAlign w:val="bottom"/>
            <w:vMerge w:val="restart"/>
          </w:tcPr>
          <w:p>
            <w:pPr>
              <w:spacing w:after="0"/>
              <w:rPr>
                <w:sz w:val="13"/>
                <w:szCs w:val="13"/>
                <w:color w:val="auto"/>
              </w:rPr>
            </w:pPr>
          </w:p>
        </w:tc>
        <w:tc>
          <w:tcPr>
            <w:tcW w:w="158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556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8"/>
                <w:szCs w:val="28"/>
                <w:b w:val="1"/>
                <w:bCs w:val="1"/>
                <w:color w:val="282A32"/>
              </w:rPr>
              <w:t>68</w:t>
            </w:r>
          </w:p>
        </w:tc>
        <w:tc>
          <w:tcPr>
            <w:tcW w:w="38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8"/>
                <w:szCs w:val="28"/>
                <w:b w:val="1"/>
                <w:bCs w:val="1"/>
                <w:color w:val="282A32"/>
              </w:rPr>
              <w:t>(192)</w:t>
            </w:r>
          </w:p>
        </w:tc>
        <w:tc>
          <w:tcPr>
            <w:tcW w:w="0" w:type="dxa"/>
            <w:vAlign w:val="bottom"/>
          </w:tcPr>
          <w:p>
            <w:pPr>
              <w:spacing w:after="0"/>
              <w:rPr>
                <w:sz w:val="1"/>
                <w:szCs w:val="1"/>
                <w:color w:val="auto"/>
              </w:rPr>
            </w:pPr>
          </w:p>
        </w:tc>
      </w:tr>
      <w:tr>
        <w:trPr>
          <w:trHeight w:val="111"/>
        </w:trPr>
        <w:tc>
          <w:tcPr>
            <w:tcW w:w="5560" w:type="dxa"/>
            <w:vAlign w:val="bottom"/>
          </w:tcPr>
          <w:p>
            <w:pPr>
              <w:spacing w:after="0"/>
              <w:rPr>
                <w:sz w:val="9"/>
                <w:szCs w:val="9"/>
                <w:color w:val="auto"/>
              </w:rPr>
            </w:pPr>
          </w:p>
        </w:tc>
        <w:tc>
          <w:tcPr>
            <w:tcW w:w="1600" w:type="dxa"/>
            <w:vAlign w:val="bottom"/>
            <w:tcBorders>
              <w:bottom w:val="single" w:sz="8" w:color="282A32"/>
            </w:tcBorders>
          </w:tcPr>
          <w:p>
            <w:pPr>
              <w:spacing w:after="0"/>
              <w:rPr>
                <w:sz w:val="9"/>
                <w:szCs w:val="9"/>
                <w:color w:val="auto"/>
              </w:rPr>
            </w:pPr>
          </w:p>
        </w:tc>
        <w:tc>
          <w:tcPr>
            <w:tcW w:w="380" w:type="dxa"/>
            <w:vAlign w:val="bottom"/>
          </w:tcPr>
          <w:p>
            <w:pPr>
              <w:spacing w:after="0"/>
              <w:rPr>
                <w:sz w:val="9"/>
                <w:szCs w:val="9"/>
                <w:color w:val="auto"/>
              </w:rPr>
            </w:pPr>
          </w:p>
        </w:tc>
        <w:tc>
          <w:tcPr>
            <w:tcW w:w="1580" w:type="dxa"/>
            <w:vAlign w:val="bottom"/>
            <w:tcBorders>
              <w:bottom w:val="single" w:sz="8" w:color="282A32"/>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422275</wp:posOffset>
            </wp:positionV>
            <wp:extent cx="726884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20"/>
          </w:cols>
          <w:pgMar w:left="860" w:top="514" w:right="719" w:bottom="1440" w:gutter="0" w:footer="0" w:header="0"/>
        </w:sectPr>
      </w:pPr>
    </w:p>
    <w:bookmarkStart w:id="29" w:name="page30"/>
    <w:bookmarkEnd w:id="29"/>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90" w:lineRule="exact"/>
        <w:rPr>
          <w:sz w:val="20"/>
          <w:szCs w:val="20"/>
          <w:color w:val="auto"/>
        </w:rPr>
      </w:pPr>
    </w:p>
    <w:p>
      <w:pPr>
        <w:ind w:left="280"/>
        <w:spacing w:after="0"/>
        <w:rPr>
          <w:sz w:val="20"/>
          <w:szCs w:val="20"/>
          <w:color w:val="auto"/>
        </w:rPr>
      </w:pPr>
      <w:r>
        <w:rPr>
          <w:rFonts w:ascii="Arial" w:cs="Arial" w:eastAsia="Arial" w:hAnsi="Arial"/>
          <w:sz w:val="47"/>
          <w:szCs w:val="47"/>
          <w:color w:val="5F81AA"/>
        </w:rPr>
        <w:t>Balance Sheet Highlights</w:t>
      </w: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343537"/>
        </w:rPr>
        <w:t>Total Debt</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9"/>
          <w:szCs w:val="19"/>
          <w:color w:val="343537"/>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343537"/>
        </w:rPr>
        <w:t>Total Debt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2379980</wp:posOffset>
            </wp:positionV>
            <wp:extent cx="726884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060"/>
          </w:cols>
          <w:pgMar w:left="860" w:top="514" w:right="979" w:bottom="1440" w:gutter="0" w:footer="0" w:header="0"/>
        </w:sectPr>
      </w:pPr>
    </w:p>
    <w:bookmarkStart w:id="30" w:name="page31"/>
    <w:bookmarkEnd w:id="30"/>
    <w:p>
      <w:pPr>
        <w:ind w:left="6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349" w:lineRule="exact"/>
        <w:rPr>
          <w:sz w:val="20"/>
          <w:szCs w:val="20"/>
          <w:color w:val="auto"/>
        </w:rPr>
      </w:pPr>
    </w:p>
    <w:p>
      <w:pPr>
        <w:ind w:left="680"/>
        <w:spacing w:after="0"/>
        <w:rPr>
          <w:sz w:val="20"/>
          <w:szCs w:val="20"/>
          <w:color w:val="auto"/>
        </w:rPr>
      </w:pPr>
      <w:r>
        <w:rPr>
          <w:rFonts w:ascii="Arial" w:cs="Arial" w:eastAsia="Arial" w:hAnsi="Arial"/>
          <w:sz w:val="47"/>
          <w:szCs w:val="47"/>
          <w:color w:val="5F81AA"/>
        </w:rPr>
        <w:t>Credit Facilities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2"/>
          <w:szCs w:val="22"/>
          <w:color w:val="5F81AA"/>
        </w:rPr>
        <w:t>($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3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7F7F7F"/>
                <w:w w:val="98"/>
              </w:rPr>
              <w:t>Total</w:t>
            </w:r>
          </w:p>
        </w:tc>
        <w:tc>
          <w:tcPr>
            <w:tcW w:w="280" w:type="dxa"/>
            <w:vAlign w:val="bottom"/>
          </w:tcPr>
          <w:p>
            <w:pPr>
              <w:spacing w:after="0"/>
              <w:rPr>
                <w:sz w:val="22"/>
                <w:szCs w:val="22"/>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7F7F7F"/>
                <w:w w:val="99"/>
              </w:rPr>
              <w:t>Remaining</w:t>
            </w: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7F7F7F"/>
              </w:rPr>
              <w:t>Interest</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7F7F7F"/>
              </w:rPr>
              <w:t>Maturity</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7F7F7F"/>
              </w:rPr>
              <w:t>Outstanding</w:t>
            </w:r>
          </w:p>
        </w:tc>
        <w:tc>
          <w:tcPr>
            <w:tcW w:w="280" w:type="dxa"/>
            <w:vAlign w:val="bottom"/>
          </w:tcPr>
          <w:p>
            <w:pPr>
              <w:spacing w:after="0"/>
              <w:rPr>
                <w:sz w:val="22"/>
                <w:szCs w:val="22"/>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7F7F7F"/>
                <w:w w:val="99"/>
              </w:rPr>
              <w:t>Available</w:t>
            </w:r>
          </w:p>
        </w:tc>
        <w:tc>
          <w:tcPr>
            <w:tcW w:w="0" w:type="dxa"/>
            <w:vAlign w:val="bottom"/>
          </w:tcPr>
          <w:p>
            <w:pPr>
              <w:spacing w:after="0"/>
              <w:rPr>
                <w:sz w:val="1"/>
                <w:szCs w:val="1"/>
                <w:color w:val="auto"/>
              </w:rPr>
            </w:pPr>
          </w:p>
        </w:tc>
      </w:tr>
      <w:tr>
        <w:trPr>
          <w:trHeight w:val="302"/>
        </w:trPr>
        <w:tc>
          <w:tcPr>
            <w:tcW w:w="3740" w:type="dxa"/>
            <w:vAlign w:val="bottom"/>
            <w:tcBorders>
              <w:bottom w:val="single" w:sz="8" w:color="282A32"/>
            </w:tcBorders>
          </w:tcPr>
          <w:p>
            <w:pPr>
              <w:spacing w:after="0"/>
              <w:rPr>
                <w:sz w:val="24"/>
                <w:szCs w:val="24"/>
                <w:color w:val="auto"/>
              </w:rPr>
            </w:pPr>
          </w:p>
        </w:tc>
        <w:tc>
          <w:tcPr>
            <w:tcW w:w="136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Rate</w:t>
            </w:r>
          </w:p>
        </w:tc>
        <w:tc>
          <w:tcPr>
            <w:tcW w:w="148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Date</w:t>
            </w:r>
          </w:p>
        </w:tc>
        <w:tc>
          <w:tcPr>
            <w:tcW w:w="176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at 12/31/12</w:t>
            </w:r>
          </w:p>
        </w:tc>
        <w:tc>
          <w:tcPr>
            <w:tcW w:w="280" w:type="dxa"/>
            <w:vAlign w:val="bottom"/>
            <w:tcBorders>
              <w:bottom w:val="single" w:sz="8" w:color="282A32"/>
            </w:tcBorders>
          </w:tcPr>
          <w:p>
            <w:pPr>
              <w:spacing w:after="0"/>
              <w:rPr>
                <w:sz w:val="24"/>
                <w:szCs w:val="24"/>
                <w:color w:val="auto"/>
              </w:rPr>
            </w:pPr>
          </w:p>
        </w:tc>
        <w:tc>
          <w:tcPr>
            <w:tcW w:w="1940" w:type="dxa"/>
            <w:vAlign w:val="bottom"/>
            <w:tcBorders>
              <w:bottom w:val="single" w:sz="8" w:color="282A32"/>
            </w:tcBorders>
            <w:gridSpan w:val="2"/>
          </w:tcPr>
          <w:p>
            <w:pPr>
              <w:jc w:val="center"/>
              <w:ind w:right="340"/>
              <w:spacing w:after="0"/>
              <w:rPr>
                <w:sz w:val="20"/>
                <w:szCs w:val="20"/>
                <w:color w:val="auto"/>
              </w:rPr>
            </w:pPr>
            <w:r>
              <w:rPr>
                <w:rFonts w:ascii="Arial" w:cs="Arial" w:eastAsia="Arial" w:hAnsi="Arial"/>
                <w:sz w:val="22"/>
                <w:szCs w:val="22"/>
                <w:b w:val="1"/>
                <w:bCs w:val="1"/>
                <w:color w:val="7F7F7F"/>
              </w:rPr>
              <w:t>at 12/31/12</w:t>
            </w:r>
          </w:p>
        </w:tc>
        <w:tc>
          <w:tcPr>
            <w:tcW w:w="0" w:type="dxa"/>
            <w:vAlign w:val="bottom"/>
          </w:tcPr>
          <w:p>
            <w:pPr>
              <w:spacing w:after="0"/>
              <w:rPr>
                <w:sz w:val="1"/>
                <w:szCs w:val="1"/>
                <w:color w:val="auto"/>
              </w:rPr>
            </w:pPr>
          </w:p>
        </w:tc>
      </w:tr>
      <w:tr>
        <w:trPr>
          <w:trHeight w:val="293"/>
        </w:trPr>
        <w:tc>
          <w:tcPr>
            <w:tcW w:w="3740" w:type="dxa"/>
            <w:vAlign w:val="bottom"/>
          </w:tcPr>
          <w:p>
            <w:pPr>
              <w:ind w:left="100"/>
              <w:spacing w:after="0"/>
              <w:rPr>
                <w:sz w:val="20"/>
                <w:szCs w:val="20"/>
                <w:color w:val="auto"/>
              </w:rPr>
            </w:pPr>
            <w:r>
              <w:rPr>
                <w:rFonts w:ascii="Arial" w:cs="Arial" w:eastAsia="Arial" w:hAnsi="Arial"/>
                <w:sz w:val="22"/>
                <w:szCs w:val="22"/>
                <w:b w:val="1"/>
                <w:bCs w:val="1"/>
                <w:color w:val="343537"/>
              </w:rPr>
              <w:t>Euro Notes:</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3740" w:type="dxa"/>
            <w:vAlign w:val="bottom"/>
          </w:tcPr>
          <w:p>
            <w:pPr>
              <w:ind w:left="320"/>
              <w:spacing w:after="0"/>
              <w:rPr>
                <w:sz w:val="20"/>
                <w:szCs w:val="20"/>
                <w:color w:val="auto"/>
              </w:rPr>
            </w:pPr>
            <w:r>
              <w:rPr>
                <w:rFonts w:ascii="Arial" w:cs="Arial" w:eastAsia="Arial" w:hAnsi="Arial"/>
                <w:sz w:val="22"/>
                <w:szCs w:val="22"/>
                <w:b w:val="1"/>
                <w:bCs w:val="1"/>
                <w:color w:val="343537"/>
              </w:rPr>
              <w:t>- Euro 200M</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343537"/>
                <w:w w:val="99"/>
              </w:rPr>
              <w:t>4.86%</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343537"/>
                <w:w w:val="99"/>
              </w:rPr>
              <w:t>Jun 2013</w:t>
            </w:r>
          </w:p>
        </w:tc>
        <w:tc>
          <w:tcPr>
            <w:tcW w:w="1760" w:type="dxa"/>
            <w:vAlign w:val="bottom"/>
          </w:tcPr>
          <w:p>
            <w:pPr>
              <w:jc w:val="right"/>
              <w:ind w:right="30"/>
              <w:spacing w:after="0"/>
              <w:rPr>
                <w:sz w:val="20"/>
                <w:szCs w:val="20"/>
                <w:color w:val="auto"/>
              </w:rPr>
            </w:pPr>
            <w:r>
              <w:rPr>
                <w:rFonts w:ascii="Arial" w:cs="Arial" w:eastAsia="Arial" w:hAnsi="Arial"/>
                <w:sz w:val="22"/>
                <w:szCs w:val="22"/>
                <w:b w:val="1"/>
                <w:bCs w:val="1"/>
                <w:color w:val="343537"/>
              </w:rPr>
              <w:t>264</w:t>
            </w:r>
          </w:p>
        </w:tc>
        <w:tc>
          <w:tcPr>
            <w:tcW w:w="1920" w:type="dxa"/>
            <w:vAlign w:val="bottom"/>
            <w:gridSpan w:val="2"/>
          </w:tcPr>
          <w:p>
            <w:pPr>
              <w:jc w:val="right"/>
              <w:ind w:right="30"/>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740" w:type="dxa"/>
            <w:vAlign w:val="bottom"/>
          </w:tcPr>
          <w:p>
            <w:pPr>
              <w:ind w:left="320"/>
              <w:spacing w:after="0"/>
              <w:rPr>
                <w:sz w:val="20"/>
                <w:szCs w:val="20"/>
                <w:color w:val="auto"/>
              </w:rPr>
            </w:pPr>
            <w:r>
              <w:rPr>
                <w:rFonts w:ascii="Arial" w:cs="Arial" w:eastAsia="Arial" w:hAnsi="Arial"/>
                <w:sz w:val="22"/>
                <w:szCs w:val="22"/>
                <w:b w:val="1"/>
                <w:bCs w:val="1"/>
                <w:color w:val="343537"/>
              </w:rPr>
              <w:t>- Euro 350M</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343537"/>
                <w:w w:val="99"/>
              </w:rPr>
              <w:t>4.505%</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343537"/>
                <w:w w:val="99"/>
              </w:rPr>
              <w:t>Jun 2018</w:t>
            </w:r>
          </w:p>
        </w:tc>
        <w:tc>
          <w:tcPr>
            <w:tcW w:w="1760" w:type="dxa"/>
            <w:vAlign w:val="bottom"/>
          </w:tcPr>
          <w:p>
            <w:pPr>
              <w:jc w:val="right"/>
              <w:ind w:right="30"/>
              <w:spacing w:after="0"/>
              <w:rPr>
                <w:sz w:val="20"/>
                <w:szCs w:val="20"/>
                <w:color w:val="auto"/>
              </w:rPr>
            </w:pPr>
            <w:r>
              <w:rPr>
                <w:rFonts w:ascii="Arial" w:cs="Arial" w:eastAsia="Arial" w:hAnsi="Arial"/>
                <w:sz w:val="22"/>
                <w:szCs w:val="22"/>
                <w:b w:val="1"/>
                <w:bCs w:val="1"/>
                <w:color w:val="343537"/>
              </w:rPr>
              <w:t>462</w:t>
            </w:r>
          </w:p>
        </w:tc>
        <w:tc>
          <w:tcPr>
            <w:tcW w:w="1920" w:type="dxa"/>
            <w:vAlign w:val="bottom"/>
            <w:gridSpan w:val="2"/>
          </w:tcPr>
          <w:p>
            <w:pPr>
              <w:jc w:val="right"/>
              <w:ind w:right="30"/>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740" w:type="dxa"/>
            <w:vAlign w:val="bottom"/>
          </w:tcPr>
          <w:p>
            <w:pPr>
              <w:ind w:left="100"/>
              <w:spacing w:after="0"/>
              <w:rPr>
                <w:sz w:val="20"/>
                <w:szCs w:val="20"/>
                <w:color w:val="auto"/>
              </w:rPr>
            </w:pPr>
            <w:r>
              <w:rPr>
                <w:rFonts w:ascii="Arial" w:cs="Arial" w:eastAsia="Arial" w:hAnsi="Arial"/>
                <w:sz w:val="22"/>
                <w:szCs w:val="22"/>
                <w:b w:val="1"/>
                <w:bCs w:val="1"/>
                <w:color w:val="343537"/>
              </w:rPr>
              <w:t xml:space="preserve">Revolving Credit Agreement </w:t>
            </w:r>
            <w:r>
              <w:rPr>
                <w:rFonts w:ascii="Arial" w:cs="Arial" w:eastAsia="Arial" w:hAnsi="Arial"/>
                <w:sz w:val="14"/>
                <w:szCs w:val="14"/>
                <w:color w:val="343537"/>
              </w:rPr>
              <w:t>(1)</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343537"/>
                <w:w w:val="99"/>
              </w:rPr>
              <w:t>1.48%</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343537"/>
              </w:rPr>
              <w:t>Oct 2016</w:t>
            </w:r>
          </w:p>
        </w:tc>
        <w:tc>
          <w:tcPr>
            <w:tcW w:w="1760" w:type="dxa"/>
            <w:vAlign w:val="bottom"/>
          </w:tcPr>
          <w:p>
            <w:pPr>
              <w:jc w:val="right"/>
              <w:ind w:right="30"/>
              <w:spacing w:after="0"/>
              <w:rPr>
                <w:sz w:val="20"/>
                <w:szCs w:val="20"/>
                <w:color w:val="auto"/>
              </w:rPr>
            </w:pPr>
            <w:r>
              <w:rPr>
                <w:rFonts w:ascii="Arial" w:cs="Arial" w:eastAsia="Arial" w:hAnsi="Arial"/>
                <w:sz w:val="22"/>
                <w:szCs w:val="22"/>
                <w:b w:val="1"/>
                <w:bCs w:val="1"/>
                <w:color w:val="343537"/>
              </w:rPr>
              <w:t>-</w:t>
            </w:r>
          </w:p>
        </w:tc>
        <w:tc>
          <w:tcPr>
            <w:tcW w:w="1920" w:type="dxa"/>
            <w:vAlign w:val="bottom"/>
            <w:gridSpan w:val="2"/>
          </w:tcPr>
          <w:p>
            <w:pPr>
              <w:jc w:val="right"/>
              <w:ind w:right="30"/>
              <w:spacing w:after="0"/>
              <w:rPr>
                <w:sz w:val="20"/>
                <w:szCs w:val="20"/>
                <w:color w:val="auto"/>
              </w:rPr>
            </w:pPr>
            <w:r>
              <w:rPr>
                <w:rFonts w:ascii="Arial" w:cs="Arial" w:eastAsia="Arial" w:hAnsi="Arial"/>
                <w:sz w:val="22"/>
                <w:szCs w:val="22"/>
                <w:b w:val="1"/>
                <w:bCs w:val="1"/>
                <w:color w:val="343537"/>
              </w:rPr>
              <w:t>799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3740" w:type="dxa"/>
            <w:vAlign w:val="bottom"/>
          </w:tcPr>
          <w:p>
            <w:pPr>
              <w:ind w:left="100"/>
              <w:spacing w:after="0"/>
              <w:rPr>
                <w:sz w:val="20"/>
                <w:szCs w:val="20"/>
                <w:color w:val="auto"/>
              </w:rPr>
            </w:pPr>
            <w:r>
              <w:rPr>
                <w:rFonts w:ascii="Arial" w:cs="Arial" w:eastAsia="Arial" w:hAnsi="Arial"/>
                <w:sz w:val="22"/>
                <w:szCs w:val="22"/>
                <w:b w:val="1"/>
                <w:bCs w:val="1"/>
                <w:color w:val="343537"/>
              </w:rPr>
              <w:t xml:space="preserve">Uncommitted lines and Other </w:t>
            </w:r>
            <w:r>
              <w:rPr>
                <w:rFonts w:ascii="Arial" w:cs="Arial" w:eastAsia="Arial" w:hAnsi="Arial"/>
                <w:sz w:val="14"/>
                <w:szCs w:val="14"/>
                <w:color w:val="343537"/>
              </w:rPr>
              <w:t>(2)</w:t>
            </w:r>
          </w:p>
        </w:tc>
        <w:tc>
          <w:tcPr>
            <w:tcW w:w="136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48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760" w:type="dxa"/>
            <w:vAlign w:val="bottom"/>
          </w:tcPr>
          <w:p>
            <w:pPr>
              <w:jc w:val="right"/>
              <w:ind w:right="30"/>
              <w:spacing w:after="0"/>
              <w:rPr>
                <w:sz w:val="20"/>
                <w:szCs w:val="20"/>
                <w:color w:val="auto"/>
              </w:rPr>
            </w:pPr>
            <w:r>
              <w:rPr>
                <w:rFonts w:ascii="Arial" w:cs="Arial" w:eastAsia="Arial" w:hAnsi="Arial"/>
                <w:sz w:val="22"/>
                <w:szCs w:val="22"/>
                <w:b w:val="1"/>
                <w:bCs w:val="1"/>
                <w:color w:val="343537"/>
              </w:rPr>
              <w:t>44</w:t>
            </w:r>
          </w:p>
        </w:tc>
        <w:tc>
          <w:tcPr>
            <w:tcW w:w="1920" w:type="dxa"/>
            <w:vAlign w:val="bottom"/>
            <w:gridSpan w:val="2"/>
          </w:tcPr>
          <w:p>
            <w:pPr>
              <w:jc w:val="right"/>
              <w:ind w:right="30"/>
              <w:spacing w:after="0"/>
              <w:rPr>
                <w:sz w:val="20"/>
                <w:szCs w:val="20"/>
                <w:color w:val="auto"/>
              </w:rPr>
            </w:pPr>
            <w:r>
              <w:rPr>
                <w:rFonts w:ascii="Arial" w:cs="Arial" w:eastAsia="Arial" w:hAnsi="Arial"/>
                <w:sz w:val="22"/>
                <w:szCs w:val="22"/>
                <w:b w:val="1"/>
                <w:bCs w:val="1"/>
                <w:color w:val="343537"/>
              </w:rPr>
              <w:t>335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vMerge w:val="restart"/>
          </w:tcPr>
          <w:p>
            <w:pPr>
              <w:ind w:left="100"/>
              <w:spacing w:after="0"/>
              <w:rPr>
                <w:sz w:val="20"/>
                <w:szCs w:val="20"/>
                <w:color w:val="auto"/>
              </w:rPr>
            </w:pPr>
            <w:r>
              <w:rPr>
                <w:rFonts w:ascii="Arial" w:cs="Arial" w:eastAsia="Arial" w:hAnsi="Arial"/>
                <w:sz w:val="22"/>
                <w:szCs w:val="22"/>
                <w:b w:val="1"/>
                <w:bCs w:val="1"/>
                <w:color w:val="343537"/>
              </w:rPr>
              <w:t>Total Debt</w:t>
            </w: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Borders>
              <w:bottom w:val="single" w:sz="8" w:color="282A32"/>
            </w:tcBorders>
          </w:tcPr>
          <w:p>
            <w:pPr>
              <w:spacing w:after="0"/>
              <w:rPr>
                <w:sz w:val="18"/>
                <w:szCs w:val="18"/>
                <w:color w:val="auto"/>
              </w:rPr>
            </w:pPr>
          </w:p>
        </w:tc>
        <w:tc>
          <w:tcPr>
            <w:tcW w:w="280" w:type="dxa"/>
            <w:vAlign w:val="bottom"/>
            <w:vMerge w:val="restart"/>
          </w:tcPr>
          <w:p>
            <w:pPr>
              <w:spacing w:after="0"/>
              <w:rPr>
                <w:sz w:val="18"/>
                <w:szCs w:val="18"/>
                <w:color w:val="auto"/>
              </w:rPr>
            </w:pPr>
          </w:p>
        </w:tc>
        <w:tc>
          <w:tcPr>
            <w:tcW w:w="1640" w:type="dxa"/>
            <w:vAlign w:val="bottom"/>
            <w:tcBorders>
              <w:bottom w:val="single" w:sz="8" w:color="282A32"/>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7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22"/>
                <w:szCs w:val="22"/>
                <w:b w:val="1"/>
                <w:bCs w:val="1"/>
                <w:color w:val="343537"/>
              </w:rPr>
              <w:t>770</w:t>
            </w:r>
          </w:p>
        </w:tc>
        <w:tc>
          <w:tcPr>
            <w:tcW w:w="280" w:type="dxa"/>
            <w:vAlign w:val="bottom"/>
            <w:vMerge w:val="continue"/>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22"/>
                <w:szCs w:val="22"/>
                <w:b w:val="1"/>
                <w:bCs w:val="1"/>
                <w:color w:val="343537"/>
              </w:rPr>
              <w:t>1,134</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60" w:type="dxa"/>
            <w:vAlign w:val="bottom"/>
            <w:tcBorders>
              <w:bottom w:val="single" w:sz="8" w:color="282A32"/>
            </w:tcBorders>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Borders>
              <w:bottom w:val="single" w:sz="8" w:color="282A32"/>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940" w:right="980" w:hanging="231"/>
        <w:spacing w:after="0" w:line="251" w:lineRule="auto"/>
        <w:tabs>
          <w:tab w:leader="none" w:pos="940" w:val="left"/>
        </w:tabs>
        <w:numPr>
          <w:ilvl w:val="0"/>
          <w:numId w:val="9"/>
        </w:numPr>
        <w:rPr>
          <w:rFonts w:ascii="Arial" w:cs="Arial" w:eastAsia="Arial" w:hAnsi="Arial"/>
          <w:sz w:val="17"/>
          <w:szCs w:val="17"/>
          <w:color w:val="282A32"/>
        </w:rPr>
      </w:pPr>
      <w:r>
        <w:rPr>
          <w:rFonts w:ascii="Arial" w:cs="Arial" w:eastAsia="Arial" w:hAnsi="Arial"/>
          <w:sz w:val="17"/>
          <w:szCs w:val="17"/>
          <w:color w:val="282A32"/>
        </w:rPr>
        <w:t>The $800M agreement requires that we comply with a Leverage Ratio (Debt-to-EBITDA) of not greater than 3.5 to 1 and a Fixed Charge Coverage Ratio of not less than 1.5 to 1, in addition to other customary restrictive covenants. As defined in the agreement, we had a Debt-to-EBITDA ratio of 0.97 and a fixed charge coverage ratio of 2.82 as of December 31, 2012. As of December 31, 2012, there were $0.9M of standby letters of credit issued under the agreement.</w:t>
      </w:r>
    </w:p>
    <w:p>
      <w:pPr>
        <w:spacing w:after="0" w:line="185" w:lineRule="exact"/>
        <w:rPr>
          <w:rFonts w:ascii="Arial" w:cs="Arial" w:eastAsia="Arial" w:hAnsi="Arial"/>
          <w:sz w:val="17"/>
          <w:szCs w:val="17"/>
          <w:color w:val="282A32"/>
        </w:rPr>
      </w:pPr>
    </w:p>
    <w:p>
      <w:pPr>
        <w:jc w:val="both"/>
        <w:ind w:left="960" w:right="980" w:hanging="228"/>
        <w:spacing w:after="0" w:line="246" w:lineRule="auto"/>
        <w:tabs>
          <w:tab w:leader="none" w:pos="960" w:val="left"/>
        </w:tabs>
        <w:numPr>
          <w:ilvl w:val="1"/>
          <w:numId w:val="9"/>
        </w:numPr>
        <w:rPr>
          <w:rFonts w:ascii="Arial" w:cs="Arial" w:eastAsia="Arial" w:hAnsi="Arial"/>
          <w:sz w:val="17"/>
          <w:szCs w:val="17"/>
          <w:color w:val="282A32"/>
        </w:rPr>
      </w:pPr>
      <w:r>
        <w:rPr>
          <w:rFonts w:ascii="Arial" w:cs="Arial" w:eastAsia="Arial" w:hAnsi="Arial"/>
          <w:sz w:val="17"/>
          <w:szCs w:val="17"/>
          <w:color w:val="282A32"/>
        </w:rPr>
        <w:t>Represents subsidiary uncommitted lines of credit &amp; overdraft facilities, which total $379.4M. Total subsidiary borrowings are limited to $300M due to restrictions in our Revolving Credit Facility, with the exception of Q3 when subsidiary borrowings 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ind w:left="960"/>
              <w:spacing w:after="0"/>
              <w:rPr>
                <w:sz w:val="20"/>
                <w:szCs w:val="20"/>
                <w:color w:val="auto"/>
              </w:rPr>
            </w:pPr>
            <w:r>
              <w:rPr>
                <w:rFonts w:ascii="Arial" w:cs="Arial" w:eastAsia="Arial" w:hAnsi="Arial"/>
                <w:sz w:val="17"/>
                <w:szCs w:val="17"/>
                <w:color w:val="282A32"/>
              </w:rPr>
              <w:t>limited to $600M.</w:t>
            </w:r>
          </w:p>
        </w:tc>
        <w:tc>
          <w:tcPr>
            <w:tcW w:w="4900" w:type="dxa"/>
            <w:vAlign w:val="bottom"/>
          </w:tcPr>
          <w:p>
            <w:pPr>
              <w:jc w:val="right"/>
              <w:ind w:right="393"/>
              <w:spacing w:after="0"/>
              <w:rPr>
                <w:sz w:val="20"/>
                <w:szCs w:val="20"/>
                <w:color w:val="auto"/>
              </w:rPr>
            </w:pPr>
            <w:r>
              <w:rPr>
                <w:rFonts w:ascii="Arial" w:cs="Arial" w:eastAsia="Arial" w:hAnsi="Arial"/>
                <w:sz w:val="17"/>
                <w:szCs w:val="17"/>
                <w:color w:val="7F7F7F"/>
              </w:rPr>
              <w:t>20</w:t>
            </w:r>
          </w:p>
        </w:tc>
      </w:tr>
      <w:tr>
        <w:trPr>
          <w:trHeight w:val="723"/>
        </w:trPr>
        <w:tc>
          <w:tcPr>
            <w:tcW w:w="654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31" w:name="page32"/>
    <w:bookmarkEnd w:id="31"/>
    <w:p>
      <w:pPr>
        <w:ind w:left="120"/>
        <w:spacing w:after="0"/>
        <w:tabs>
          <w:tab w:leader="none" w:pos="86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50"/>
          <w:szCs w:val="50"/>
          <w:color w:val="5F81AA"/>
        </w:rPr>
        <w:t>First Quarter Outlook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484"/>
        </w:trPr>
        <w:tc>
          <w:tcPr>
            <w:tcW w:w="1860" w:type="dxa"/>
            <w:vAlign w:val="bottom"/>
            <w:tcBorders>
              <w:top w:val="single" w:sz="8" w:color="466EA5"/>
            </w:tcBorders>
          </w:tcPr>
          <w:p>
            <w:pPr>
              <w:ind w:left="100"/>
              <w:spacing w:after="0"/>
              <w:rPr>
                <w:sz w:val="20"/>
                <w:szCs w:val="20"/>
                <w:color w:val="auto"/>
              </w:rPr>
            </w:pPr>
            <w:r>
              <w:rPr>
                <w:rFonts w:ascii="Arial" w:cs="Arial" w:eastAsia="Arial" w:hAnsi="Arial"/>
                <w:sz w:val="31"/>
                <w:szCs w:val="31"/>
                <w:b w:val="1"/>
                <w:bCs w:val="1"/>
                <w:color w:val="282A32"/>
              </w:rPr>
              <w:t>Revenue</w:t>
            </w:r>
          </w:p>
        </w:tc>
        <w:tc>
          <w:tcPr>
            <w:tcW w:w="2920" w:type="dxa"/>
            <w:vAlign w:val="bottom"/>
            <w:tcBorders>
              <w:top w:val="single" w:sz="8" w:color="466EA5"/>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Total</w:t>
            </w:r>
          </w:p>
        </w:tc>
        <w:tc>
          <w:tcPr>
            <w:tcW w:w="5780" w:type="dxa"/>
            <w:vAlign w:val="bottom"/>
            <w:tcBorders>
              <w:top w:val="single" w:sz="8" w:color="466EA5"/>
            </w:tcBorders>
          </w:tcPr>
          <w:p>
            <w:pPr>
              <w:ind w:left="220"/>
              <w:spacing w:after="0"/>
              <w:rPr>
                <w:sz w:val="20"/>
                <w:szCs w:val="20"/>
                <w:color w:val="auto"/>
              </w:rPr>
            </w:pPr>
            <w:r>
              <w:rPr>
                <w:rFonts w:ascii="Arial" w:cs="Arial" w:eastAsia="Arial" w:hAnsi="Arial"/>
                <w:sz w:val="28"/>
                <w:szCs w:val="28"/>
                <w:color w:val="282A32"/>
              </w:rPr>
              <w:t>Down 6-8% (Down 6-8% CC)</w:t>
            </w:r>
          </w:p>
        </w:tc>
      </w:tr>
      <w:tr>
        <w:trPr>
          <w:trHeight w:val="71"/>
        </w:trPr>
        <w:tc>
          <w:tcPr>
            <w:tcW w:w="1860" w:type="dxa"/>
            <w:vAlign w:val="bottom"/>
          </w:tcPr>
          <w:p>
            <w:pPr>
              <w:spacing w:after="0"/>
              <w:rPr>
                <w:sz w:val="6"/>
                <w:szCs w:val="6"/>
                <w:color w:val="auto"/>
              </w:rPr>
            </w:pPr>
          </w:p>
        </w:tc>
        <w:tc>
          <w:tcPr>
            <w:tcW w:w="2920" w:type="dxa"/>
            <w:vAlign w:val="bottom"/>
            <w:tcBorders>
              <w:bottom w:val="single" w:sz="8" w:color="466EA5"/>
              <w:right w:val="single" w:sz="8" w:color="466EA5"/>
            </w:tcBorders>
          </w:tcPr>
          <w:p>
            <w:pPr>
              <w:spacing w:after="0"/>
              <w:rPr>
                <w:sz w:val="6"/>
                <w:szCs w:val="6"/>
                <w:color w:val="auto"/>
              </w:rPr>
            </w:pPr>
          </w:p>
        </w:tc>
        <w:tc>
          <w:tcPr>
            <w:tcW w:w="5780" w:type="dxa"/>
            <w:vAlign w:val="bottom"/>
            <w:tcBorders>
              <w:bottom w:val="single" w:sz="8" w:color="466EA5"/>
            </w:tcBorders>
          </w:tcPr>
          <w:p>
            <w:pPr>
              <w:spacing w:after="0"/>
              <w:rPr>
                <w:sz w:val="6"/>
                <w:szCs w:val="6"/>
                <w:color w:val="auto"/>
              </w:rPr>
            </w:pPr>
          </w:p>
        </w:tc>
      </w:tr>
      <w:tr>
        <w:trPr>
          <w:trHeight w:val="454"/>
        </w:trPr>
        <w:tc>
          <w:tcPr>
            <w:tcW w:w="1860" w:type="dxa"/>
            <w:vAlign w:val="bottom"/>
          </w:tcPr>
          <w:p>
            <w:pPr>
              <w:spacing w:after="0"/>
              <w:rPr>
                <w:sz w:val="24"/>
                <w:szCs w:val="24"/>
                <w:color w:val="auto"/>
              </w:rPr>
            </w:pPr>
          </w:p>
        </w:tc>
        <w:tc>
          <w:tcPr>
            <w:tcW w:w="2920" w:type="dxa"/>
            <w:vAlign w:val="bottom"/>
            <w:tcBorders>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Americas</w:t>
            </w:r>
          </w:p>
        </w:tc>
        <w:tc>
          <w:tcPr>
            <w:tcW w:w="5780" w:type="dxa"/>
            <w:vAlign w:val="bottom"/>
          </w:tcPr>
          <w:p>
            <w:pPr>
              <w:ind w:left="220"/>
              <w:spacing w:after="0"/>
              <w:rPr>
                <w:sz w:val="20"/>
                <w:szCs w:val="20"/>
                <w:color w:val="auto"/>
              </w:rPr>
            </w:pPr>
            <w:r>
              <w:rPr>
                <w:rFonts w:ascii="Arial" w:cs="Arial" w:eastAsia="Arial" w:hAnsi="Arial"/>
                <w:sz w:val="28"/>
                <w:szCs w:val="28"/>
                <w:color w:val="282A32"/>
              </w:rPr>
              <w:t>Down 2-4% (Down 1-3% CC)</w:t>
            </w:r>
          </w:p>
        </w:tc>
      </w:tr>
      <w:tr>
        <w:trPr>
          <w:trHeight w:val="93"/>
        </w:trPr>
        <w:tc>
          <w:tcPr>
            <w:tcW w:w="1860" w:type="dxa"/>
            <w:vAlign w:val="bottom"/>
          </w:tcPr>
          <w:p>
            <w:pPr>
              <w:spacing w:after="0"/>
              <w:rPr>
                <w:sz w:val="8"/>
                <w:szCs w:val="8"/>
                <w:color w:val="auto"/>
              </w:rPr>
            </w:pPr>
          </w:p>
        </w:tc>
        <w:tc>
          <w:tcPr>
            <w:tcW w:w="2920" w:type="dxa"/>
            <w:vAlign w:val="bottom"/>
            <w:tcBorders>
              <w:bottom w:val="single" w:sz="8" w:color="466EA5"/>
              <w:right w:val="single" w:sz="8" w:color="466EA5"/>
            </w:tcBorders>
          </w:tcPr>
          <w:p>
            <w:pPr>
              <w:spacing w:after="0"/>
              <w:rPr>
                <w:sz w:val="8"/>
                <w:szCs w:val="8"/>
                <w:color w:val="auto"/>
              </w:rPr>
            </w:pPr>
          </w:p>
        </w:tc>
        <w:tc>
          <w:tcPr>
            <w:tcW w:w="5780" w:type="dxa"/>
            <w:vAlign w:val="bottom"/>
            <w:tcBorders>
              <w:bottom w:val="single" w:sz="8" w:color="466EA5"/>
            </w:tcBorders>
          </w:tcPr>
          <w:p>
            <w:pPr>
              <w:spacing w:after="0"/>
              <w:rPr>
                <w:sz w:val="8"/>
                <w:szCs w:val="8"/>
                <w:color w:val="auto"/>
              </w:rPr>
            </w:pPr>
          </w:p>
        </w:tc>
      </w:tr>
      <w:tr>
        <w:trPr>
          <w:trHeight w:val="454"/>
        </w:trPr>
        <w:tc>
          <w:tcPr>
            <w:tcW w:w="1860" w:type="dxa"/>
            <w:vAlign w:val="bottom"/>
          </w:tcPr>
          <w:p>
            <w:pPr>
              <w:spacing w:after="0"/>
              <w:rPr>
                <w:sz w:val="24"/>
                <w:szCs w:val="24"/>
                <w:color w:val="auto"/>
              </w:rPr>
            </w:pPr>
          </w:p>
        </w:tc>
        <w:tc>
          <w:tcPr>
            <w:tcW w:w="2920" w:type="dxa"/>
            <w:vAlign w:val="bottom"/>
            <w:tcBorders>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Southern Europe</w:t>
            </w:r>
          </w:p>
        </w:tc>
        <w:tc>
          <w:tcPr>
            <w:tcW w:w="5780" w:type="dxa"/>
            <w:vAlign w:val="bottom"/>
          </w:tcPr>
          <w:p>
            <w:pPr>
              <w:ind w:left="220"/>
              <w:spacing w:after="0"/>
              <w:rPr>
                <w:sz w:val="20"/>
                <w:szCs w:val="20"/>
                <w:color w:val="auto"/>
              </w:rPr>
            </w:pPr>
            <w:r>
              <w:rPr>
                <w:rFonts w:ascii="Arial" w:cs="Arial" w:eastAsia="Arial" w:hAnsi="Arial"/>
                <w:sz w:val="28"/>
                <w:szCs w:val="28"/>
                <w:color w:val="282A32"/>
              </w:rPr>
              <w:t>Down 10-12% (Down 11-13% CC)</w:t>
            </w:r>
          </w:p>
        </w:tc>
      </w:tr>
      <w:tr>
        <w:trPr>
          <w:trHeight w:val="93"/>
        </w:trPr>
        <w:tc>
          <w:tcPr>
            <w:tcW w:w="1860" w:type="dxa"/>
            <w:vAlign w:val="bottom"/>
          </w:tcPr>
          <w:p>
            <w:pPr>
              <w:spacing w:after="0"/>
              <w:rPr>
                <w:sz w:val="8"/>
                <w:szCs w:val="8"/>
                <w:color w:val="auto"/>
              </w:rPr>
            </w:pPr>
          </w:p>
        </w:tc>
        <w:tc>
          <w:tcPr>
            <w:tcW w:w="2920" w:type="dxa"/>
            <w:vAlign w:val="bottom"/>
            <w:tcBorders>
              <w:bottom w:val="single" w:sz="8" w:color="466EA5"/>
              <w:right w:val="single" w:sz="8" w:color="466EA5"/>
            </w:tcBorders>
          </w:tcPr>
          <w:p>
            <w:pPr>
              <w:spacing w:after="0"/>
              <w:rPr>
                <w:sz w:val="8"/>
                <w:szCs w:val="8"/>
                <w:color w:val="auto"/>
              </w:rPr>
            </w:pPr>
          </w:p>
        </w:tc>
        <w:tc>
          <w:tcPr>
            <w:tcW w:w="5780" w:type="dxa"/>
            <w:vAlign w:val="bottom"/>
            <w:tcBorders>
              <w:bottom w:val="single" w:sz="8" w:color="466EA5"/>
            </w:tcBorders>
          </w:tcPr>
          <w:p>
            <w:pPr>
              <w:spacing w:after="0"/>
              <w:rPr>
                <w:sz w:val="8"/>
                <w:szCs w:val="8"/>
                <w:color w:val="auto"/>
              </w:rPr>
            </w:pPr>
          </w:p>
        </w:tc>
      </w:tr>
      <w:tr>
        <w:trPr>
          <w:trHeight w:val="454"/>
        </w:trPr>
        <w:tc>
          <w:tcPr>
            <w:tcW w:w="1860" w:type="dxa"/>
            <w:vAlign w:val="bottom"/>
          </w:tcPr>
          <w:p>
            <w:pPr>
              <w:spacing w:after="0"/>
              <w:rPr>
                <w:sz w:val="24"/>
                <w:szCs w:val="24"/>
                <w:color w:val="auto"/>
              </w:rPr>
            </w:pPr>
          </w:p>
        </w:tc>
        <w:tc>
          <w:tcPr>
            <w:tcW w:w="2920" w:type="dxa"/>
            <w:vAlign w:val="bottom"/>
            <w:tcBorders>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Northern Europe</w:t>
            </w:r>
          </w:p>
        </w:tc>
        <w:tc>
          <w:tcPr>
            <w:tcW w:w="5780" w:type="dxa"/>
            <w:vAlign w:val="bottom"/>
          </w:tcPr>
          <w:p>
            <w:pPr>
              <w:ind w:left="220"/>
              <w:spacing w:after="0"/>
              <w:rPr>
                <w:sz w:val="20"/>
                <w:szCs w:val="20"/>
                <w:color w:val="auto"/>
              </w:rPr>
            </w:pPr>
            <w:r>
              <w:rPr>
                <w:rFonts w:ascii="Arial" w:cs="Arial" w:eastAsia="Arial" w:hAnsi="Arial"/>
                <w:sz w:val="28"/>
                <w:szCs w:val="28"/>
                <w:color w:val="282A32"/>
              </w:rPr>
              <w:t>Down 5-7% (Down 6-8% CC)</w:t>
            </w:r>
          </w:p>
        </w:tc>
      </w:tr>
      <w:tr>
        <w:trPr>
          <w:trHeight w:val="93"/>
        </w:trPr>
        <w:tc>
          <w:tcPr>
            <w:tcW w:w="1860" w:type="dxa"/>
            <w:vAlign w:val="bottom"/>
          </w:tcPr>
          <w:p>
            <w:pPr>
              <w:spacing w:after="0"/>
              <w:rPr>
                <w:sz w:val="8"/>
                <w:szCs w:val="8"/>
                <w:color w:val="auto"/>
              </w:rPr>
            </w:pPr>
          </w:p>
        </w:tc>
        <w:tc>
          <w:tcPr>
            <w:tcW w:w="2920" w:type="dxa"/>
            <w:vAlign w:val="bottom"/>
            <w:tcBorders>
              <w:bottom w:val="single" w:sz="8" w:color="466EA5"/>
              <w:right w:val="single" w:sz="8" w:color="466EA5"/>
            </w:tcBorders>
          </w:tcPr>
          <w:p>
            <w:pPr>
              <w:spacing w:after="0"/>
              <w:rPr>
                <w:sz w:val="8"/>
                <w:szCs w:val="8"/>
                <w:color w:val="auto"/>
              </w:rPr>
            </w:pPr>
          </w:p>
        </w:tc>
        <w:tc>
          <w:tcPr>
            <w:tcW w:w="5780" w:type="dxa"/>
            <w:vAlign w:val="bottom"/>
            <w:tcBorders>
              <w:bottom w:val="single" w:sz="8" w:color="466EA5"/>
            </w:tcBorders>
          </w:tcPr>
          <w:p>
            <w:pPr>
              <w:spacing w:after="0"/>
              <w:rPr>
                <w:sz w:val="8"/>
                <w:szCs w:val="8"/>
                <w:color w:val="auto"/>
              </w:rPr>
            </w:pPr>
          </w:p>
        </w:tc>
      </w:tr>
      <w:tr>
        <w:trPr>
          <w:trHeight w:val="454"/>
        </w:trPr>
        <w:tc>
          <w:tcPr>
            <w:tcW w:w="1860" w:type="dxa"/>
            <w:vAlign w:val="bottom"/>
          </w:tcPr>
          <w:p>
            <w:pPr>
              <w:spacing w:after="0"/>
              <w:rPr>
                <w:sz w:val="24"/>
                <w:szCs w:val="24"/>
                <w:color w:val="auto"/>
              </w:rPr>
            </w:pPr>
          </w:p>
        </w:tc>
        <w:tc>
          <w:tcPr>
            <w:tcW w:w="2920" w:type="dxa"/>
            <w:vAlign w:val="bottom"/>
            <w:tcBorders>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APME</w:t>
            </w:r>
          </w:p>
        </w:tc>
        <w:tc>
          <w:tcPr>
            <w:tcW w:w="5780" w:type="dxa"/>
            <w:vAlign w:val="bottom"/>
          </w:tcPr>
          <w:p>
            <w:pPr>
              <w:ind w:left="220"/>
              <w:spacing w:after="0"/>
              <w:rPr>
                <w:sz w:val="20"/>
                <w:szCs w:val="20"/>
                <w:color w:val="auto"/>
              </w:rPr>
            </w:pPr>
            <w:r>
              <w:rPr>
                <w:rFonts w:ascii="Arial" w:cs="Arial" w:eastAsia="Arial" w:hAnsi="Arial"/>
                <w:sz w:val="28"/>
                <w:szCs w:val="28"/>
                <w:color w:val="282A32"/>
              </w:rPr>
              <w:t>Down 6-8% (Down 1-3% CC)</w:t>
            </w:r>
          </w:p>
        </w:tc>
      </w:tr>
      <w:tr>
        <w:trPr>
          <w:trHeight w:val="93"/>
        </w:trPr>
        <w:tc>
          <w:tcPr>
            <w:tcW w:w="1860" w:type="dxa"/>
            <w:vAlign w:val="bottom"/>
          </w:tcPr>
          <w:p>
            <w:pPr>
              <w:spacing w:after="0"/>
              <w:rPr>
                <w:sz w:val="8"/>
                <w:szCs w:val="8"/>
                <w:color w:val="auto"/>
              </w:rPr>
            </w:pPr>
          </w:p>
        </w:tc>
        <w:tc>
          <w:tcPr>
            <w:tcW w:w="2920" w:type="dxa"/>
            <w:vAlign w:val="bottom"/>
            <w:tcBorders>
              <w:bottom w:val="single" w:sz="8" w:color="466EA5"/>
              <w:right w:val="single" w:sz="8" w:color="466EA5"/>
            </w:tcBorders>
          </w:tcPr>
          <w:p>
            <w:pPr>
              <w:spacing w:after="0"/>
              <w:rPr>
                <w:sz w:val="8"/>
                <w:szCs w:val="8"/>
                <w:color w:val="auto"/>
              </w:rPr>
            </w:pPr>
          </w:p>
        </w:tc>
        <w:tc>
          <w:tcPr>
            <w:tcW w:w="5780" w:type="dxa"/>
            <w:vAlign w:val="bottom"/>
            <w:tcBorders>
              <w:bottom w:val="single" w:sz="8" w:color="466EA5"/>
            </w:tcBorders>
          </w:tcPr>
          <w:p>
            <w:pPr>
              <w:spacing w:after="0"/>
              <w:rPr>
                <w:sz w:val="8"/>
                <w:szCs w:val="8"/>
                <w:color w:val="auto"/>
              </w:rPr>
            </w:pPr>
          </w:p>
        </w:tc>
      </w:tr>
      <w:tr>
        <w:trPr>
          <w:trHeight w:val="442"/>
        </w:trPr>
        <w:tc>
          <w:tcPr>
            <w:tcW w:w="1860" w:type="dxa"/>
            <w:vAlign w:val="bottom"/>
          </w:tcPr>
          <w:p>
            <w:pPr>
              <w:spacing w:after="0"/>
              <w:rPr>
                <w:sz w:val="24"/>
                <w:szCs w:val="24"/>
                <w:color w:val="auto"/>
              </w:rPr>
            </w:pPr>
          </w:p>
        </w:tc>
        <w:tc>
          <w:tcPr>
            <w:tcW w:w="2920" w:type="dxa"/>
            <w:vAlign w:val="bottom"/>
            <w:tcBorders>
              <w:right w:val="single" w:sz="8" w:color="466EA5"/>
            </w:tcBorders>
          </w:tcPr>
          <w:p>
            <w:pPr>
              <w:jc w:val="right"/>
              <w:spacing w:after="0"/>
              <w:rPr>
                <w:sz w:val="20"/>
                <w:szCs w:val="20"/>
                <w:color w:val="auto"/>
              </w:rPr>
            </w:pPr>
            <w:r>
              <w:rPr>
                <w:rFonts w:ascii="Arial" w:cs="Arial" w:eastAsia="Arial" w:hAnsi="Arial"/>
                <w:sz w:val="28"/>
                <w:szCs w:val="28"/>
                <w:b w:val="1"/>
                <w:bCs w:val="1"/>
                <w:color w:val="282A32"/>
              </w:rPr>
              <w:t>Right Management</w:t>
            </w:r>
          </w:p>
        </w:tc>
        <w:tc>
          <w:tcPr>
            <w:tcW w:w="5780" w:type="dxa"/>
            <w:vAlign w:val="bottom"/>
          </w:tcPr>
          <w:p>
            <w:pPr>
              <w:ind w:left="220"/>
              <w:spacing w:after="0"/>
              <w:rPr>
                <w:sz w:val="20"/>
                <w:szCs w:val="20"/>
                <w:color w:val="auto"/>
              </w:rPr>
            </w:pPr>
            <w:r>
              <w:rPr>
                <w:rFonts w:ascii="Arial" w:cs="Arial" w:eastAsia="Arial" w:hAnsi="Arial"/>
                <w:sz w:val="28"/>
                <w:szCs w:val="28"/>
                <w:color w:val="282A32"/>
              </w:rPr>
              <w:t>Up 2-4% (Up 2-4% CC)</w:t>
            </w:r>
          </w:p>
        </w:tc>
      </w:tr>
      <w:tr>
        <w:trPr>
          <w:trHeight w:val="97"/>
        </w:trPr>
        <w:tc>
          <w:tcPr>
            <w:tcW w:w="4780" w:type="dxa"/>
            <w:vAlign w:val="bottom"/>
            <w:tcBorders>
              <w:bottom w:val="single" w:sz="8" w:color="466EA5"/>
              <w:right w:val="single" w:sz="8" w:color="466EA5"/>
            </w:tcBorders>
            <w:gridSpan w:val="2"/>
          </w:tcPr>
          <w:p>
            <w:pPr>
              <w:spacing w:after="0"/>
              <w:rPr>
                <w:sz w:val="8"/>
                <w:szCs w:val="8"/>
                <w:color w:val="auto"/>
              </w:rPr>
            </w:pPr>
          </w:p>
        </w:tc>
        <w:tc>
          <w:tcPr>
            <w:tcW w:w="5780" w:type="dxa"/>
            <w:vAlign w:val="bottom"/>
            <w:tcBorders>
              <w:bottom w:val="single" w:sz="8" w:color="466EA5"/>
            </w:tcBorders>
          </w:tcPr>
          <w:p>
            <w:pPr>
              <w:spacing w:after="0"/>
              <w:rPr>
                <w:sz w:val="8"/>
                <w:szCs w:val="8"/>
                <w:color w:val="auto"/>
              </w:rPr>
            </w:pPr>
          </w:p>
        </w:tc>
      </w:tr>
      <w:tr>
        <w:trPr>
          <w:trHeight w:val="460"/>
        </w:trPr>
        <w:tc>
          <w:tcPr>
            <w:tcW w:w="4780" w:type="dxa"/>
            <w:vAlign w:val="bottom"/>
            <w:tcBorders>
              <w:right w:val="single" w:sz="8" w:color="466EA5"/>
            </w:tcBorders>
            <w:gridSpan w:val="2"/>
          </w:tcPr>
          <w:p>
            <w:pPr>
              <w:ind w:left="100"/>
              <w:spacing w:after="0"/>
              <w:rPr>
                <w:sz w:val="20"/>
                <w:szCs w:val="20"/>
                <w:color w:val="auto"/>
              </w:rPr>
            </w:pPr>
            <w:r>
              <w:rPr>
                <w:rFonts w:ascii="Arial" w:cs="Arial" w:eastAsia="Arial" w:hAnsi="Arial"/>
                <w:sz w:val="31"/>
                <w:szCs w:val="31"/>
                <w:b w:val="1"/>
                <w:bCs w:val="1"/>
                <w:color w:val="282A32"/>
              </w:rPr>
              <w:t>Gross Profit Margin</w:t>
            </w:r>
          </w:p>
        </w:tc>
        <w:tc>
          <w:tcPr>
            <w:tcW w:w="5780" w:type="dxa"/>
            <w:vAlign w:val="bottom"/>
          </w:tcPr>
          <w:p>
            <w:pPr>
              <w:ind w:left="220"/>
              <w:spacing w:after="0"/>
              <w:rPr>
                <w:sz w:val="20"/>
                <w:szCs w:val="20"/>
                <w:color w:val="auto"/>
              </w:rPr>
            </w:pPr>
            <w:r>
              <w:rPr>
                <w:rFonts w:ascii="Arial" w:cs="Arial" w:eastAsia="Arial" w:hAnsi="Arial"/>
                <w:sz w:val="28"/>
                <w:szCs w:val="28"/>
                <w:color w:val="282A32"/>
              </w:rPr>
              <w:t>16.6 - 16.8%</w:t>
            </w:r>
          </w:p>
        </w:tc>
      </w:tr>
      <w:tr>
        <w:trPr>
          <w:trHeight w:val="87"/>
        </w:trPr>
        <w:tc>
          <w:tcPr>
            <w:tcW w:w="4780" w:type="dxa"/>
            <w:vAlign w:val="bottom"/>
            <w:tcBorders>
              <w:bottom w:val="single" w:sz="8" w:color="466EA5"/>
              <w:right w:val="single" w:sz="8" w:color="466EA5"/>
            </w:tcBorders>
            <w:gridSpan w:val="2"/>
          </w:tcPr>
          <w:p>
            <w:pPr>
              <w:spacing w:after="0"/>
              <w:rPr>
                <w:sz w:val="7"/>
                <w:szCs w:val="7"/>
                <w:color w:val="auto"/>
              </w:rPr>
            </w:pPr>
          </w:p>
        </w:tc>
        <w:tc>
          <w:tcPr>
            <w:tcW w:w="5780" w:type="dxa"/>
            <w:vAlign w:val="bottom"/>
            <w:tcBorders>
              <w:bottom w:val="single" w:sz="8" w:color="466EA5"/>
            </w:tcBorders>
          </w:tcPr>
          <w:p>
            <w:pPr>
              <w:spacing w:after="0"/>
              <w:rPr>
                <w:sz w:val="7"/>
                <w:szCs w:val="7"/>
                <w:color w:val="auto"/>
              </w:rPr>
            </w:pPr>
          </w:p>
        </w:tc>
      </w:tr>
      <w:tr>
        <w:trPr>
          <w:trHeight w:val="460"/>
        </w:trPr>
        <w:tc>
          <w:tcPr>
            <w:tcW w:w="4780" w:type="dxa"/>
            <w:vAlign w:val="bottom"/>
            <w:tcBorders>
              <w:right w:val="single" w:sz="8" w:color="466EA5"/>
            </w:tcBorders>
            <w:gridSpan w:val="2"/>
          </w:tcPr>
          <w:p>
            <w:pPr>
              <w:ind w:left="100"/>
              <w:spacing w:after="0"/>
              <w:rPr>
                <w:sz w:val="20"/>
                <w:szCs w:val="20"/>
                <w:color w:val="auto"/>
              </w:rPr>
            </w:pPr>
            <w:r>
              <w:rPr>
                <w:rFonts w:ascii="Arial" w:cs="Arial" w:eastAsia="Arial" w:hAnsi="Arial"/>
                <w:sz w:val="31"/>
                <w:szCs w:val="31"/>
                <w:b w:val="1"/>
                <w:bCs w:val="1"/>
                <w:color w:val="282A32"/>
              </w:rPr>
              <w:t>Operating Profit Margin</w:t>
            </w:r>
          </w:p>
        </w:tc>
        <w:tc>
          <w:tcPr>
            <w:tcW w:w="5780" w:type="dxa"/>
            <w:vAlign w:val="bottom"/>
          </w:tcPr>
          <w:p>
            <w:pPr>
              <w:ind w:left="220"/>
              <w:spacing w:after="0"/>
              <w:rPr>
                <w:sz w:val="20"/>
                <w:szCs w:val="20"/>
                <w:color w:val="auto"/>
              </w:rPr>
            </w:pPr>
            <w:r>
              <w:rPr>
                <w:rFonts w:ascii="Arial" w:cs="Arial" w:eastAsia="Arial" w:hAnsi="Arial"/>
                <w:sz w:val="28"/>
                <w:szCs w:val="28"/>
                <w:color w:val="282A32"/>
              </w:rPr>
              <w:t>1.4 - 1.6%</w:t>
            </w:r>
          </w:p>
        </w:tc>
      </w:tr>
      <w:tr>
        <w:trPr>
          <w:trHeight w:val="87"/>
        </w:trPr>
        <w:tc>
          <w:tcPr>
            <w:tcW w:w="1860" w:type="dxa"/>
            <w:vAlign w:val="bottom"/>
            <w:tcBorders>
              <w:bottom w:val="single" w:sz="8" w:color="466EA5"/>
            </w:tcBorders>
          </w:tcPr>
          <w:p>
            <w:pPr>
              <w:spacing w:after="0"/>
              <w:rPr>
                <w:sz w:val="7"/>
                <w:szCs w:val="7"/>
                <w:color w:val="auto"/>
              </w:rPr>
            </w:pPr>
          </w:p>
        </w:tc>
        <w:tc>
          <w:tcPr>
            <w:tcW w:w="2920" w:type="dxa"/>
            <w:vAlign w:val="bottom"/>
            <w:tcBorders>
              <w:bottom w:val="single" w:sz="8" w:color="466EA5"/>
              <w:right w:val="single" w:sz="8" w:color="466EA5"/>
            </w:tcBorders>
          </w:tcPr>
          <w:p>
            <w:pPr>
              <w:spacing w:after="0"/>
              <w:rPr>
                <w:sz w:val="7"/>
                <w:szCs w:val="7"/>
                <w:color w:val="auto"/>
              </w:rPr>
            </w:pPr>
          </w:p>
        </w:tc>
        <w:tc>
          <w:tcPr>
            <w:tcW w:w="5780" w:type="dxa"/>
            <w:vAlign w:val="bottom"/>
            <w:tcBorders>
              <w:bottom w:val="single" w:sz="8" w:color="466EA5"/>
            </w:tcBorders>
          </w:tcPr>
          <w:p>
            <w:pPr>
              <w:spacing w:after="0"/>
              <w:rPr>
                <w:sz w:val="7"/>
                <w:szCs w:val="7"/>
                <w:color w:val="auto"/>
              </w:rPr>
            </w:pPr>
          </w:p>
        </w:tc>
      </w:tr>
      <w:tr>
        <w:trPr>
          <w:trHeight w:val="381"/>
        </w:trPr>
        <w:tc>
          <w:tcPr>
            <w:tcW w:w="1860" w:type="dxa"/>
            <w:vAlign w:val="bottom"/>
          </w:tcPr>
          <w:p>
            <w:pPr>
              <w:ind w:left="100"/>
              <w:spacing w:after="0"/>
              <w:rPr>
                <w:sz w:val="20"/>
                <w:szCs w:val="20"/>
                <w:color w:val="auto"/>
              </w:rPr>
            </w:pPr>
            <w:r>
              <w:rPr>
                <w:rFonts w:ascii="Arial" w:cs="Arial" w:eastAsia="Arial" w:hAnsi="Arial"/>
                <w:sz w:val="31"/>
                <w:szCs w:val="31"/>
                <w:b w:val="1"/>
                <w:bCs w:val="1"/>
                <w:color w:val="282A32"/>
              </w:rPr>
              <w:t>Tax Rate</w:t>
            </w:r>
          </w:p>
        </w:tc>
        <w:tc>
          <w:tcPr>
            <w:tcW w:w="2920" w:type="dxa"/>
            <w:vAlign w:val="bottom"/>
            <w:tcBorders>
              <w:right w:val="single" w:sz="8" w:color="466EA5"/>
            </w:tcBorders>
          </w:tcPr>
          <w:p>
            <w:pPr>
              <w:spacing w:after="0"/>
              <w:rPr>
                <w:sz w:val="24"/>
                <w:szCs w:val="24"/>
                <w:color w:val="auto"/>
              </w:rPr>
            </w:pPr>
          </w:p>
        </w:tc>
        <w:tc>
          <w:tcPr>
            <w:tcW w:w="5780" w:type="dxa"/>
            <w:vAlign w:val="bottom"/>
          </w:tcPr>
          <w:p>
            <w:pPr>
              <w:ind w:left="220"/>
              <w:spacing w:after="0" w:line="380" w:lineRule="exact"/>
              <w:rPr>
                <w:sz w:val="20"/>
                <w:szCs w:val="20"/>
                <w:color w:val="auto"/>
              </w:rPr>
            </w:pPr>
            <w:r>
              <w:rPr>
                <w:rFonts w:ascii="Arial" w:cs="Arial" w:eastAsia="Arial" w:hAnsi="Arial"/>
                <w:sz w:val="44"/>
                <w:szCs w:val="44"/>
                <w:color w:val="282A32"/>
                <w:vertAlign w:val="subscript"/>
              </w:rPr>
              <w:t>41%</w:t>
            </w:r>
            <w:r>
              <w:rPr>
                <w:rFonts w:ascii="Arial" w:cs="Arial" w:eastAsia="Arial" w:hAnsi="Arial"/>
                <w:sz w:val="18"/>
                <w:szCs w:val="18"/>
                <w:color w:val="282A32"/>
              </w:rPr>
              <w:t xml:space="preserve"> (36% excl. reclassification of France business tax</w:t>
            </w:r>
          </w:p>
        </w:tc>
      </w:tr>
      <w:tr>
        <w:trPr>
          <w:trHeight w:val="245"/>
        </w:trPr>
        <w:tc>
          <w:tcPr>
            <w:tcW w:w="1860" w:type="dxa"/>
            <w:vAlign w:val="bottom"/>
          </w:tcPr>
          <w:p>
            <w:pPr>
              <w:spacing w:after="0"/>
              <w:rPr>
                <w:sz w:val="21"/>
                <w:szCs w:val="21"/>
                <w:color w:val="auto"/>
              </w:rPr>
            </w:pPr>
          </w:p>
        </w:tc>
        <w:tc>
          <w:tcPr>
            <w:tcW w:w="2920" w:type="dxa"/>
            <w:vAlign w:val="bottom"/>
            <w:tcBorders>
              <w:right w:val="single" w:sz="8" w:color="466EA5"/>
            </w:tcBorders>
          </w:tcPr>
          <w:p>
            <w:pPr>
              <w:spacing w:after="0"/>
              <w:rPr>
                <w:sz w:val="21"/>
                <w:szCs w:val="21"/>
                <w:color w:val="auto"/>
              </w:rPr>
            </w:pPr>
          </w:p>
        </w:tc>
        <w:tc>
          <w:tcPr>
            <w:tcW w:w="5780" w:type="dxa"/>
            <w:vAlign w:val="bottom"/>
          </w:tcPr>
          <w:p>
            <w:pPr>
              <w:ind w:left="920"/>
              <w:spacing w:after="0"/>
              <w:rPr>
                <w:sz w:val="20"/>
                <w:szCs w:val="20"/>
                <w:color w:val="auto"/>
              </w:rPr>
            </w:pPr>
            <w:r>
              <w:rPr>
                <w:rFonts w:ascii="Arial" w:cs="Arial" w:eastAsia="Arial" w:hAnsi="Arial"/>
                <w:sz w:val="20"/>
                <w:szCs w:val="20"/>
                <w:color w:val="282A32"/>
              </w:rPr>
              <w:t>and 2012 WOTC credit)</w:t>
            </w:r>
          </w:p>
        </w:tc>
      </w:tr>
      <w:tr>
        <w:trPr>
          <w:trHeight w:val="38"/>
        </w:trPr>
        <w:tc>
          <w:tcPr>
            <w:tcW w:w="4780" w:type="dxa"/>
            <w:vAlign w:val="bottom"/>
            <w:tcBorders>
              <w:bottom w:val="single" w:sz="8" w:color="466EA5"/>
              <w:right w:val="single" w:sz="8" w:color="466EA5"/>
            </w:tcBorders>
            <w:gridSpan w:val="2"/>
          </w:tcPr>
          <w:p>
            <w:pPr>
              <w:spacing w:after="0"/>
              <w:rPr>
                <w:sz w:val="3"/>
                <w:szCs w:val="3"/>
                <w:color w:val="auto"/>
              </w:rPr>
            </w:pPr>
          </w:p>
        </w:tc>
        <w:tc>
          <w:tcPr>
            <w:tcW w:w="5780" w:type="dxa"/>
            <w:vAlign w:val="bottom"/>
            <w:tcBorders>
              <w:bottom w:val="single" w:sz="8" w:color="466EA5"/>
            </w:tcBorders>
          </w:tcPr>
          <w:p>
            <w:pPr>
              <w:spacing w:after="0"/>
              <w:rPr>
                <w:sz w:val="3"/>
                <w:szCs w:val="3"/>
                <w:color w:val="auto"/>
              </w:rPr>
            </w:pPr>
          </w:p>
        </w:tc>
      </w:tr>
      <w:tr>
        <w:trPr>
          <w:trHeight w:val="460"/>
        </w:trPr>
        <w:tc>
          <w:tcPr>
            <w:tcW w:w="4780" w:type="dxa"/>
            <w:vAlign w:val="bottom"/>
            <w:tcBorders>
              <w:right w:val="single" w:sz="8" w:color="466EA5"/>
            </w:tcBorders>
            <w:gridSpan w:val="2"/>
          </w:tcPr>
          <w:p>
            <w:pPr>
              <w:ind w:left="100"/>
              <w:spacing w:after="0"/>
              <w:rPr>
                <w:sz w:val="20"/>
                <w:szCs w:val="20"/>
                <w:color w:val="auto"/>
              </w:rPr>
            </w:pPr>
            <w:r>
              <w:rPr>
                <w:rFonts w:ascii="Arial" w:cs="Arial" w:eastAsia="Arial" w:hAnsi="Arial"/>
                <w:sz w:val="31"/>
                <w:szCs w:val="31"/>
                <w:b w:val="1"/>
                <w:bCs w:val="1"/>
                <w:color w:val="282A32"/>
              </w:rPr>
              <w:t xml:space="preserve">EPS </w:t>
            </w:r>
            <w:r>
              <w:rPr>
                <w:rFonts w:ascii="Arial" w:cs="Arial" w:eastAsia="Arial" w:hAnsi="Arial"/>
                <w:sz w:val="22"/>
                <w:szCs w:val="22"/>
                <w:color w:val="282A32"/>
              </w:rPr>
              <w:t>(before reorganization charges)</w:t>
            </w:r>
          </w:p>
        </w:tc>
        <w:tc>
          <w:tcPr>
            <w:tcW w:w="5780" w:type="dxa"/>
            <w:vAlign w:val="bottom"/>
          </w:tcPr>
          <w:p>
            <w:pPr>
              <w:ind w:left="220"/>
              <w:spacing w:after="0"/>
              <w:rPr>
                <w:sz w:val="20"/>
                <w:szCs w:val="20"/>
                <w:color w:val="auto"/>
              </w:rPr>
            </w:pPr>
            <w:r>
              <w:rPr>
                <w:rFonts w:ascii="Arial" w:cs="Arial" w:eastAsia="Arial" w:hAnsi="Arial"/>
                <w:sz w:val="28"/>
                <w:szCs w:val="28"/>
                <w:color w:val="282A32"/>
              </w:rPr>
              <w:t xml:space="preserve">$0.40 - $0.48 </w:t>
            </w:r>
            <w:r>
              <w:rPr>
                <w:rFonts w:ascii="Arial" w:cs="Arial" w:eastAsia="Arial" w:hAnsi="Arial"/>
                <w:sz w:val="22"/>
                <w:szCs w:val="22"/>
                <w:color w:val="282A32"/>
              </w:rPr>
              <w:t>(no currency impact)</w:t>
            </w:r>
          </w:p>
        </w:tc>
      </w:tr>
      <w:tr>
        <w:trPr>
          <w:trHeight w:val="87"/>
        </w:trPr>
        <w:tc>
          <w:tcPr>
            <w:tcW w:w="1860" w:type="dxa"/>
            <w:vAlign w:val="bottom"/>
            <w:tcBorders>
              <w:bottom w:val="single" w:sz="8" w:color="466EA5"/>
            </w:tcBorders>
          </w:tcPr>
          <w:p>
            <w:pPr>
              <w:spacing w:after="0"/>
              <w:rPr>
                <w:sz w:val="7"/>
                <w:szCs w:val="7"/>
                <w:color w:val="auto"/>
              </w:rPr>
            </w:pPr>
          </w:p>
        </w:tc>
        <w:tc>
          <w:tcPr>
            <w:tcW w:w="2920" w:type="dxa"/>
            <w:vAlign w:val="bottom"/>
            <w:tcBorders>
              <w:bottom w:val="single" w:sz="8" w:color="466EA5"/>
              <w:right w:val="single" w:sz="8" w:color="466EA5"/>
            </w:tcBorders>
          </w:tcPr>
          <w:p>
            <w:pPr>
              <w:spacing w:after="0"/>
              <w:rPr>
                <w:sz w:val="7"/>
                <w:szCs w:val="7"/>
                <w:color w:val="auto"/>
              </w:rPr>
            </w:pPr>
          </w:p>
        </w:tc>
        <w:tc>
          <w:tcPr>
            <w:tcW w:w="5780" w:type="dxa"/>
            <w:vAlign w:val="bottom"/>
            <w:tcBorders>
              <w:bottom w:val="single" w:sz="8" w:color="466EA5"/>
            </w:tcBorders>
          </w:tcPr>
          <w:p>
            <w:pPr>
              <w:spacing w:after="0"/>
              <w:rPr>
                <w:sz w:val="7"/>
                <w:szCs w:val="7"/>
                <w:color w:val="auto"/>
              </w:rPr>
            </w:pPr>
          </w:p>
        </w:tc>
      </w:tr>
    </w:tbl>
    <w:p>
      <w:pPr>
        <w:spacing w:after="0" w:line="91" w:lineRule="exact"/>
        <w:rPr>
          <w:sz w:val="20"/>
          <w:szCs w:val="20"/>
          <w:color w:val="auto"/>
        </w:rPr>
      </w:pPr>
    </w:p>
    <w:p>
      <w:pPr>
        <w:ind w:left="10260"/>
        <w:spacing w:after="0"/>
        <w:rPr>
          <w:sz w:val="20"/>
          <w:szCs w:val="20"/>
          <w:color w:val="auto"/>
        </w:rPr>
      </w:pPr>
      <w:r>
        <w:rPr>
          <w:rFonts w:ascii="Arial" w:cs="Arial" w:eastAsia="Arial" w:hAnsi="Arial"/>
          <w:sz w:val="17"/>
          <w:szCs w:val="17"/>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459740</wp:posOffset>
            </wp:positionV>
            <wp:extent cx="726884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560"/>
          </w:cols>
          <w:pgMar w:left="740" w:top="514" w:right="599" w:bottom="1440" w:gutter="0" w:footer="0" w:header="0"/>
        </w:sectPr>
      </w:pPr>
    </w:p>
    <w:bookmarkStart w:id="32" w:name="page33"/>
    <w:bookmarkEnd w:id="32"/>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43" w:lineRule="exact"/>
        <w:rPr>
          <w:sz w:val="20"/>
          <w:szCs w:val="20"/>
          <w:color w:val="auto"/>
        </w:rPr>
      </w:pPr>
    </w:p>
    <w:p>
      <w:pPr>
        <w:spacing w:after="0"/>
        <w:rPr>
          <w:sz w:val="20"/>
          <w:szCs w:val="20"/>
          <w:color w:val="auto"/>
        </w:rPr>
      </w:pPr>
      <w:r>
        <w:rPr>
          <w:rFonts w:ascii="Arial" w:cs="Arial" w:eastAsia="Arial" w:hAnsi="Arial"/>
          <w:sz w:val="47"/>
          <w:szCs w:val="47"/>
          <w:color w:val="5F81AA"/>
        </w:rPr>
        <w:t>Strategic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459740</wp:posOffset>
            </wp:positionV>
            <wp:extent cx="726884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40"/>
          </w:cols>
          <w:pgMar w:left="860" w:top="514" w:right="699" w:bottom="1440" w:gutter="0" w:footer="0" w:header="0"/>
        </w:sectPr>
      </w:pPr>
    </w:p>
    <w:bookmarkStart w:id="33" w:name="page34"/>
    <w:bookmarkEnd w:id="33"/>
    <w:p>
      <w:pPr>
        <w:spacing w:after="0"/>
        <w:tabs>
          <w:tab w:leader="none" w:pos="85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186055</wp:posOffset>
            </wp:positionH>
            <wp:positionV relativeFrom="page">
              <wp:posOffset>171450</wp:posOffset>
            </wp:positionV>
            <wp:extent cx="7196455" cy="539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5397500"/>
                    </a:xfrm>
                    <a:prstGeom prst="rect">
                      <a:avLst/>
                    </a:prstGeom>
                    <a:noFill/>
                  </pic:spPr>
                </pic:pic>
              </a:graphicData>
            </a:graphic>
          </wp:anchor>
        </w:drawing>
        <w:t>ManpowerGroup 2012 4</w:t>
      </w:r>
      <w:r>
        <w:rPr>
          <w:rFonts w:ascii="Arial" w:cs="Arial" w:eastAsia="Arial" w:hAnsi="Arial"/>
          <w:sz w:val="17"/>
          <w:szCs w:val="17"/>
          <w:color w:val="466EA5"/>
        </w:rPr>
        <w:t>th</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January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76"/>
          <w:szCs w:val="76"/>
          <w:color w:val="6390C6"/>
        </w:rPr>
        <w:t>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482600</wp:posOffset>
            </wp:positionV>
            <wp:extent cx="726884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320"/>
          </w:cols>
          <w:pgMar w:left="860" w:top="514" w:right="71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2019-12-06T04:52:31Z</dcterms:created>
  <dcterms:modified xsi:type="dcterms:W3CDTF">2019-12-06T04:52:31Z</dcterms:modified>
</cp:coreProperties>
</file>