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March 31, 2010</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32"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180" w:space="720"/>
            <w:col w:w="4520"/>
          </w:cols>
          <w:pgMar w:left="240" w:top="449" w:right="239" w:bottom="1440" w:gutter="0" w:footer="0" w:header="0"/>
          <w:type w:val="continuous"/>
        </w:sectPr>
      </w:pPr>
    </w:p>
    <w:p>
      <w:pPr>
        <w:spacing w:after="0" w:line="18"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180" w:space="720"/>
            <w:col w:w="4520"/>
          </w:cols>
          <w:pgMar w:left="240" w:top="449"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1"/>
              </w:rPr>
              <w:t>Large accelerated file</w:t>
            </w:r>
          </w:p>
        </w:tc>
        <w:tc>
          <w:tcPr>
            <w:tcW w:w="2840" w:type="dxa"/>
            <w:vAlign w:val="bottom"/>
          </w:tcPr>
          <w:p>
            <w:pPr>
              <w:jc w:val="center"/>
              <w:ind w:right="2550"/>
              <w:spacing w:after="0"/>
              <w:rPr>
                <w:sz w:val="20"/>
                <w:szCs w:val="20"/>
                <w:color w:val="auto"/>
              </w:rPr>
            </w:pPr>
            <w:r>
              <w:rPr>
                <w:rFonts w:ascii="Arial" w:cs="Arial" w:eastAsia="Arial" w:hAnsi="Arial"/>
                <w:sz w:val="18"/>
                <w:szCs w:val="18"/>
                <w:color w:val="auto"/>
                <w:w w:val="88"/>
              </w:rPr>
              <w:t>x</w:t>
            </w:r>
          </w:p>
        </w:tc>
        <w:tc>
          <w:tcPr>
            <w:tcW w:w="33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2840" w:type="dxa"/>
            <w:vAlign w:val="bottom"/>
          </w:tcPr>
          <w:p>
            <w:pPr>
              <w:jc w:val="center"/>
              <w:ind w:right="2550"/>
              <w:spacing w:after="0" w:line="181" w:lineRule="exact"/>
              <w:rPr>
                <w:sz w:val="20"/>
                <w:szCs w:val="20"/>
                <w:color w:val="auto"/>
              </w:rPr>
            </w:pPr>
            <w:r>
              <w:rPr>
                <w:rFonts w:ascii="MS PGothic" w:cs="MS PGothic" w:eastAsia="MS PGothic" w:hAnsi="MS PGothic"/>
                <w:sz w:val="18"/>
                <w:szCs w:val="18"/>
                <w:color w:val="auto"/>
                <w:w w:val="88"/>
              </w:rPr>
              <w:t>☐</w:t>
            </w:r>
          </w:p>
        </w:tc>
        <w:tc>
          <w:tcPr>
            <w:tcW w:w="3320" w:type="dxa"/>
            <w:vAlign w:val="bottom"/>
          </w:tcPr>
          <w:p>
            <w:pPr>
              <w:ind w:left="110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320" w:type="dxa"/>
            <w:vAlign w:val="bottom"/>
          </w:tcPr>
          <w:p>
            <w:pPr>
              <w:spacing w:after="0"/>
              <w:rPr>
                <w:sz w:val="20"/>
                <w:szCs w:val="20"/>
                <w:color w:val="auto"/>
              </w:rPr>
            </w:pPr>
          </w:p>
        </w:tc>
      </w:tr>
    </w:tbl>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vMerge w:val="restart"/>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c>
          <w:tcPr>
            <w:tcW w:w="0" w:type="dxa"/>
            <w:vAlign w:val="bottom"/>
          </w:tcPr>
          <w:p>
            <w:pPr>
              <w:spacing w:after="0"/>
              <w:rPr>
                <w:sz w:val="1"/>
                <w:szCs w:val="1"/>
                <w:color w:val="auto"/>
              </w:rPr>
            </w:pPr>
          </w:p>
        </w:tc>
      </w:tr>
      <w:tr>
        <w:trPr>
          <w:trHeight w:val="198"/>
        </w:trPr>
        <w:tc>
          <w:tcPr>
            <w:tcW w:w="158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at April 27, 2010</w:t>
            </w:r>
          </w:p>
        </w:tc>
        <w:tc>
          <w:tcPr>
            <w:tcW w:w="0" w:type="dxa"/>
            <w:vAlign w:val="bottom"/>
          </w:tcPr>
          <w:p>
            <w:pPr>
              <w:spacing w:after="0"/>
              <w:rPr>
                <w:sz w:val="1"/>
                <w:szCs w:val="1"/>
                <w:color w:val="auto"/>
              </w:rPr>
            </w:pPr>
          </w:p>
        </w:tc>
      </w:tr>
      <w:tr>
        <w:trPr>
          <w:trHeight w:val="230"/>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Common Stock, $.01</w:t>
            </w:r>
          </w:p>
        </w:tc>
        <w:tc>
          <w:tcPr>
            <w:tcW w:w="6820" w:type="dxa"/>
            <w:vAlign w:val="bottom"/>
          </w:tcPr>
          <w:p>
            <w:pPr>
              <w:spacing w:after="0"/>
              <w:rPr>
                <w:sz w:val="20"/>
                <w:szCs w:val="20"/>
                <w:color w:val="auto"/>
              </w:rPr>
            </w:pPr>
            <w:r>
              <w:rPr>
                <w:rFonts w:ascii="Arial" w:cs="Arial" w:eastAsia="Arial" w:hAnsi="Arial"/>
                <w:sz w:val="18"/>
                <w:szCs w:val="18"/>
                <w:color w:val="auto"/>
              </w:rPr>
              <w:t>par value</w:t>
            </w:r>
          </w:p>
        </w:tc>
        <w:tc>
          <w:tcPr>
            <w:tcW w:w="5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0"/>
              </w:rPr>
              <w:t>81,874,785</w:t>
            </w:r>
          </w:p>
        </w:tc>
        <w:tc>
          <w:tcPr>
            <w:tcW w:w="0" w:type="dxa"/>
            <w:vAlign w:val="bottom"/>
          </w:tcPr>
          <w:p>
            <w:pPr>
              <w:spacing w:after="0"/>
              <w:rPr>
                <w:sz w:val="1"/>
                <w:szCs w:val="1"/>
                <w:color w:val="auto"/>
              </w:rPr>
            </w:pPr>
          </w:p>
        </w:tc>
      </w:tr>
      <w:tr>
        <w:trPr>
          <w:trHeight w:val="860"/>
        </w:trPr>
        <w:tc>
          <w:tcPr>
            <w:tcW w:w="1580" w:type="dxa"/>
            <w:vAlign w:val="bottom"/>
            <w:tcBorders>
              <w:bottom w:val="single" w:sz="8" w:color="808080"/>
            </w:tcBorders>
          </w:tcPr>
          <w:p>
            <w:pPr>
              <w:spacing w:after="0"/>
              <w:rPr>
                <w:sz w:val="24"/>
                <w:szCs w:val="24"/>
                <w:color w:val="auto"/>
              </w:rPr>
            </w:pPr>
          </w:p>
        </w:tc>
        <w:tc>
          <w:tcPr>
            <w:tcW w:w="6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MANPOWER INC. AND SUBSIDIARIES</w:t>
            </w:r>
          </w:p>
        </w:tc>
        <w:tc>
          <w:tcPr>
            <w:tcW w:w="2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74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gridSpan w:val="2"/>
          </w:tcPr>
          <w:p>
            <w:pPr>
              <w:ind w:left="2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FINANCIAL INFORMATION</w:t>
            </w: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tIItem 1</w:t>
            </w: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Balance Sheets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Consolidated Statements of Operations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60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Item 3</w:t>
            </w: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Controls and Procedures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OTHER INFORMATION</w:t>
            </w: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Submission of Matters to a Vote of Security 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Item 5</w:t>
            </w: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2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EXHIBIT INDEX</w:t>
            </w:r>
          </w:p>
        </w:tc>
        <w:tc>
          <w:tcPr>
            <w:tcW w:w="2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40" w:type="dxa"/>
            <w:vAlign w:val="bottom"/>
            <w:gridSpan w:val="2"/>
          </w:tcPr>
          <w:p>
            <w:pPr>
              <w:jc w:val="center"/>
              <w:ind w:left="2250"/>
              <w:spacing w:after="0"/>
              <w:rPr>
                <w:sz w:val="20"/>
                <w:szCs w:val="20"/>
                <w:color w:val="auto"/>
              </w:rPr>
            </w:pPr>
            <w:r>
              <w:rPr>
                <w:rFonts w:ascii="Arial" w:cs="Arial" w:eastAsia="Arial" w:hAnsi="Arial"/>
                <w:sz w:val="18"/>
                <w:szCs w:val="18"/>
                <w:color w:val="auto"/>
                <w:w w:val="99"/>
              </w:rPr>
              <w:t>2</w:t>
            </w:r>
          </w:p>
        </w:tc>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7304405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140" w:top="95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460" w:type="dxa"/>
            <w:vAlign w:val="bottom"/>
            <w:gridSpan w:val="5"/>
          </w:tcPr>
          <w:p>
            <w:pPr>
              <w:ind w:left="100"/>
              <w:spacing w:after="0"/>
              <w:rPr>
                <w:sz w:val="20"/>
                <w:szCs w:val="20"/>
                <w:color w:val="auto"/>
              </w:rPr>
            </w:pPr>
            <w:r>
              <w:rPr>
                <w:rFonts w:ascii="Arial" w:cs="Arial" w:eastAsia="Arial" w:hAnsi="Arial"/>
                <w:sz w:val="18"/>
                <w:szCs w:val="18"/>
                <w:color w:val="auto"/>
              </w:rPr>
              <w:t>Item 1 – Financial Statements (unaudited)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00" w:type="dxa"/>
            <w:vAlign w:val="bottom"/>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5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MANPOWER INC. AND SUBSIDIARIES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c</w:t>
            </w:r>
          </w:p>
        </w:tc>
        <w:tc>
          <w:tcPr>
            <w:tcW w:w="83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943.8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8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Accounts receivable, less allowance for doubtful accounts of $112.0 and $118.3, respectively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4,332.4</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tcPr>
          <w:p>
            <w:pPr>
              <w:ind w:left="20"/>
              <w:spacing w:after="0"/>
              <w:rPr>
                <w:sz w:val="20"/>
                <w:szCs w:val="20"/>
                <w:color w:val="auto"/>
              </w:rPr>
            </w:pPr>
            <w:r>
              <w:rPr>
                <w:rFonts w:ascii="Arial" w:cs="Arial" w:eastAsia="Arial" w:hAnsi="Arial"/>
                <w:sz w:val="18"/>
                <w:szCs w:val="18"/>
                <w:color w:val="auto"/>
              </w:rPr>
              <w:t>Intangible assets, less accumulated amortization of $104.9 and $100.5, respectively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tcPr>
          <w:p>
            <w:pPr>
              <w:ind w:left="700"/>
              <w:spacing w:after="0"/>
              <w:rPr>
                <w:sz w:val="20"/>
                <w:szCs w:val="20"/>
                <w:color w:val="auto"/>
              </w:rPr>
            </w:pPr>
            <w:r>
              <w:rPr>
                <w:rFonts w:ascii="Arial" w:cs="Arial" w:eastAsia="Arial" w:hAnsi="Arial"/>
                <w:sz w:val="18"/>
                <w:szCs w:val="18"/>
                <w:color w:val="auto"/>
              </w:rPr>
              <w:t>Total other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3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360" w:type="dxa"/>
            <w:vAlign w:val="bottom"/>
            <w:gridSpan w:val="4"/>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6,115.0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689"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Accounts payable</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944.4</w:t>
            </w:r>
          </w:p>
        </w:tc>
      </w:tr>
      <w:tr>
        <w:trPr>
          <w:trHeight w:val="216"/>
        </w:trPr>
        <w:tc>
          <w:tcPr>
            <w:tcW w:w="10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r>
      <w:tr>
        <w:trPr>
          <w:trHeight w:val="216"/>
        </w:trPr>
        <w:tc>
          <w:tcPr>
            <w:tcW w:w="1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liabilities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465.9</w:t>
            </w:r>
          </w:p>
        </w:tc>
      </w:tr>
      <w:tr>
        <w:trPr>
          <w:trHeight w:val="216"/>
        </w:trPr>
        <w:tc>
          <w:tcPr>
            <w:tcW w:w="10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w:t>
            </w:r>
          </w:p>
        </w:tc>
      </w:tr>
      <w:tr>
        <w:trPr>
          <w:trHeight w:val="216"/>
        </w:trPr>
        <w:tc>
          <w:tcPr>
            <w:tcW w:w="1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r>
      <w:tr>
        <w:trPr>
          <w:trHeight w:val="223"/>
        </w:trPr>
        <w:tc>
          <w:tcPr>
            <w:tcW w:w="10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2"/>
              </w:rPr>
              <w:t>T</w:t>
            </w:r>
          </w:p>
        </w:tc>
        <w:tc>
          <w:tcPr>
            <w:tcW w:w="64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2,603.0</w:t>
            </w:r>
          </w:p>
        </w:tc>
      </w:tr>
      <w:tr>
        <w:trPr>
          <w:trHeight w:val="216"/>
        </w:trPr>
        <w:tc>
          <w:tcPr>
            <w:tcW w:w="10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3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LIABILITIES: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715.6</w:t>
            </w: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9"/>
                <w:szCs w:val="19"/>
                <w:color w:val="auto"/>
              </w:rPr>
            </w:pPr>
          </w:p>
        </w:tc>
      </w:tr>
      <w:tr>
        <w:trPr>
          <w:trHeight w:val="216"/>
        </w:trPr>
        <w:tc>
          <w:tcPr>
            <w:tcW w:w="80" w:type="dxa"/>
            <w:vAlign w:val="bottom"/>
          </w:tcPr>
          <w:p>
            <w:pPr>
              <w:spacing w:after="0"/>
              <w:rPr>
                <w:sz w:val="20"/>
                <w:szCs w:val="20"/>
                <w:color w:val="auto"/>
              </w:rPr>
            </w:pPr>
            <w:r>
              <w:rPr>
                <w:rFonts w:ascii="Arial" w:cs="Arial" w:eastAsia="Arial" w:hAnsi="Arial"/>
                <w:sz w:val="13"/>
                <w:szCs w:val="13"/>
                <w:color w:val="auto"/>
                <w:w w:val="74"/>
              </w:rPr>
              <w:t>T</w:t>
            </w:r>
          </w:p>
        </w:tc>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1,074.3</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20"/>
                <w:szCs w:val="20"/>
                <w:color w:val="auto"/>
              </w:rPr>
            </w:pPr>
            <w:r>
              <w:rPr>
                <w:rFonts w:ascii="Arial" w:cs="Arial" w:eastAsia="Arial" w:hAnsi="Arial"/>
                <w:sz w:val="15"/>
                <w:szCs w:val="15"/>
                <w:color w:val="auto"/>
                <w:w w:val="73"/>
              </w:rPr>
              <w:t>C</w:t>
            </w:r>
          </w:p>
        </w:tc>
        <w:tc>
          <w:tcPr>
            <w:tcW w:w="8060" w:type="dxa"/>
            <w:vAlign w:val="bottom"/>
          </w:tcPr>
          <w:p>
            <w:pPr>
              <w:spacing w:after="0"/>
              <w:rPr>
                <w:sz w:val="20"/>
                <w:szCs w:val="20"/>
                <w:color w:val="auto"/>
              </w:rPr>
            </w:pPr>
            <w:r>
              <w:rPr>
                <w:rFonts w:ascii="Arial" w:cs="Arial" w:eastAsia="Arial" w:hAnsi="Arial"/>
                <w:sz w:val="18"/>
                <w:szCs w:val="18"/>
                <w:color w:val="auto"/>
              </w:rPr>
              <w:t>rPreferred stock, $.01 par value, authorized 25,000,000 shares, none issued</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0" w:type="dxa"/>
            <w:vAlign w:val="bottom"/>
            <w:vMerge w:val="continue"/>
          </w:tcPr>
          <w:p>
            <w:pPr>
              <w:spacing w:after="0"/>
              <w:rPr>
                <w:sz w:val="17"/>
                <w:szCs w:val="17"/>
                <w:color w:val="auto"/>
              </w:rPr>
            </w:pPr>
          </w:p>
        </w:tc>
        <w:tc>
          <w:tcPr>
            <w:tcW w:w="80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$.01 par value, authorized 125,000,000 shares, issued 104,642,562 and 104,397,965 shares,</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2,544.2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TrTreasury stock at cost, 25,836,989 and 25,821,405 shares, respectively</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(1,226.2)</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806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2,486.6</w:t>
            </w:r>
          </w:p>
        </w:tc>
        <w:tc>
          <w:tcPr>
            <w:tcW w:w="22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r>
              <w:rPr>
                <w:rFonts w:ascii="Arial" w:cs="Arial" w:eastAsia="Arial" w:hAnsi="Arial"/>
                <w:sz w:val="18"/>
                <w:szCs w:val="18"/>
                <w:color w:val="auto"/>
                <w:w w:val="72"/>
              </w:rPr>
              <w:t>T</w:t>
            </w: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6,115.0</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140" w:top="97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of services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Gross profit</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profit</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Earnings (loss) before income taxes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earnings (loss)</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earnings (loss) per share – basic</w:t>
            </w:r>
          </w:p>
        </w:tc>
        <w:tc>
          <w:tcPr>
            <w:tcW w:w="3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2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rPr>
              <w:t>MANPOWER INC. AND SUBSIDIARIES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w w:val="91"/>
              </w:rPr>
              <w:t>(in millions)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vMerge w:val="restart"/>
          </w:tcPr>
          <w:p>
            <w:pPr>
              <w:jc w:val="right"/>
              <w:ind w:right="72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Net earnings (loss)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8"/>
                <w:szCs w:val="18"/>
                <w:color w:val="auto"/>
              </w:rPr>
              <w:t>Provision for doubtful accounts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8"/>
                <w:szCs w:val="18"/>
                <w:color w:val="auto"/>
              </w:rPr>
              <w:t>Excess tax benefit on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26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Acquisitions of businesses, net of cash acquired</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Proceeds from the sale of property and equipment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0"/>
              <w:spacing w:after="0"/>
              <w:rPr>
                <w:sz w:val="20"/>
                <w:szCs w:val="20"/>
                <w:color w:val="auto"/>
              </w:rPr>
            </w:pPr>
            <w:r>
              <w:rPr>
                <w:rFonts w:ascii="Arial" w:cs="Arial" w:eastAsia="Arial" w:hAnsi="Arial"/>
                <w:sz w:val="18"/>
                <w:szCs w:val="18"/>
                <w:color w:val="auto"/>
              </w:rPr>
              <w:t>Net change short-term borrowings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long-term debt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Repayments of long-term debt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share-based awards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40"/>
              <w:spacing w:after="0"/>
              <w:rPr>
                <w:sz w:val="20"/>
                <w:szCs w:val="20"/>
                <w:color w:val="auto"/>
              </w:rPr>
            </w:pPr>
            <w:r>
              <w:rPr>
                <w:rFonts w:ascii="Arial" w:cs="Arial" w:eastAsia="Arial" w:hAnsi="Arial"/>
                <w:sz w:val="18"/>
                <w:szCs w:val="18"/>
                <w:color w:val="auto"/>
              </w:rPr>
              <w:t>Excess tax benefit on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660"/>
              <w:spacing w:after="0"/>
              <w:rPr>
                <w:sz w:val="20"/>
                <w:szCs w:val="20"/>
                <w:color w:val="auto"/>
              </w:rPr>
            </w:pPr>
            <w:r>
              <w:rPr>
                <w:rFonts w:ascii="Arial" w:cs="Arial" w:eastAsia="Arial" w:hAnsi="Arial"/>
                <w:sz w:val="18"/>
                <w:szCs w:val="18"/>
                <w:color w:val="auto"/>
              </w:rPr>
              <w:t>Interest paid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paid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2009 Annual Report to Shareholders.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the fourth quarter of 2009, we determined that one of our subsidiaries within the Other EMEA segment prematurely recognized revenues related to a workforce solutions contract. These revenues were recorded on a cash-basis rather than being deferred and recognized over the performance period. Accordingly, we have restated our accompanying Consolidated Statement of Operations for the three months ended March 31, 2009 to defer certain amounts of revenue to future periods, net of income taxes. This restatement had no impact on cash flows under the contract and only affects the timing of when revenues are earned. The total revenues under this contract are expected to remain unchanged.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this restatement for the three months ended March 31, 2009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As previously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restated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60"/>
              <w:spacing w:after="0"/>
              <w:rPr>
                <w:sz w:val="20"/>
                <w:szCs w:val="20"/>
                <w:color w:val="auto"/>
              </w:rPr>
            </w:pPr>
            <w:r>
              <w:rPr>
                <w:rFonts w:ascii="Arial" w:cs="Arial" w:eastAsia="Arial" w:hAnsi="Arial"/>
                <w:sz w:val="18"/>
                <w:szCs w:val="18"/>
                <w:color w:val="auto"/>
              </w:rPr>
              <w:t>Cost of services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60"/>
              <w:spacing w:after="0"/>
              <w:rPr>
                <w:sz w:val="20"/>
                <w:szCs w:val="20"/>
                <w:color w:val="auto"/>
              </w:rPr>
            </w:pPr>
            <w:r>
              <w:rPr>
                <w:rFonts w:ascii="Arial" w:cs="Arial" w:eastAsia="Arial" w:hAnsi="Arial"/>
                <w:sz w:val="18"/>
                <w:szCs w:val="18"/>
                <w:color w:val="auto"/>
              </w:rPr>
              <w:t>Selling and administrative expenses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60"/>
              <w:spacing w:after="0"/>
              <w:rPr>
                <w:sz w:val="20"/>
                <w:szCs w:val="20"/>
                <w:color w:val="auto"/>
              </w:rPr>
            </w:pPr>
            <w:r>
              <w:rPr>
                <w:rFonts w:ascii="Arial" w:cs="Arial" w:eastAsia="Arial" w:hAnsi="Arial"/>
                <w:sz w:val="18"/>
                <w:szCs w:val="18"/>
                <w:color w:val="auto"/>
              </w:rPr>
              <w:t>Interest and other expense</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60"/>
              <w:spacing w:after="0"/>
              <w:rPr>
                <w:sz w:val="20"/>
                <w:szCs w:val="20"/>
                <w:color w:val="auto"/>
              </w:rPr>
            </w:pPr>
            <w:r>
              <w:rPr>
                <w:rFonts w:ascii="Arial" w:cs="Arial" w:eastAsia="Arial" w:hAnsi="Arial"/>
                <w:sz w:val="18"/>
                <w:szCs w:val="18"/>
                <w:color w:val="auto"/>
              </w:rPr>
              <w:t>Provision for income taxes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earnings (loss) per share - basic</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jc w:val="right"/>
              <w:ind w:right="1590"/>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7" w:name="page8"/>
    <w:bookmarkEnd w:id="7"/>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February 2010, the Financial Accounting Standards Board (“FASB”) issued new guidance on subsequent events. Under the new guidance, a public company is no longer required to disclose the date through which subsequent events have been evaluated. We adopted the guidance effective for the first quarter of 2010.</w:t>
      </w:r>
    </w:p>
    <w:p>
      <w:pPr>
        <w:spacing w:after="0" w:line="20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June 2009, the FASB issued new accounting guidance on consolidation of variable interest entities. The new guidance amends the process for identifying the primary beneficiary in variable interest entities and requires ongoing assessments for purposes of identifying the primary beneficiary. We adopted the guidance effective January 1, 2010. There was no impact of this adoption on our Consolidated Financial Statements.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new guidance will be effective prospectively for our multiple-deliverable revenue arrangements entered into or materially modified in 2011. We are currently assessing the impact of the adoption of this guidance.</w:t>
      </w:r>
    </w:p>
    <w:p>
      <w:pPr>
        <w:spacing w:after="0" w:line="200" w:lineRule="exact"/>
        <w:rPr>
          <w:sz w:val="20"/>
          <w:szCs w:val="20"/>
          <w:color w:val="auto"/>
        </w:rPr>
      </w:pPr>
    </w:p>
    <w:p>
      <w:pPr>
        <w:spacing w:after="0" w:line="24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During the three months ended March 31, 2010 and 2009, we recognized share-based compensation expense of approximately $5.5 and $4.1, respectively. The expense relates to grants of stock options, deferred stock, and restricted stock and performance share units. Consideration received from stock-based awards was $5.9 and $6.8 for the three months ended March 31, 2010 and 2009, respectively. We recognize share-based compensation expense related to grants of share-based awards in Selling and Administrative Expenses on a straight-line basis over the service period of each award.</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annual grant of share-based compensation generally takes place during the first quarter of each fiscal year. The number of shares underlying grants to all employees and the weighted-average fair value per share during the first quarter of 2010 and 2009 are presented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3"/>
              </w:rPr>
              <w:t>3 Months Ended March 31,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2010</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Wtd.-Avg. Per</w:t>
            </w:r>
          </w:p>
        </w:tc>
        <w:tc>
          <w:tcPr>
            <w:tcW w:w="200" w:type="dxa"/>
            <w:vAlign w:val="bottom"/>
          </w:tcPr>
          <w:p>
            <w:pPr>
              <w:spacing w:after="0"/>
              <w:rPr>
                <w:sz w:val="17"/>
                <w:szCs w:val="17"/>
                <w:color w:val="auto"/>
              </w:rPr>
            </w:pPr>
          </w:p>
        </w:tc>
        <w:tc>
          <w:tcPr>
            <w:tcW w:w="124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Wtd.-Avg. Per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Deferred Stock Units</w:t>
            </w:r>
          </w:p>
        </w:tc>
        <w:tc>
          <w:tcPr>
            <w:tcW w:w="344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33.81</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3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2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Shares Granted</w:t>
            </w:r>
          </w:p>
        </w:tc>
        <w:tc>
          <w:tcPr>
            <w:tcW w:w="2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r>
      <w:tr>
        <w:trPr>
          <w:trHeight w:val="817"/>
        </w:trPr>
        <w:tc>
          <w:tcPr>
            <w:tcW w:w="20" w:type="dxa"/>
            <w:vAlign w:val="bottom"/>
          </w:tcPr>
          <w:p>
            <w:pPr>
              <w:spacing w:after="0"/>
              <w:rPr>
                <w:sz w:val="24"/>
                <w:szCs w:val="24"/>
                <w:color w:val="auto"/>
              </w:rPr>
            </w:pPr>
          </w:p>
        </w:tc>
        <w:tc>
          <w:tcPr>
            <w:tcW w:w="390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8</w:t>
            </w: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 and Reorganization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in the first quarter was $0.1 and $10.6 for 2010 and 2009, respectively. See Note 14 to the Consolidated Financial Statements for information regarding our acquisition of COMSYS IT Partners, Inc. (“COMSYS”) subsequent to March 31,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Costs</w:t>
      </w:r>
    </w:p>
    <w:p>
      <w:pPr>
        <w:spacing w:after="0" w:line="25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recorded reorganization costs of $1.3 in the first quarter of 2010 in Selling and Administrative Expenses, related to severances and office closures and consolidations in several countries. We also made payments of $7.9 out of this and prior-year reserves relating to reorganization costs. Since 2007, we have recorded reorganization costs totaling $80.4 (including $33.5, $37.2 and $8.4 recorded in 2009, 2008 and 2007, respectively). As of March 31, 2010, $65.8 has been paid out of these reserves. We expect a majority of the remaining $14.6 will be paid in 2010.</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Asia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Jefferson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color w:val="auto"/>
                <w:w w:val="86"/>
                <w:vertAlign w:val="superscript"/>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France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0"/>
              <w:spacing w:after="0" w:line="234" w:lineRule="exact"/>
              <w:rPr>
                <w:sz w:val="20"/>
                <w:szCs w:val="20"/>
                <w:color w:val="auto"/>
              </w:rPr>
            </w:pPr>
            <w:r>
              <w:rPr>
                <w:rFonts w:ascii="Arial" w:cs="Arial" w:eastAsia="Arial" w:hAnsi="Arial"/>
                <w:sz w:val="18"/>
                <w:szCs w:val="18"/>
                <w:b w:val="1"/>
                <w:bCs w:val="1"/>
                <w:color w:val="auto"/>
                <w:w w:val="93"/>
              </w:rPr>
              <w:t>EMEA</w:t>
            </w:r>
            <w:r>
              <w:rPr>
                <w:rFonts w:ascii="Arial" w:cs="Arial" w:eastAsia="Arial" w:hAnsi="Arial"/>
                <w:sz w:val="25"/>
                <w:szCs w:val="25"/>
                <w:color w:val="auto"/>
                <w:w w:val="93"/>
                <w:vertAlign w:val="superscript"/>
              </w:rPr>
              <w:t>(2)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Pacific</w:t>
            </w:r>
          </w:p>
        </w:tc>
        <w:tc>
          <w:tcPr>
            <w:tcW w:w="140" w:type="dxa"/>
            <w:vAlign w:val="bottom"/>
          </w:tcPr>
          <w:p>
            <w:pPr>
              <w:spacing w:after="0"/>
              <w:rPr>
                <w:sz w:val="20"/>
                <w:szCs w:val="20"/>
                <w:color w:val="auto"/>
              </w:rPr>
            </w:pP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rPr>
              <w:t>Management</w:t>
            </w: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Wells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Severance costs</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Office closure costs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( 2.7)</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March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8"/>
        <w:spacing w:after="0" w:line="258" w:lineRule="auto"/>
        <w:tabs>
          <w:tab w:leader="none" w:pos="3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Balance related to the United States was $1.2 as of December 31, 2009, of which $0.6 was paid during the first quarter of 2010, leaving a $0.6 liability as of March 31, 2010.</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balances related to Italy as of December 31, 2009 and March 31, 2010.</w:t>
      </w:r>
    </w:p>
    <w:p>
      <w:pPr>
        <w:spacing w:after="0" w:line="200" w:lineRule="exact"/>
        <w:rPr>
          <w:sz w:val="20"/>
          <w:szCs w:val="20"/>
          <w:color w:val="auto"/>
        </w:rPr>
      </w:pPr>
    </w:p>
    <w:p>
      <w:pPr>
        <w:spacing w:after="0" w:line="25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recorded an income tax expense, at an effective rate of 85.5%, for the three months ended March 31, 2010, as compared to an income tax benefit, at an effective rate of 83.0%, for the three months ended March 31, 2009. The 2010 rate was favorably impacted by a change in the overall mix of earnings, primarily an increase to non-U.S. income, but was unfavorably impacted by valuation allowances related to losses in certain non-U.S. entities. The 2010 rate was also unfavorably impacted by $13.7 related to a French Business Tax, which has been classified as a component of income tax beginning in January 2010, in accordance with the current accounting guidance on income taxes. Prior to January 2010, the French Business Tax had been presented as a non-income tax and included as a component of Cost of Services. The French government changed the business tax from an asset-based tax to an income-based tax, thereby requiring the classification of this tax as an income tax effective January 1, 2010.</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85.5% rate was higher than the U.S. Federal statutory rate of 35%, and we currently expect an annual effective tax rate of approximately 57%, due primarily to the impact of the mix of U.S. and non-U.S. earnings, valuation allowances, other permanent items and the French Business Tax. Excluding the impact of the French Business Tax, our tax rate was approximately 40%, lower than the previous year, due to a favorable impact from changes in the mix of U.S. and non-U.S. earnings.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ind w:right="60"/>
        <w:spacing w:after="0" w:line="302" w:lineRule="auto"/>
        <w:rPr>
          <w:sz w:val="20"/>
          <w:szCs w:val="20"/>
          <w:color w:val="auto"/>
        </w:rPr>
      </w:pPr>
      <w:r>
        <w:rPr>
          <w:rFonts w:ascii="Arial" w:cs="Arial" w:eastAsia="Arial" w:hAnsi="Arial"/>
          <w:sz w:val="16"/>
          <w:szCs w:val="16"/>
          <w:color w:val="auto"/>
        </w:rPr>
        <w:t>As of March 31, 2010, we had gross unrecognized tax benefits of $44.7 recorded in accordance with the current accounting guidance on uncertain tax positions. Our uncertain tax position accrual was related to various tax jurisdictions, including $2.9 of interest and penalties, and related tax benefits of $13.4. As of December 31, 2009, we had gross unrecognized tax benefits of $44.4 and related tax benefits of $13.4. The net amount of $31.3 as of March 31, 2010 would favorably affect the effective tax rate if recognized. We do not expect our unrecognized tax benefits to change significantly over the next 12 months.</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2005 through 2009 for our major operations in the U.S., France, the United Kingdom and Italy. As of March 31, 2010, we are under audit in France, the U.S. and Australia, and we believe that the resolution of these audits will not have a material impact on earnings. There was no significant change in the total unrecognized tax benefits due to the settlement of audits, the expiration of statute of limitations, or for other items during the quarter ended March 31, 2010.</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4"/>
          </w:tcPr>
          <w:p>
            <w:pPr>
              <w:spacing w:after="0"/>
              <w:rPr>
                <w:sz w:val="20"/>
                <w:szCs w:val="20"/>
                <w:color w:val="auto"/>
              </w:rPr>
            </w:pPr>
            <w:r>
              <w:rPr>
                <w:rFonts w:ascii="Arial" w:cs="Arial" w:eastAsia="Arial" w:hAnsi="Arial"/>
                <w:sz w:val="18"/>
                <w:szCs w:val="18"/>
                <w:color w:val="auto"/>
              </w:rPr>
              <w:t>(6) Net Earnings (Loss) Per Share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720" w:type="dxa"/>
            <w:vAlign w:val="bottom"/>
            <w:gridSpan w:val="4"/>
          </w:tcPr>
          <w:p>
            <w:pPr>
              <w:spacing w:after="0"/>
              <w:rPr>
                <w:sz w:val="20"/>
                <w:szCs w:val="20"/>
                <w:color w:val="auto"/>
              </w:rPr>
            </w:pPr>
            <w:r>
              <w:rPr>
                <w:rFonts w:ascii="Arial" w:cs="Arial" w:eastAsia="Arial" w:hAnsi="Arial"/>
                <w:sz w:val="18"/>
                <w:szCs w:val="18"/>
                <w:color w:val="auto"/>
                <w:w w:val="91"/>
              </w:rPr>
              <w:t>The calculation of Net Earnings (Loss) Per Share – Basic and Net Earnings (Loss) Per Share – Diluted were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3 Months Ended</w:t>
            </w: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(Loss) Per Share – Basic: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Net earnings (loss) available to common shareholders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Net earnings (loss) available to common shareholders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Effect of restricted stock grants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dilutive securities – stock options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62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were 2.5 million stock-based awards excluded from the calculation of Net Earnings Per Share – Diluted for the three months ended March 31, 2010 as the exercise price for these awards was greater than the average market price of the common shares during the period. Due to the net loss for the three months ended March 31, 2009, the assumed exercise of stock-based awards had an antidilutive effect and therefore these shares were not included in the calculation of Net Loss Per Share – Diluted for the three months ended March 31, 2009.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Right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Jefferson</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Americas</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France</w:t>
            </w:r>
          </w:p>
        </w:tc>
        <w:tc>
          <w:tcPr>
            <w:tcW w:w="160" w:type="dxa"/>
            <w:vAlign w:val="bottom"/>
          </w:tcPr>
          <w:p>
            <w:pPr>
              <w:spacing w:after="0"/>
              <w:rPr>
                <w:sz w:val="20"/>
                <w:szCs w:val="20"/>
                <w:color w:val="auto"/>
              </w:rPr>
            </w:pPr>
          </w:p>
        </w:tc>
        <w:tc>
          <w:tcPr>
            <w:tcW w:w="1120" w:type="dxa"/>
            <w:vAlign w:val="bottom"/>
            <w:gridSpan w:val="2"/>
          </w:tcPr>
          <w:p>
            <w:pPr>
              <w:jc w:val="right"/>
              <w:ind w:right="380"/>
              <w:spacing w:after="0" w:line="234" w:lineRule="exact"/>
              <w:rPr>
                <w:sz w:val="20"/>
                <w:szCs w:val="20"/>
                <w:color w:val="auto"/>
              </w:rPr>
            </w:pPr>
            <w:r>
              <w:rPr>
                <w:rFonts w:ascii="Arial" w:cs="Arial" w:eastAsia="Arial" w:hAnsi="Arial"/>
                <w:sz w:val="18"/>
                <w:szCs w:val="18"/>
                <w:b w:val="1"/>
                <w:bCs w:val="1"/>
                <w:color w:val="auto"/>
                <w:w w:val="99"/>
              </w:rPr>
              <w:t>EMEA</w:t>
            </w:r>
            <w:r>
              <w:rPr>
                <w:rFonts w:ascii="Arial" w:cs="Arial" w:eastAsia="Arial" w:hAnsi="Arial"/>
                <w:sz w:val="25"/>
                <w:szCs w:val="25"/>
                <w:color w:val="auto"/>
                <w:w w:val="99"/>
                <w:vertAlign w:val="superscript"/>
              </w:rPr>
              <w:t>(1)</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rPr>
              <w:t>Asia Pacific</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Management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Wells</w:t>
            </w:r>
          </w:p>
        </w:tc>
        <w:tc>
          <w:tcPr>
            <w:tcW w:w="80" w:type="dxa"/>
            <w:vAlign w:val="bottom"/>
          </w:tcPr>
          <w:p>
            <w:pPr>
              <w:spacing w:after="0"/>
              <w:rPr>
                <w:sz w:val="20"/>
                <w:szCs w:val="20"/>
                <w:color w:val="auto"/>
              </w:rPr>
            </w:pPr>
          </w:p>
        </w:tc>
        <w:tc>
          <w:tcPr>
            <w:tcW w:w="1160" w:type="dxa"/>
            <w:vAlign w:val="bottom"/>
            <w:gridSpan w:val="2"/>
          </w:tcPr>
          <w:p>
            <w:pPr>
              <w:ind w:left="20"/>
              <w:spacing w:after="0" w:line="234" w:lineRule="exact"/>
              <w:rPr>
                <w:sz w:val="20"/>
                <w:szCs w:val="20"/>
                <w:color w:val="auto"/>
              </w:rPr>
            </w:pPr>
            <w:r>
              <w:rPr>
                <w:rFonts w:ascii="Arial" w:cs="Arial" w:eastAsia="Arial" w:hAnsi="Arial"/>
                <w:sz w:val="18"/>
                <w:szCs w:val="18"/>
                <w:b w:val="1"/>
                <w:bCs w:val="1"/>
                <w:color w:val="auto"/>
              </w:rPr>
              <w:t>Corporate</w:t>
            </w:r>
            <w:r>
              <w:rPr>
                <w:rFonts w:ascii="Arial" w:cs="Arial" w:eastAsia="Arial" w:hAnsi="Arial"/>
                <w:sz w:val="25"/>
                <w:szCs w:val="25"/>
                <w:color w:val="auto"/>
                <w:vertAlign w:val="superscript"/>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00"/>
              <w:spacing w:after="0" w:line="234" w:lineRule="exact"/>
              <w:rPr>
                <w:sz w:val="20"/>
                <w:szCs w:val="20"/>
                <w:color w:val="auto"/>
              </w:rPr>
            </w:pPr>
            <w:r>
              <w:rPr>
                <w:rFonts w:ascii="Arial" w:cs="Arial" w:eastAsia="Arial" w:hAnsi="Arial"/>
                <w:sz w:val="18"/>
                <w:szCs w:val="18"/>
                <w:b w:val="1"/>
                <w:bCs w:val="1"/>
                <w:color w:val="auto"/>
                <w:w w:val="88"/>
              </w:rPr>
              <w:t>Total</w:t>
            </w:r>
            <w:r>
              <w:rPr>
                <w:rFonts w:ascii="Arial" w:cs="Arial" w:eastAsia="Arial" w:hAnsi="Arial"/>
                <w:sz w:val="25"/>
                <w:szCs w:val="25"/>
                <w:color w:val="auto"/>
                <w:w w:val="88"/>
                <w:vertAlign w:val="superscript"/>
              </w:rPr>
              <w:t>(3)</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7"/>
        </w:trPr>
        <w:tc>
          <w:tcPr>
            <w:tcW w:w="20" w:type="dxa"/>
            <w:vAlign w:val="bottom"/>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960" w:type="dxa"/>
            <w:vAlign w:val="bottom"/>
            <w:gridSpan w:val="2"/>
          </w:tcPr>
          <w:p>
            <w:pPr>
              <w:spacing w:after="0" w:line="196" w:lineRule="exact"/>
              <w:rPr>
                <w:sz w:val="20"/>
                <w:szCs w:val="20"/>
                <w:color w:val="auto"/>
              </w:rPr>
            </w:pPr>
            <w:r>
              <w:rPr>
                <w:rFonts w:ascii="Arial" w:cs="Arial" w:eastAsia="Arial" w:hAnsi="Arial"/>
                <w:sz w:val="18"/>
                <w:szCs w:val="18"/>
                <w:color w:val="auto"/>
                <w:w w:val="96"/>
              </w:rPr>
              <w:t>Balance, March 31, 2010</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171.8</w:t>
            </w:r>
          </w:p>
        </w:tc>
        <w:tc>
          <w:tcPr>
            <w:tcW w:w="220" w:type="dxa"/>
            <w:vAlign w:val="bottom"/>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271.9</w:t>
            </w:r>
          </w:p>
        </w:tc>
        <w:tc>
          <w:tcPr>
            <w:tcW w:w="4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59.0</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148.8</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282.1</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942.4</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right="360" w:hanging="612"/>
        <w:spacing w:after="0" w:line="277"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related to Italy were $4.6 and $4.9 as of March 31, 2010 and December 31, 2009, respectively. The ($0.3) change represents a currency impact.</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majority of the Corporate balance relates to goodwill attributable from our acquisitions of Right Management ($184.4) and Jefferson Wells</w:t>
      </w:r>
    </w:p>
    <w:p>
      <w:pPr>
        <w:spacing w:after="0" w:line="34" w:lineRule="exact"/>
        <w:rPr>
          <w:rFonts w:ascii="Arial" w:cs="Arial" w:eastAsia="Arial" w:hAnsi="Arial"/>
          <w:sz w:val="17"/>
          <w:szCs w:val="17"/>
          <w:color w:val="auto"/>
        </w:rPr>
      </w:pPr>
    </w:p>
    <w:p>
      <w:pPr>
        <w:ind w:left="620" w:right="200"/>
        <w:spacing w:after="0" w:line="277" w:lineRule="auto"/>
        <w:rPr>
          <w:rFonts w:ascii="Arial" w:cs="Arial" w:eastAsia="Arial" w:hAnsi="Arial"/>
          <w:sz w:val="17"/>
          <w:szCs w:val="17"/>
          <w:color w:val="auto"/>
        </w:rPr>
      </w:pPr>
      <w:r>
        <w:rPr>
          <w:rFonts w:ascii="Arial" w:cs="Arial" w:eastAsia="Arial" w:hAnsi="Arial"/>
          <w:sz w:val="17"/>
          <w:szCs w:val="17"/>
          <w:color w:val="auto"/>
        </w:rPr>
        <w:t>($88.2).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73" w:lineRule="exact"/>
        <w:rPr>
          <w:rFonts w:ascii="Arial" w:cs="Arial" w:eastAsia="Arial" w:hAnsi="Arial"/>
          <w:sz w:val="17"/>
          <w:szCs w:val="17"/>
          <w:color w:val="auto"/>
        </w:rPr>
      </w:pPr>
    </w:p>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$201.8 as of March 31, 2010 and 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United States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Elan</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Jefferson Wells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Netherlands (Vitae)</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reporting units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goodwill</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first quarter of 2010 as we noted no significant indicators of impairment as of March 31, 2010.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920" w:type="dxa"/>
            <w:vAlign w:val="bottom"/>
            <w:gridSpan w:val="4"/>
          </w:tcPr>
          <w:p>
            <w:pPr>
              <w:spacing w:after="0"/>
              <w:rPr>
                <w:sz w:val="20"/>
                <w:szCs w:val="20"/>
                <w:color w:val="auto"/>
              </w:rPr>
            </w:pPr>
            <w:r>
              <w:rPr>
                <w:rFonts w:ascii="Arial" w:cs="Arial" w:eastAsia="Arial" w:hAnsi="Arial"/>
                <w:sz w:val="18"/>
                <w:szCs w:val="18"/>
                <w:color w:val="auto"/>
              </w:rPr>
              <w:t>(8) Retirement Plans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0"/>
        </w:trPr>
        <w:tc>
          <w:tcPr>
            <w:tcW w:w="5920" w:type="dxa"/>
            <w:vAlign w:val="bottom"/>
            <w:gridSpan w:val="4"/>
          </w:tcPr>
          <w:p>
            <w:pPr>
              <w:spacing w:after="0"/>
              <w:rPr>
                <w:sz w:val="20"/>
                <w:szCs w:val="20"/>
                <w:color w:val="auto"/>
              </w:rPr>
            </w:pPr>
            <w:r>
              <w:rPr>
                <w:rFonts w:ascii="Arial" w:cs="Arial" w:eastAsia="Arial" w:hAnsi="Arial"/>
                <w:sz w:val="18"/>
                <w:szCs w:val="18"/>
                <w:color w:val="auto"/>
                <w:w w:val="95"/>
              </w:rPr>
              <w:t>The components of the net periodic benefit cost for our plans were as follows:</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rPr>
              <w:t>3 Months Ended March 31,</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160" w:type="dxa"/>
            <w:vAlign w:val="bottom"/>
            <w:gridSpan w:val="5"/>
          </w:tcPr>
          <w:p>
            <w:pPr>
              <w:jc w:val="right"/>
              <w:ind w:right="230"/>
              <w:spacing w:after="0" w:line="198" w:lineRule="exact"/>
              <w:rPr>
                <w:sz w:val="20"/>
                <w:szCs w:val="20"/>
                <w:color w:val="auto"/>
              </w:rPr>
            </w:pPr>
            <w:r>
              <w:rPr>
                <w:rFonts w:ascii="Arial" w:cs="Arial" w:eastAsia="Arial" w:hAnsi="Arial"/>
                <w:sz w:val="18"/>
                <w:szCs w:val="18"/>
                <w:b w:val="1"/>
                <w:bCs w:val="1"/>
                <w:color w:val="auto"/>
              </w:rPr>
              <w:t>Defined Benefit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4"/>
          </w:tcPr>
          <w:p>
            <w:pPr>
              <w:jc w:val="right"/>
              <w:ind w:right="630"/>
              <w:spacing w:after="0" w:line="198" w:lineRule="exact"/>
              <w:rPr>
                <w:sz w:val="20"/>
                <w:szCs w:val="20"/>
                <w:color w:val="auto"/>
              </w:rPr>
            </w:pPr>
            <w:r>
              <w:rPr>
                <w:rFonts w:ascii="Arial" w:cs="Arial" w:eastAsia="Arial" w:hAnsi="Arial"/>
                <w:sz w:val="18"/>
                <w:szCs w:val="18"/>
                <w:b w:val="1"/>
                <w:bCs w:val="1"/>
                <w:color w:val="auto"/>
              </w:rPr>
              <w:t>Retiree Health</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1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Pension Plans</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Care Plan</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Curtailment and settlement</w:t>
            </w: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2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60" w:type="dxa"/>
            <w:vAlign w:val="bottom"/>
            <w:gridSpan w:val="2"/>
          </w:tcPr>
          <w:p>
            <w:pPr>
              <w:ind w:left="420"/>
              <w:spacing w:after="0" w:line="196" w:lineRule="exact"/>
              <w:rPr>
                <w:sz w:val="20"/>
                <w:szCs w:val="20"/>
                <w:color w:val="auto"/>
              </w:rPr>
            </w:pPr>
            <w:r>
              <w:rPr>
                <w:rFonts w:ascii="Arial" w:cs="Arial" w:eastAsia="Arial" w:hAnsi="Arial"/>
                <w:sz w:val="18"/>
                <w:szCs w:val="18"/>
                <w:color w:val="auto"/>
              </w:rPr>
              <w:t>Total benefit cost</w:t>
            </w:r>
          </w:p>
        </w:tc>
        <w:tc>
          <w:tcPr>
            <w:tcW w:w="760" w:type="dxa"/>
            <w:vAlign w:val="bottom"/>
          </w:tcPr>
          <w:p>
            <w:pPr>
              <w:jc w:val="right"/>
              <w:ind w:right="59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900" w:type="dxa"/>
            <w:vAlign w:val="bottom"/>
            <w:gridSpan w:val="2"/>
          </w:tcPr>
          <w:p>
            <w:pPr>
              <w:jc w:val="right"/>
              <w:ind w:right="59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7"/>
              </w:rPr>
              <w:t>(1.6)</w:t>
            </w:r>
          </w:p>
        </w:tc>
        <w:tc>
          <w:tcPr>
            <w:tcW w:w="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0.3</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0.2</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the three months ended March 31, 2010, contributions made to our pension plans were $4.6 and contributions made to our retiree health care plan were $0.4. During 2010, we expect to make total contributions of $22.5 to our pension plans and to fund our retiree health care payments as incurred.</w:t>
      </w:r>
    </w:p>
    <w:p>
      <w:pPr>
        <w:spacing w:after="0" w:line="1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Effective January 1, 2009, we terminated our defined benefit plan in Japan and replaced it with a defined contribution plan, resulting in a curtailment and settlement gain of $4.3 in the first quarter of 2009.</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4"/>
          </w:tcPr>
          <w:p>
            <w:pPr>
              <w:spacing w:after="0"/>
              <w:rPr>
                <w:sz w:val="20"/>
                <w:szCs w:val="20"/>
                <w:color w:val="auto"/>
              </w:rPr>
            </w:pPr>
            <w:r>
              <w:rPr>
                <w:rFonts w:ascii="Arial" w:cs="Arial" w:eastAsia="Arial" w:hAnsi="Arial"/>
                <w:sz w:val="18"/>
                <w:szCs w:val="18"/>
                <w:color w:val="auto"/>
              </w:rPr>
              <w:t>(9) Shareholders’ Equity</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500" w:type="dxa"/>
            <w:vAlign w:val="bottom"/>
            <w:gridSpan w:val="4"/>
          </w:tcPr>
          <w:p>
            <w:pPr>
              <w:spacing w:after="0"/>
              <w:rPr>
                <w:sz w:val="20"/>
                <w:szCs w:val="20"/>
                <w:color w:val="auto"/>
              </w:rPr>
            </w:pPr>
            <w:r>
              <w:rPr>
                <w:rFonts w:ascii="Arial" w:cs="Arial" w:eastAsia="Arial" w:hAnsi="Arial"/>
                <w:sz w:val="18"/>
                <w:szCs w:val="18"/>
                <w:color w:val="auto"/>
              </w:rPr>
              <w:t>The components of Comprehensive Loss, net of tax, were as follows: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jc w:val="right"/>
              <w:ind w:right="72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losses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Unrealized gain (loss) on investments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gridSpan w:val="2"/>
          </w:tcPr>
          <w:p>
            <w:pPr>
              <w:ind w:left="420"/>
              <w:spacing w:after="0"/>
              <w:rPr>
                <w:sz w:val="20"/>
                <w:szCs w:val="20"/>
                <w:color w:val="auto"/>
              </w:rPr>
            </w:pPr>
            <w:r>
              <w:rPr>
                <w:rFonts w:ascii="Arial" w:cs="Arial" w:eastAsia="Arial" w:hAnsi="Arial"/>
                <w:sz w:val="18"/>
                <w:szCs w:val="18"/>
                <w:color w:val="auto"/>
              </w:rPr>
              <w:t>Defined benefit pension plans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Retiree health care plan</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gridSpan w:val="2"/>
          </w:tcPr>
          <w:p>
            <w:pPr>
              <w:ind w:left="1100"/>
              <w:spacing w:after="0"/>
              <w:rPr>
                <w:sz w:val="20"/>
                <w:szCs w:val="20"/>
                <w:color w:val="auto"/>
              </w:rPr>
            </w:pPr>
            <w:r>
              <w:rPr>
                <w:rFonts w:ascii="Arial" w:cs="Arial" w:eastAsia="Arial" w:hAnsi="Arial"/>
                <w:sz w:val="18"/>
                <w:szCs w:val="18"/>
                <w:color w:val="auto"/>
              </w:rPr>
              <w:t>Comprehensive loss</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
        </w:trPr>
        <w:tc>
          <w:tcPr>
            <w:tcW w:w="750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00" w:type="dxa"/>
            <w:vAlign w:val="bottom"/>
            <w:gridSpan w:val="4"/>
            <w:vMerge w:val="continue"/>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13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Unrealized gain on investments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Retiree health care plan</w:t>
            </w:r>
          </w:p>
        </w:tc>
        <w:tc>
          <w:tcPr>
            <w:tcW w:w="8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27, 2010, the Board of Directors declared a cash dividend of $0.37 per share, which is payable on June 15, 2010 to shareholders of record on June 3, 2010.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400" w:type="dxa"/>
            <w:vAlign w:val="bottom"/>
            <w:gridSpan w:val="4"/>
          </w:tcPr>
          <w:p>
            <w:pPr>
              <w:spacing w:after="0"/>
              <w:rPr>
                <w:sz w:val="20"/>
                <w:szCs w:val="20"/>
                <w:color w:val="auto"/>
              </w:rPr>
            </w:pPr>
            <w:r>
              <w:rPr>
                <w:rFonts w:ascii="Arial" w:cs="Arial" w:eastAsia="Arial" w:hAnsi="Arial"/>
                <w:sz w:val="18"/>
                <w:szCs w:val="18"/>
                <w:color w:val="auto"/>
              </w:rPr>
              <w:t>(10) Interest and Other Expenses</w:t>
            </w:r>
          </w:p>
        </w:tc>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40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11.1</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13.1</w:t>
            </w: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2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Miscellaneous expenses, net</w:t>
            </w:r>
          </w:p>
        </w:tc>
        <w:tc>
          <w:tcPr>
            <w:tcW w:w="2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and other expenses</w:t>
            </w:r>
          </w:p>
        </w:tc>
        <w:tc>
          <w:tcPr>
            <w:tcW w:w="32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12.9</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11.9</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 tive instruments as either an asset or liability measured at their fair value.</w:t>
      </w:r>
    </w:p>
    <w:p>
      <w:pPr>
        <w:spacing w:after="0" w:line="19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€300.0 ($404.7) Notes and the €200.0 ($269.4) Notes were designated as economic hedges of our net investment in our foreign subsidiaries with a Euro functional currency as of March 31, 2010.</w:t>
      </w:r>
    </w:p>
    <w:p>
      <w:pPr>
        <w:spacing w:after="0" w:line="19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For derivatives designated as an economic hedge of the foreign currency exposure of a net investment in a foreign operation, the gain or loss associated with foreign currency translation is recorded as a component of Accumulated Other Comprehensive Income, net of taxes. As of March 31, 2010, we had a $60.3 loss included in Accumulated Other Comprehensive Income, net of taxes, as the net investment hedge was deemed effective.</w:t>
      </w:r>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of $2.1 associated with our forward contracts in Interest and Other Expenses for the quarter ended March 31, 2010, which offset the gains recorded for the items noted above. We had a $0.3 asset and a $2.4 liability related to the forward contracts’ fair value included in Other Long-Term Liabilities as of March 31, 2010.</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fair value measurements of those items recorded in our Consolidated Balance Sheets as of March 31, 2010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30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carrying value of Long-Term Debt approximates fair value, except for the Euro-denominated notes. The fair value of the Euro-denominated notes was $692.8 and $717.7 as of March 31, 2010 and December 31, 2009, respectively, compared to a carrying value of $674.2 and $714.6, respectively.</w:t>
      </w:r>
    </w:p>
    <w:p>
      <w:pPr>
        <w:spacing w:after="0" w:line="34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820" w:type="dxa"/>
            <w:vAlign w:val="bottom"/>
            <w:gridSpan w:val="4"/>
          </w:tcPr>
          <w:p>
            <w:pPr>
              <w:spacing w:after="0"/>
              <w:rPr>
                <w:sz w:val="20"/>
                <w:szCs w:val="20"/>
                <w:color w:val="auto"/>
              </w:rPr>
            </w:pPr>
            <w:r>
              <w:rPr>
                <w:rFonts w:ascii="Arial" w:cs="Arial" w:eastAsia="Arial" w:hAnsi="Arial"/>
                <w:sz w:val="18"/>
                <w:szCs w:val="18"/>
                <w:color w:val="auto"/>
              </w:rPr>
              <w:t>(13) Segment Data</w:t>
            </w:r>
          </w:p>
        </w:tc>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3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Americas: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United States (a)</w:t>
            </w:r>
          </w:p>
        </w:tc>
        <w:tc>
          <w:tcPr>
            <w:tcW w:w="3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Other Americas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EMEA (b):</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Other EMEA (b)</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Jefferson Wells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Consolidated (c)</w:t>
            </w:r>
          </w:p>
        </w:tc>
        <w:tc>
          <w:tcPr>
            <w:tcW w:w="3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Unit Profit: (d)</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Americas: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3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Other Americas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EMEA (b):</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Other EMEA (b)</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Jefferson Wells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Corporate expenses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of French business tax</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expenses</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Earnings (loss) before income taxes</w:t>
            </w:r>
          </w:p>
        </w:tc>
        <w:tc>
          <w:tcPr>
            <w:tcW w:w="3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French Business Tax, as disclosed in Note 5 to the Consolidated Financial Statements, was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Operating Unit Profit of our France reportable segment, and therefore, we have shown the amount of the French Business Tax above to be able to reconcile to our Earnings (Loss) before Income Taxes.</w:t>
      </w:r>
    </w:p>
    <w:p>
      <w:pPr>
        <w:spacing w:after="0" w:line="181" w:lineRule="exact"/>
        <w:rPr>
          <w:sz w:val="20"/>
          <w:szCs w:val="20"/>
          <w:color w:val="auto"/>
        </w:rPr>
      </w:pPr>
    </w:p>
    <w:p>
      <w:pPr>
        <w:ind w:left="940" w:hanging="932"/>
        <w:spacing w:after="0" w:line="286"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United States, where a majority of our franchises operate, Revenues from Services included fees received from the related franchise offices of $2.5 and $2.0 for the three months ended March 31, 2010 and 2009, respectively. These fees are primarily based on revenues generated by the franchise offices, which were $132.2 and $94.9 for the three months ended March 31, 2010 and 2009,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ind w:left="940" w:right="140" w:hanging="932"/>
        <w:spacing w:after="0" w:line="293"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financial results for the three months ended March 31, 2009 to defer certain amounts of revenue to future periods, net of income taxes. The impact was a $4.1 reduction of Revenues from Services and Operating Unit Profit for the three months ended March 31, 2009. This restatement has no impact on cash flows under the contract and only affects the timing of when revenues are earned. The total revenues under this contract are expected to remain unchanged.</w:t>
      </w:r>
    </w:p>
    <w:p>
      <w:pPr>
        <w:spacing w:after="0" w:line="191" w:lineRule="exact"/>
        <w:rPr>
          <w:rFonts w:ascii="Arial" w:cs="Arial" w:eastAsia="Arial" w:hAnsi="Arial"/>
          <w:sz w:val="16"/>
          <w:szCs w:val="16"/>
          <w:color w:val="auto"/>
        </w:rPr>
      </w:pPr>
    </w:p>
    <w:p>
      <w:pPr>
        <w:jc w:val="both"/>
        <w:ind w:left="940" w:right="200" w:hanging="932"/>
        <w:spacing w:after="0" w:line="264"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$4.6 and $5.1 for the three months ended March 31, 2010 and 2009, respectively. These fees are primarily based on revenues generated by the franchise offices, which were $193.9 and $158.9 for the three months ended March 31, 2010 and 2009, respectively.</w:t>
      </w:r>
    </w:p>
    <w:p>
      <w:pPr>
        <w:spacing w:after="0" w:line="208" w:lineRule="exact"/>
        <w:rPr>
          <w:rFonts w:ascii="Arial" w:cs="Arial" w:eastAsia="Arial" w:hAnsi="Arial"/>
          <w:sz w:val="18"/>
          <w:szCs w:val="18"/>
          <w:color w:val="auto"/>
        </w:rPr>
      </w:pPr>
    </w:p>
    <w:p>
      <w:pPr>
        <w:ind w:left="940" w:right="100" w:hanging="932"/>
        <w:spacing w:after="0" w:line="286"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which is equal to segment revenues less cost of services and branch and national headquarters operating costs. This profit measure does not include goodwill and intangible asset impairment charges or amortization of intangibles related to Corporate acquisitions, interest and other income and expense amounts or income taxes.</w:t>
      </w:r>
    </w:p>
    <w:p>
      <w:pPr>
        <w:spacing w:after="0" w:line="200" w:lineRule="exact"/>
        <w:rPr>
          <w:sz w:val="20"/>
          <w:szCs w:val="20"/>
          <w:color w:val="auto"/>
        </w:rPr>
      </w:pPr>
    </w:p>
    <w:p>
      <w:pPr>
        <w:spacing w:after="0" w:line="236"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5, 2010, we completed our previously announced acquisition of COMSYS from its existing shareholders. The value of the consideration for each outstanding share of COMSYS common stock was $17.65, for a total enterprise value of $427.0, including the debt retired by us at closing. The consideration was approximately 50% Manpower common stock and approximately 50% cash.</w:t>
      </w:r>
    </w:p>
    <w:p>
      <w:pPr>
        <w:spacing w:after="0" w:line="2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evaluated other events and transactions occurring after the balance sheet date through our filing date and noted no other events that are subject to recognition or disclosure.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has been revised for the effects of the restatement discussed in Note 1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 23 for further information on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March 31, 2010 and 2009</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first quarter of 2010, we saw improvement in most of our markets, particularly the United States, for the first time in several quarters. This allowed us to gain operating leverage and improve our operating results during the quarter. We also experienced a decline in our operating cash flows as our working capital needs increased as revenues grew. The improved operating leverage was reflective of cost reduction efforts taken during the economic downturn to minimize the adverse impact of the economy during that period, yet preserved capacity within our network to handle increased demand as experienced during the current year period.</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we have noted in past filings, client demand for employment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 line with the revenue growth, which may result in a decline in operating cash flows.</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we experienced growth in our businesses during the current period, the strength of this growth will be dependent on whether the underlying economies continue to improve. Given the uncertainties of predicting economic trends, however, it is not possible to predict when we will return to prior revenue and earnings levels.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2010 as compared to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20"/>
                <w:szCs w:val="20"/>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3,643.0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3,397.8</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2,977.3</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665.7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Gross profit margin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17.1</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18.3</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60"/>
              <w:spacing w:after="0"/>
              <w:rPr>
                <w:sz w:val="20"/>
                <w:szCs w:val="20"/>
                <w:color w:val="auto"/>
              </w:rPr>
            </w:pPr>
            <w:r>
              <w:rPr>
                <w:rFonts w:ascii="Arial" w:cs="Arial" w:eastAsia="Arial" w:hAnsi="Arial"/>
                <w:sz w:val="18"/>
                <w:szCs w:val="18"/>
                <w:color w:val="auto"/>
              </w:rPr>
              <w:t>Operating profit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profit margin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0.8</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0.0</w:t>
            </w: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60"/>
              <w:spacing w:after="0"/>
              <w:rPr>
                <w:sz w:val="20"/>
                <w:szCs w:val="20"/>
                <w:color w:val="auto"/>
              </w:rPr>
            </w:pPr>
            <w:r>
              <w:rPr>
                <w:rFonts w:ascii="Arial" w:cs="Arial" w:eastAsia="Arial" w:hAnsi="Arial"/>
                <w:sz w:val="18"/>
                <w:szCs w:val="18"/>
                <w:color w:val="auto"/>
              </w:rPr>
              <w:t>Earnings (loss) before income taxes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60"/>
              <w:spacing w:after="0"/>
              <w:rPr>
                <w:sz w:val="20"/>
                <w:szCs w:val="20"/>
                <w:color w:val="auto"/>
              </w:rPr>
            </w:pPr>
            <w:r>
              <w:rPr>
                <w:rFonts w:ascii="Arial" w:cs="Arial" w:eastAsia="Arial" w:hAnsi="Arial"/>
                <w:sz w:val="18"/>
                <w:szCs w:val="18"/>
                <w:color w:val="auto"/>
              </w:rPr>
              <w:t>Net earnings (loss)</w:t>
            </w:r>
          </w:p>
        </w:tc>
        <w:tc>
          <w:tcPr>
            <w:tcW w:w="14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78.1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right="280"/>
        <w:spacing w:after="0" w:line="302" w:lineRule="auto"/>
        <w:rPr>
          <w:sz w:val="20"/>
          <w:szCs w:val="20"/>
          <w:color w:val="auto"/>
        </w:rPr>
      </w:pPr>
      <w:r>
        <w:rPr>
          <w:rFonts w:ascii="Arial" w:cs="Arial" w:eastAsia="Arial" w:hAnsi="Arial"/>
          <w:sz w:val="16"/>
          <w:szCs w:val="16"/>
          <w:color w:val="auto"/>
        </w:rPr>
        <w:t>We have seen stabilization and improvements in most markets with regard to our staffing business during the first quarter of 2010 as economic conditions have started to improve globally. Offsetting this trend, however, was a decrease in business volumes for both Right Management and Jefferson Wells. At Right Management, we saw a decline in demand for the counter-cyclical outplacement services as expected with the improving economic conditions and growth in our staffing business. Jefferson Wells continues to show weak demand as companies remain hesitant to increase discretionary spend.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25"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color w:val="auto"/>
        </w:rPr>
        <w:t>o increased demand for services in most of our markets, including the Americas, France, EMEA and Asia Pacific, where revenues increased 19.9%, 9.3%, 0.4% and 5.3%, respectively, on a constant currency basis;</w:t>
      </w:r>
    </w:p>
    <w:p>
      <w:pPr>
        <w:spacing w:after="0" w:line="170" w:lineRule="exact"/>
        <w:rPr>
          <w:sz w:val="20"/>
          <w:szCs w:val="20"/>
          <w:color w:val="auto"/>
        </w:rPr>
      </w:pPr>
    </w:p>
    <w:p>
      <w:pPr>
        <w:ind w:right="420" w:firstLine="180"/>
        <w:spacing w:after="0" w:line="277" w:lineRule="auto"/>
        <w:rPr>
          <w:sz w:val="20"/>
          <w:szCs w:val="20"/>
          <w:color w:val="auto"/>
        </w:rPr>
      </w:pPr>
      <w:r>
        <w:rPr>
          <w:rFonts w:ascii="Arial" w:cs="Arial" w:eastAsia="Arial" w:hAnsi="Arial"/>
          <w:sz w:val="18"/>
          <w:szCs w:val="18"/>
          <w:color w:val="auto"/>
        </w:rPr>
        <w:t>o decreased demand for services for Right Management and Jefferson Wells, where revenues decreased 27.9% and 22.9%, respectively, on a constant currency basis; and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 a 7.4% increase due to the impact of currency exchange rates.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25"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o a 70 basis point (-0.7%) decline from our temporary staffing business as we are now feeling the full effect of the pricing pressures in most of our markets during all of 2009 because of the economic environment; and</w:t>
      </w:r>
    </w:p>
    <w:p>
      <w:pPr>
        <w:spacing w:after="0" w:line="170"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o an 80 basis point (-0.8%) decline from our specialty business, primarily due to the outplacement revenue decline of Right Management, where the gross profit margin was higher than our Company average.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Offsetting these unfavorable impacts was the following:</w:t>
      </w:r>
    </w:p>
    <w:p>
      <w:pPr>
        <w:spacing w:after="0" w:line="225" w:lineRule="exact"/>
        <w:rPr>
          <w:sz w:val="20"/>
          <w:szCs w:val="20"/>
          <w:color w:val="auto"/>
        </w:rPr>
      </w:pPr>
    </w:p>
    <w:p>
      <w:pPr>
        <w:ind w:right="220" w:firstLine="180"/>
        <w:spacing w:after="0" w:line="277" w:lineRule="auto"/>
        <w:rPr>
          <w:sz w:val="20"/>
          <w:szCs w:val="20"/>
          <w:color w:val="auto"/>
        </w:rPr>
      </w:pPr>
      <w:r>
        <w:rPr>
          <w:rFonts w:ascii="Arial" w:cs="Arial" w:eastAsia="Arial" w:hAnsi="Arial"/>
          <w:sz w:val="18"/>
          <w:szCs w:val="18"/>
          <w:color w:val="auto"/>
        </w:rPr>
        <w:t>o a 30 basis point (0.3%) impact due to a change in French law reclassifying the French Business Tax from Cost of Services to the Provision for Income Taxes, effective January 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0.7% increase in Selling and Administrative Expenses for the current quarter (5.5% decrease in constant currency) was attributed to: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 a 6.2% increase due to the impact of currency exchange rates.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Offsetting this unfavorable impact were the following: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 the continued impact of the cost reductions that we implemented throughout 2009;</w:t>
      </w:r>
    </w:p>
    <w:p>
      <w:pPr>
        <w:spacing w:after="0" w:line="252" w:lineRule="exact"/>
        <w:rPr>
          <w:sz w:val="20"/>
          <w:szCs w:val="20"/>
          <w:color w:val="auto"/>
        </w:rPr>
      </w:pPr>
    </w:p>
    <w:p>
      <w:pPr>
        <w:ind w:firstLine="188"/>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continued focus on controlling expenses and balancing our cost structure as we see the increasing business volumes so that we can take advantage of excess capacity in our network and support the increased volume without a similar increase in expenses; and</w:t>
      </w:r>
    </w:p>
    <w:p>
      <w:pPr>
        <w:spacing w:after="0" w:line="170" w:lineRule="exact"/>
        <w:rPr>
          <w:rFonts w:ascii="Arial" w:cs="Arial" w:eastAsia="Arial" w:hAnsi="Arial"/>
          <w:sz w:val="18"/>
          <w:szCs w:val="18"/>
          <w:color w:val="auto"/>
        </w:rPr>
      </w:pPr>
    </w:p>
    <w:p>
      <w:pPr>
        <w:ind w:right="480" w:firstLine="188"/>
        <w:spacing w:after="0" w:line="277"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decrease of $5.6 million related to reorganization charges for severances and other office closure costs recorded in the first quarter of 2010 as compared to 2009.</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8" w:name="page19"/>
    <w:bookmarkEnd w:id="18"/>
    <w:p>
      <w:pPr>
        <w:ind w:right="80"/>
        <w:spacing w:after="0" w:line="264" w:lineRule="auto"/>
        <w:rPr>
          <w:sz w:val="20"/>
          <w:szCs w:val="20"/>
          <w:color w:val="auto"/>
        </w:rPr>
      </w:pPr>
      <w:r>
        <w:rPr>
          <w:rFonts w:ascii="Arial" w:cs="Arial" w:eastAsia="Arial" w:hAnsi="Arial"/>
          <w:sz w:val="18"/>
          <w:szCs w:val="18"/>
          <w:color w:val="auto"/>
        </w:rPr>
        <w:t>Selling and Administrative Expenses as a percent of revenues decreased 1.9% (-190 basis points) in the first quarter of 2010 compared to 2009 due primarily to the leveraging of these expenses, as we experienced an increase in revenues of 12.5% (or 5.1% in constant currency) during the first quarter of 2010 as compared to 2009 and the decrease in expenses.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Interest and Other Expense was $12.9 million for the first quarter of 2010 compared to $11.9 million in 2009. Net Interest Expense increased $0.8 million in the first quarter to $9.4 million due to lower interest rates on money market investments and our Euro denominated interest expense being translated into U.S. dollars at higher rate in 2010 than 2009. Translation losses in the first quarter of 2010 were $1.6 million compared to $0.5 million in the first quarter of 2009. This increase was primarily related to a translation loss of $1.2 million for Venezuela, as a result of the Venezuela reporting unit’s currency (Bolivar Fuerte) being devalued in January 2010 as well as changing the functional currency of our Venezuela reporting unit to the U.S. Dollar as the result of its current economy being deemed hyperi nflationary, effective January 1, 2010.</w:t>
      </w:r>
    </w:p>
    <w:p>
      <w:pPr>
        <w:spacing w:after="0" w:line="2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recorded an income tax expense, at an effective rate of 85.5%, for the three months ended March 31, 2010, as compared to an income tax benefit, at an effective rate of 83.0%, for the three months ended March 31, 2009. The 2010 rate was favorably impacted by a change in the overall mix of earnings, primarily an increase to non-U.S. income, but was unfavorably impacted by valuation allowances related to losses in certain non-U.S. entities. The 2010 rate was also unfavorably impacted by $13.7 million related to a French Business Tax, which has been classified as a component of income tax beginning in January 2010, in accordance with the current accounting guidance on income taxes. Prior to January 2010, the French Business Tax had been presented as a non-income tax and included as a component of Cost of Services. The French government cha nged the business tax from an asset-based tax to an income-based tax, thereby requiring the classification of this tax as an income tax effective January 1, 2010.</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85.5% rate was higher than the U.S. Federal statutory rate of 35%, and we currently expect an annual effective tax rate of approximately 57%, due primarily to the impact of the mix of U.S. and non-U.S. earnings, valuation allowances, other permanent items and the French Business Tax. Excluding the impact of the French Business Tax, our tax rate is approximately 40%, lower than the previous year, due to a favorable impact from changes in the mix of U.S. and non-U.S. earnings.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Earnings Per Share – Diluted increased to $0.04 in the first quarter of 2010 compared to a Net Loss Per Share – Diluted of $(0.02) in the first quarter of 2009. Exchange rates had a positive impact of $0.03 on Net Earnings Per Share – Diluted. Weighted Average Shares – Diluted were 79.9 million for the first quarter of 2010 as compared to 78.1 million in the first quarter of 2009, an increase of 2.2% as a result of including dilutive shares in the calculation in 2010 compared to 2009 where we incurred a net loss and excluded the impact of such shares.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Americas, Revenues from Services increased 24.2% (19.9% in constant currency) for the first quarter of 2010 compared to 2009. In the United States (which represents 60.0% of the America’s revenues), Revenues from Services improved 18.3%. These revenue improvements were primarily due to an increase in our staffing volumes in our core temporary staffing business, particularly in the light industrial and office sectors. These increases were offset by declines in our permanent recruitment revenues of 13.3% in constant currency for the Americas and of 21.3% in the United States as the recovery in our permanent recruitment business lags the recovery in the staffing business, consistent with prior recoveries.</w:t>
      </w:r>
    </w:p>
    <w:p>
      <w:pPr>
        <w:spacing w:after="0" w:line="20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Gross Profit Margin decreased during the first quarter of 2010 compared to the first quarter of 2009 due to a decrease in temporary staffing margins, which was caused primarily by the pricing pressures on our staffing business and the decline in our permanent recruitment business.</w:t>
      </w:r>
    </w:p>
    <w:p>
      <w:pPr>
        <w:spacing w:after="0" w:line="1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Selling and Administrative Expenses decreased during the first quarter of 2010 compared to 2009, due to the impact of cost reductions made in response to the lower revenues experienced in 2009. Despite the increase in revenues, we continue to closely control expenses. Included in Selling and Administrative Expenses in the first quarter of 2009 was $0.8 million of reorganization costs, primarily related to severances. Selling and Administrative Expenses as a percent of revenues decreased in the first quarter of 2010 compared to 2009, as we slightly decreased our expenses in constant currency despite a significant revenue increase.</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Unit Profit (“OUP”) Margin in the Americas was 0.2% and -1.6% for the first quarter of 2010 and 2009, respectively. This increase was primarily due to the improvement in the United States, where OUP Margin was -1.9% in the first quarter of 2010 compared to -3.9% in 2009. Other Americas OUP Margin was 3.3% in the first quarter of 2010 compared to 2.2% in the first quarter of 2009. These increases were due to the improved expense leveraging during the current year period as we were able to support the higher revenue level without an increase in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France, Revenues from Services increased 15.7% (9.3% in constant currency) during the first quarter of 2010 compared to 2009. We had strong growth in the temporary staffing business, while permanent recruitment revenues increased 70.4% in constant currency in the first quarter.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Gross Profit Margin decreased in the first quarter of 2010 compared to the first quarter of 2009 due primarily to the pricing pressures on our staffing business.</w:t>
      </w: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and Administrative Expenses increased during the first quarter of 2010 compared to 2009 due primarily to $3.3 million (€2.4 million) of costs in 2010 related to the relocation of our headquarters and the reversal of a $3.9 million (€3.0 million) legal reserve related to the French competition investigation in 2009. The remaining expenses were essentially flat with the 2009 level. Selling and Administrative Expenses as a percent of revenues decreased in the first quarter of 2010 compared to 2009, as our revenues increased more rapidly than our Selling and Administrative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2010 and 2009 OUP Margin in France was essentially flat for both periods.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EMEA</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EMEA, which includes operations throughout Europe (excluding France), the Middle East and Africa, Revenues from Services increased 9.1% (0.4% in constant currency) in the first quarter of 2010 as compared to the first quarter of 2009. Revenues in Other EMEA increased 9.6% (0.4% in constant currency) during the first quarter of 2010, while Italy had revenue improvements of 6.3% (0.4% in constant currency) during the first quarter of 2010. Offsetting these revenue improvements was a decrease to our permanent recruitment revenues of 14.5% in constant currency during the current period, due to a continuing soft permanent recruitment market, as we would expect this business to recover later than the temporary staffing business.</w:t>
      </w:r>
    </w:p>
    <w:p>
      <w:pPr>
        <w:spacing w:after="0" w:line="2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Gross Profit Margin decreased in the first quarter of 2010 compared to the first quarter of 2009 primarily due to the decline in the permanent recruitment business as well as pricing pressures on the staffing business in many of our markets.</w:t>
      </w:r>
    </w:p>
    <w:p>
      <w:pPr>
        <w:spacing w:after="0" w:line="19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and Administrative Expenses decreased during the first quarter of 2010 compared to the first quarter of 2009 due to the cost reductions made in 2009 in response to the slowing revenue levels and improved expense leveraging as we were able to utilize excess capacity in our network and increase revenues without a similar increase in expenses. Selling and Administrative Expenses as a percent of revenues decreased in the first quarter of 2010 as compared to the first quarter of 2009 due to the improved expense leveraging as revenues have increased with a decline in expenses.</w:t>
      </w:r>
    </w:p>
    <w:p>
      <w:pPr>
        <w:spacing w:after="0" w:line="19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OUP Margin for EMEA was 1.5% and -0.1% for the first quarter of 2010 and 2009, respectively. The improvement was seen across the region, as OUP Margin for Other EMEA was 1.2% in 2010 compared to -0.3% in 2009, and was 2.9% compared to 0.6% for Italy. The improvements in OUP Margin were the results of increasing revenue and gross profit amounts, while reducing Selling and Administrative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for Asia Pacific increased 17.0% (5.3% in constant currency) during the first quarter of 2010 compared to 2009. Revenue increases for the first quarter of 2010 were experienced in most major markets except for Japan, where Revenues declined 9.4% in constant currency. Offsetting the decline in Japan was the significant revenue increase in Australia, as a result of adding the Australian Defense Force contract during the current year period, as well as strong year-over-year growth in China, India and our ASEAN businesses.</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Margin increased slightly in the first quarter of 2010 compared to the first quarter of 2009 primarily due to the growth in the permanent recruitment business, driven in part by the Australian Defense Force contract. Our staffing gross margins continued to show year-over-year declines due to the pricing pressures in most markets during 2009.</w:t>
      </w:r>
    </w:p>
    <w:p>
      <w:pPr>
        <w:spacing w:after="0" w:line="2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Selling and Administrative Expenses increased in the first quarter of 2010 compared to 2009 primarily due to the support costs added in Australia as a result of adding the Australian Defense Force contract during the current year period and a $4.3 million (¥392.4 million) gain recorded in the first quarter of 2009 related to the termination of our Japanese defined benefit pension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OUP Margin for Asia Pacific was 2.5% in the first quarter of 2010 compared to 2.8% in the first quarter of 2009 for the reasons noted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for Right Management in the first quarter of 2010 decreased 24.0% (27.9% in constant currency) compared to the first quarter of 2009. This decrease in constant currency was due primarily to a decline in the demand for the counter-cyclical outplacement services, where revenues generally decline as we begin to experience an economic recovery, as we saw during the first quarter. The decline in outplacement services was partly offset by an increase in the demand for our consulting business.</w:t>
      </w: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Profit Margin decreased in the first quarter of 2010 compared to the first quarter of 2009 as a result of a change in the mix of business, as we saw a decline in the higher margin outplacement services and an increase in the lower margin consulting business.</w:t>
      </w:r>
    </w:p>
    <w:p>
      <w:pPr>
        <w:spacing w:after="0" w:line="1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Selling and Administrative Expenses decreased in the first quarter of 2010 compared to the first quarter of 2009, as costs were reduced in response to the lower 2010 volumes. However, as a percentage of revenue, expenses increased in the first quarter of 2010 compared to 2009, as our fixed costs are now supporting a lower revenue amount.</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OUP Margin for Right Management was 12.1% in the first quarter of 2010 compared to 21.4% in the first quarter of 2009 due to the net impact of these volume and expense changes. The prior year margin was exceptionally high given the strong growth in the outplacement business in 2009 as a result of the economic downturn.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Revenues for Jefferson Wells in the first quarter of 2010 declined 22.9% compared to 2009. We started to see average daily revenue improve slightly later in the quarter, as demand for such services has improved.</w:t>
      </w:r>
    </w:p>
    <w:p>
      <w:pPr>
        <w:spacing w:after="0" w:line="19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Gross Profit Margin in the first quarter of 2010 declined slightly compared to 2009, however, started to show improvement later in the quarter as volumes and staff utilization levels improved. We are seeing some benefit of the reorganization done in 2009, during which we transitioned a number of employees into project-based roles to reduce our fixed direct costs; however, we do not expect to see the full benefit of that change until revenue levels improve.</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Administrative Expenses decreased during the first quarter of 2010, reflecting the benefits of the reorganizations done in 2009 and 2008 to realign the business in response to the lower revenue levels. As a percent of revenues, expenses have decreased in the first quarter 2010 compared to 2009, as a result of these changes.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OUP Margin for Jefferson Wells improved to -11.7% in the first quarter of 2010 compared to -14.2% in the first quarter of 2009 due to lower expense levels.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Constant Currency Reconciliation</w:t>
      </w:r>
    </w:p>
    <w:p>
      <w:pPr>
        <w:spacing w:after="0" w:line="252" w:lineRule="exact"/>
        <w:rPr>
          <w:sz w:val="20"/>
          <w:szCs w:val="20"/>
          <w:color w:val="auto"/>
        </w:rPr>
      </w:pPr>
    </w:p>
    <w:p>
      <w:pPr>
        <w:ind w:left="60" w:right="620"/>
        <w:spacing w:after="0" w:line="342" w:lineRule="auto"/>
        <w:rPr>
          <w:sz w:val="20"/>
          <w:szCs w:val="20"/>
          <w:color w:val="auto"/>
        </w:rPr>
      </w:pPr>
      <w:r>
        <w:rPr>
          <w:rFonts w:ascii="Arial" w:cs="Arial" w:eastAsia="Arial" w:hAnsi="Arial"/>
          <w:sz w:val="16"/>
          <w:szCs w:val="16"/>
          <w:color w:val="auto"/>
        </w:rPr>
        <w:t>Changes in our financial results include the impact of changes in foreign currency exchange rates. We provide “constant currency” calculations in this quarterly report to remove the impact of these items. We express year-over-year variances that were calculated in constant currency as a percentage.</w:t>
      </w:r>
    </w:p>
    <w:p>
      <w:pPr>
        <w:spacing w:after="0" w:line="151" w:lineRule="exact"/>
        <w:rPr>
          <w:sz w:val="20"/>
          <w:szCs w:val="20"/>
          <w:color w:val="auto"/>
        </w:rPr>
      </w:pPr>
    </w:p>
    <w:p>
      <w:pPr>
        <w:ind w:left="60" w:right="26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 d earnings and not our actual cash flow or economic condition.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8"/>
                <w:szCs w:val="18"/>
                <w:color w:val="auto"/>
              </w:rPr>
              <w:t>3 Months Ended March 31, 2010 Compared to 2009</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1"/>
              </w:rPr>
              <w:t>Variance in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Reported</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Reported</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Impact of</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Amount (a)</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Variance</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Currency</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Americas: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Arial" w:cs="Arial" w:eastAsia="Arial" w:hAnsi="Arial"/>
                <w:sz w:val="18"/>
                <w:szCs w:val="18"/>
                <w:color w:val="auto"/>
              </w:rPr>
              <w:t>Other Americas</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2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EMEA:</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Italy</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ind w:left="680"/>
              <w:spacing w:after="0"/>
              <w:rPr>
                <w:sz w:val="20"/>
                <w:szCs w:val="20"/>
                <w:color w:val="auto"/>
              </w:rPr>
            </w:pPr>
            <w:r>
              <w:rPr>
                <w:rFonts w:ascii="Arial" w:cs="Arial" w:eastAsia="Arial" w:hAnsi="Arial"/>
                <w:sz w:val="18"/>
                <w:szCs w:val="18"/>
                <w:color w:val="auto"/>
              </w:rPr>
              <w:t>Other EMEA</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Right Management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4,099.3</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6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elling and Administrative Expenses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668.9</w:t>
            </w: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In millions for the three months ended March 31, 2010.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180" w:top="49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operating activities resulted in a net cash decrease of $43.0 million during the first quarter of 2010 compared to a net cash increase of $249.8 million during the first quarter of 2009. This decrease was primarily attributable to increased working capital needs as a result of the growth in the business. Working capital increased $67.2 million during the first quarter of 2010 compared to a $215.8 million decrease during the first quarter of 2009.</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Accounts receivable increased to $3,075.7 million as of March 31, 2010 from $3,070.8 million as of December 31, 2009. This increase was due to increased business volumes, offset by changes in foreign currency exchange rates. At constant exchange rates, the March 31, 2010 balance would have been approximately $117.0 million higher than reported.</w:t>
      </w:r>
    </w:p>
    <w:p>
      <w:pPr>
        <w:spacing w:after="0" w:line="20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Capital expenditures were $7.8 million in the first quarter of 2010 compared to $8.9 million in the first quarter of 2009. These expenditures were primarily comprised of purchases of computer equipment, office furniture and other costs related to office openings and refurbishments. We expect an increase in capital expenditures during the remainder of the year as a result of the French headquarters relocation, the acquisition of COMSYS IT Partners, Inc. (“COMSYS”) and other expenditures in our branch offices.</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first quarter of 2010 was $0.1 million, compared to $10.6 million in the first quarter of 2009.</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April 5, 2010, we completed our previously announced acquisition of COMSYS from its existing shareholders. The value of the consideration for each outstanding share of COMSYS common stock was $17.65, for a total enterprise value of $427.0 million, including the debt retired by us at closing. The consideration was approximately 50% Manpower common stock and approximately 50% cash.</w:t>
      </w:r>
    </w:p>
    <w:p>
      <w:pPr>
        <w:spacing w:after="0" w:line="20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cash portion of this acquisition was funded with a $485.9 million dividend from Manpower France, resulting in $408.7 million of cash remaining in France as of March 31, 2010. The majority of our remaining cash balance as of March 31, 2010 was recorded in our U.S. reporting units.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Cash from net debt borrowings were $1.0 million in the first quarter of 2010 compared to repayments $55.5 million in the first quarter of 2009.</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€300.0 million notes are due June 2012, our $400.0 million revolving credit agreement expires in November 2012, and our €200.0 million notes are due June 2013. When these facilities mature, we plan to repay these amounts with available cash or refinance them with new long-term facilities. In the event that the economy slows again and declines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2010, we had letters of credit totaling $5.9 million issued under our $400.0 million revolving credit agreement. Additional borrowings of $394.1 million were available to us under the credit agreement as of March 31, 2010.</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$400.0 million revolving credit agreement requires that we comply with a maximum Debt-to-EBITDA ratio of 5.75 to 1 and a minimum fixed charge ratio of 1.25 to 1 for the quarter ended March 31, 2010. As defined in the agreement, we had a Debt-to-EBITDA ratio of 3.00 to 1 and a fixed charge ratio of 1.63 to 1 for the quarter. Based on our current forecast, we expect to be in compliance with our financial covenants for the next 12 months.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4" w:name="page25"/>
    <w:bookmarkEnd w:id="24"/>
    <w:p>
      <w:pPr>
        <w:ind w:right="16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March 31, 2010, such credit lines totaled $392.3 million, of which $350.9 million was unused. Under the revolving credit agreement, total subsidiary borrowings cannot exceed $300.0 million in the first, second and fourth quarters, and $600.0 million in the third quarter of each year. Due to limitations on subsidiary borrowings in our revolving credit agreement, additional borrowings of $258.2 million could currently be made under these lines.</w:t>
      </w:r>
    </w:p>
    <w:p>
      <w:pPr>
        <w:spacing w:after="0" w:line="188"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In August 2007, the Board of Directors authorized the repurchase of 5.0 million shares of our common stock, not to exceed a total purchase price of $400.0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Under the 2007 authorization, we have repurchased 3.9 million shares at a total cost of $217.9 million, none of which were repurchased in the first quarter of 2010 or 2009. There were 1.1 million shares, at a cost of up to $182.1 million, remaining authorized for repurchase under this authorization as of March 31, 2010.</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27, 2010, the Board of Directors declared a cash dividend of $0.37 per share, which is payable on June 15, 2010 to shareholders of record on June 3, 2010.</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$1,653.1 million as of March 31, 2010 compared to $1,758.6 million as of December 31, 2009. Obligations arising from the acquisition of COMSYS are excluded from these balances, as well as our liability for unrecognized tax benefits, including related interest and penalties of $31.3 million and $31.0 million as of March 31, 2010 and December 31, 2009, respectively.</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recorded reorganization costs of $1.3 million in the first quarter of 2010 in Selling and Administrative Expenses, related to severances and office closures and consolidations in several countries. We also made payments of $7.9 million out of this and prior-year reserves relating to reorganization costs. Since 2007, we have recorded reorganization costs totaling $80.4 million (including $33.5 million, $37.2 million and $8.4 million recorded in 2009, 2008 and 2007, respectively). As of March 31, 2010, $65.8 million has been paid out of these reserves. We expect a majority of the remaining $14.6 million will be paid in 2010 (see Note 4 to the Consolidated Financial Statements for further information).</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$162.7 million and $163.3 million as of March 31, 2010 and December 31, 2009, respectively, consisting of $122.4 million and $120.3 million for guarantees, respectively, and $40.3 million and $43.0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$0.6 million and $0.2 million in the first quarter of 2010 and 2009, respectively.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Legal Regulations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and paid the fine in April 2009. We appealed the decision of the French Competition Council, but our appeal was denied in January 2010. We have subsequently filed an appeal of this denial before a higher court, which is currently pending.</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March 2010, the United States government passed new health care legislation known as the Patient Protection and Affordable Care Act (‘PPACA’). The provisions of PPACA having the main financial impact will become effective in 2014. We are currently assessing the implications that this significant legislation will have on us and our clients with U.S.-based employees. We expect this legislation will increase the employment costs for both our permanent employees and our associates, but we are currently unable to quantify the amount. Our intention is to pass on to our clients any cost increases related to our associates, however there is no assurance that we will be fully successful.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2009,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“expect,&amp;# 8221;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2009 Annual Report on Form 10-K contains certain disclosures about market risks affecting us. There have been no material changes to the information provided which would require additional disclosures as of the date of this filing.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 ial Officer concluded that our disclosure controls and procedures are effective as of the end of the period covered by this report.</w:t>
      </w:r>
    </w:p>
    <w:p>
      <w:pPr>
        <w:spacing w:after="0" w:line="18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7" w:name="page28"/>
    <w:bookmarkEnd w:id="27"/>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w:t>
      </w:r>
    </w:p>
    <w:p>
      <w:pPr>
        <w:spacing w:after="0" w:line="16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Total number</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of shares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purchased</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Total number</w:t>
            </w:r>
          </w:p>
        </w:tc>
        <w:tc>
          <w:tcPr>
            <w:tcW w:w="12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part of</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Maximum number of</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of shares</w:t>
            </w:r>
          </w:p>
        </w:tc>
        <w:tc>
          <w:tcPr>
            <w:tcW w:w="12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paid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publicly</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shares that may yet</w:t>
            </w: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per share</w:t>
            </w:r>
          </w:p>
        </w:tc>
        <w:tc>
          <w:tcPr>
            <w:tcW w:w="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 purchased</w:t>
            </w:r>
          </w:p>
        </w:tc>
        <w:tc>
          <w:tcPr>
            <w:tcW w:w="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January 1- 31, 2010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7"/>
              </w:rPr>
              <w:t>1,026,490</w:t>
            </w: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February 1 - 28, 2010</w:t>
            </w:r>
          </w:p>
        </w:tc>
        <w:tc>
          <w:tcPr>
            <w:tcW w:w="1500" w:type="dxa"/>
            <w:vAlign w:val="bottom"/>
            <w:gridSpan w:val="2"/>
          </w:tcPr>
          <w:p>
            <w:pPr>
              <w:jc w:val="right"/>
              <w:ind w:right="120"/>
              <w:spacing w:after="0" w:line="216" w:lineRule="exact"/>
              <w:rPr>
                <w:sz w:val="20"/>
                <w:szCs w:val="20"/>
                <w:color w:val="auto"/>
              </w:rPr>
            </w:pPr>
            <w:r>
              <w:rPr>
                <w:rFonts w:ascii="Arial" w:cs="Arial" w:eastAsia="Arial" w:hAnsi="Arial"/>
                <w:sz w:val="18"/>
                <w:szCs w:val="18"/>
                <w:color w:val="auto"/>
              </w:rPr>
              <w:t xml:space="preserve">21,218 </w:t>
            </w:r>
            <w:r>
              <w:rPr>
                <w:rFonts w:ascii="Arial" w:cs="Arial" w:eastAsia="Arial" w:hAnsi="Arial"/>
                <w:sz w:val="25"/>
                <w:szCs w:val="25"/>
                <w:color w:val="auto"/>
                <w:vertAlign w:val="superscript"/>
              </w:rPr>
              <w:t>(1)</w:t>
            </w:r>
          </w:p>
        </w:tc>
        <w:tc>
          <w:tcPr>
            <w:tcW w:w="1260" w:type="dxa"/>
            <w:vAlign w:val="bottom"/>
          </w:tcPr>
          <w:p>
            <w:pPr>
              <w:spacing w:after="0"/>
              <w:rPr>
                <w:sz w:val="18"/>
                <w:szCs w:val="18"/>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960"/>
              <w:spacing w:after="0"/>
              <w:rPr>
                <w:sz w:val="20"/>
                <w:szCs w:val="20"/>
                <w:color w:val="auto"/>
              </w:rPr>
            </w:pPr>
            <w:r>
              <w:rPr>
                <w:rFonts w:ascii="Arial" w:cs="Arial" w:eastAsia="Arial" w:hAnsi="Arial"/>
                <w:sz w:val="18"/>
                <w:szCs w:val="18"/>
                <w:color w:val="auto"/>
              </w:rPr>
              <w:t>1,026,490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March 1 - 31, 2010</w:t>
            </w:r>
          </w:p>
        </w:tc>
        <w:tc>
          <w:tcPr>
            <w:tcW w:w="150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8"/>
                <w:szCs w:val="18"/>
                <w:color w:val="auto"/>
              </w:rPr>
              <w:t xml:space="preserve">138 </w:t>
            </w:r>
            <w:r>
              <w:rPr>
                <w:rFonts w:ascii="Arial" w:cs="Arial" w:eastAsia="Arial" w:hAnsi="Arial"/>
                <w:sz w:val="25"/>
                <w:szCs w:val="25"/>
                <w:color w:val="auto"/>
                <w:vertAlign w:val="superscript"/>
              </w:rPr>
              <w:t>(2)</w:t>
            </w:r>
          </w:p>
        </w:tc>
        <w:tc>
          <w:tcPr>
            <w:tcW w:w="1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1,026,490</w:t>
            </w:r>
            <w:r>
              <w:rPr>
                <w:rFonts w:ascii="Arial" w:cs="Arial" w:eastAsia="Arial" w:hAnsi="Arial"/>
                <w:sz w:val="12"/>
                <w:szCs w:val="12"/>
                <w:color w:val="auto"/>
              </w:rPr>
              <w:t>(3)</w:t>
            </w:r>
          </w:p>
        </w:tc>
      </w:tr>
    </w:tbl>
    <w:p>
      <w:pPr>
        <w:spacing w:after="0" w:line="202" w:lineRule="exact"/>
        <w:rPr>
          <w:sz w:val="20"/>
          <w:szCs w:val="20"/>
          <w:color w:val="auto"/>
        </w:rPr>
      </w:pPr>
    </w:p>
    <w:p>
      <w:pPr>
        <w:ind w:right="320" w:firstLine="8"/>
        <w:spacing w:after="0" w:line="258"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withheld by Manpower to satisfy tax withholding obligations on shares acquired by certain officers in settlement of restricted stock units.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 upon vesting, to satisfy tax withholding requirements.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to exceed a total purchase price of $182.1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Item 4 – Submission of Matters to a Vote of Security Holders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April 27, 2010, at our Annual Meeting of Shareholders (the “Annual Meeting”) our shareholders voted on proposals to: (1) elect three individuals nominated by the Board of Directors of Manpower Inc. to serve until 2013 as Class II directors; (2) ratify the appointment of Deloitte &amp; Touche LLP as our independent auditors for 2010; (3) approve the proposed amendment to the Amended and Restated Articles of Incorporation of Manpower Inc. to provide for a majority voting standard for uncontested elections of directors; and (4) approve the proposed amendment to the Amended and Restated By-Laws of Manpower Inc. to provide for a majority voting standard for uncontested elections of directors. In addition, Cari M. Dominguez, Roberto Mendoza and Edward J. Zore continued as Class III directors (term expiring 2011). Jeffre y A. Joerres, John R. Walter, Marc J. Bolland and Ulice Payne, Jr. continued as Class I directors (term expiring 2012). The results of the proposals voted upon at the Annual Meeting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Broker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For</w:t>
            </w:r>
          </w:p>
        </w:tc>
        <w:tc>
          <w:tcPr>
            <w:tcW w:w="26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Withheld</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Abstain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Non-Vote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 Election of Gina R. Boswell</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61,292,099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4,284,955</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 Election of Jack M. Greenberg</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64,515,046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1,062,008</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 Election of Terry A. Hueneke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57,673,009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7,904,045</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w:t>
            </w:r>
          </w:p>
        </w:tc>
        <w:tc>
          <w:tcPr>
            <w:tcW w:w="43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8"/>
              </w:rPr>
              <w:t>Ratification of the appointment of Deloitte &amp; Touche</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LLP as our independent auditors for 2010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67,523,556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374,860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4300" w:type="dxa"/>
            <w:vAlign w:val="bottom"/>
          </w:tcPr>
          <w:p>
            <w:pPr>
              <w:ind w:left="240"/>
              <w:spacing w:after="0"/>
              <w:rPr>
                <w:sz w:val="20"/>
                <w:szCs w:val="20"/>
                <w:color w:val="auto"/>
              </w:rPr>
            </w:pPr>
            <w:r>
              <w:rPr>
                <w:rFonts w:ascii="Arial" w:cs="Arial" w:eastAsia="Arial" w:hAnsi="Arial"/>
                <w:sz w:val="18"/>
                <w:szCs w:val="18"/>
                <w:color w:val="auto"/>
                <w:w w:val="93"/>
              </w:rPr>
              <w:t>Approval of the proposed amendment to the Amended</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and Restated Articles of Incorporation of Manpower Inc. to</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provide for a majority voting standard for uncontested</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elections of directors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65,385,900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2,461,578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60,057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Approval of the proposed amendment to the Amended</w:t>
            </w: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Restated By-Laws of Manpower Inc. to provide for a</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majority voting standard for uncontested elections of directors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65,386,540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2,460,540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60,455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2010:</w:t>
      </w:r>
    </w:p>
    <w:p>
      <w:pPr>
        <w:spacing w:after="0" w:line="170"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36" w:lineRule="exact"/>
        <w:rPr>
          <w:rFonts w:ascii="Arial" w:cs="Arial" w:eastAsia="Arial" w:hAnsi="Arial"/>
          <w:sz w:val="17"/>
          <w:szCs w:val="17"/>
          <w:color w:val="auto"/>
        </w:rPr>
      </w:pPr>
    </w:p>
    <w:p>
      <w:pPr>
        <w:ind w:left="620" w:hanging="612"/>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25" w:lineRule="exact"/>
        <w:rPr>
          <w:rFonts w:ascii="Arial" w:cs="Arial" w:eastAsia="Arial" w:hAnsi="Arial"/>
          <w:sz w:val="18"/>
          <w:szCs w:val="18"/>
          <w:color w:val="auto"/>
        </w:rPr>
      </w:pPr>
    </w:p>
    <w:p>
      <w:pPr>
        <w:jc w:val="both"/>
        <w:ind w:left="620" w:right="180" w:hanging="612"/>
        <w:spacing w:after="0" w:line="264"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181" w:lineRule="exact"/>
        <w:rPr>
          <w:rFonts w:ascii="Arial" w:cs="Arial" w:eastAsia="Arial" w:hAnsi="Arial"/>
          <w:sz w:val="18"/>
          <w:szCs w:val="18"/>
          <w:color w:val="auto"/>
        </w:rPr>
      </w:pPr>
    </w:p>
    <w:p>
      <w:pPr>
        <w:ind w:left="620" w:right="620" w:hanging="612"/>
        <w:spacing w:after="0" w:line="308"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46" w:lineRule="exact"/>
        <w:rPr>
          <w:rFonts w:ascii="Arial" w:cs="Arial" w:eastAsia="Arial" w:hAnsi="Arial"/>
          <w:sz w:val="17"/>
          <w:szCs w:val="17"/>
          <w:color w:val="auto"/>
        </w:rPr>
      </w:pPr>
    </w:p>
    <w:p>
      <w:pPr>
        <w:ind w:left="620" w:hanging="612"/>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auto"/>
              </w:rPr>
              <w:t>Item 6 – Exhibits</w:t>
            </w:r>
          </w:p>
        </w:tc>
        <w:tc>
          <w:tcPr>
            <w:tcW w:w="9920" w:type="dxa"/>
            <w:vAlign w:val="bottom"/>
          </w:tcPr>
          <w:p>
            <w:pPr>
              <w:spacing w:after="0"/>
              <w:rPr>
                <w:sz w:val="17"/>
                <w:szCs w:val="17"/>
                <w:color w:val="auto"/>
              </w:rPr>
            </w:pPr>
          </w:p>
        </w:tc>
      </w:tr>
      <w:tr>
        <w:trPr>
          <w:trHeight w:val="438"/>
        </w:trPr>
        <w:tc>
          <w:tcPr>
            <w:tcW w:w="12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Agreement and Plan of Merger dated as of February 1, 2010 by and among Manpower Inc., Taurus Merger Sub, Inc. and COMSYS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IT Partners, Inc., incorporated by reference to the Company’s Current Report on Form 8-K dated February 1, 2010.</w:t>
            </w:r>
          </w:p>
        </w:tc>
      </w:tr>
      <w:tr>
        <w:trPr>
          <w:trHeight w:val="418"/>
        </w:trPr>
        <w:tc>
          <w:tcPr>
            <w:tcW w:w="1260" w:type="dxa"/>
            <w:vAlign w:val="bottom"/>
          </w:tcPr>
          <w:p>
            <w:pPr>
              <w:ind w:left="6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3"/>
              </w:rPr>
              <w:t>Tender and Voting Agreement, dated as of February 1, 2010, by and among Manpower Inc. and the persons listed on Schedule I</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attached thereto, incorporated by reference to the Company’s Current Report on Form 8-K dated February 1, 2010.</w:t>
            </w:r>
          </w:p>
        </w:tc>
      </w:tr>
      <w:tr>
        <w:trPr>
          <w:trHeight w:val="432"/>
        </w:trPr>
        <w:tc>
          <w:tcPr>
            <w:tcW w:w="1260" w:type="dxa"/>
            <w:vAlign w:val="bottom"/>
          </w:tcPr>
          <w:p>
            <w:pPr>
              <w:ind w:left="6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Form of Performance Share Unit Agreement.</w:t>
            </w:r>
          </w:p>
        </w:tc>
      </w:tr>
      <w:tr>
        <w:trPr>
          <w:trHeight w:val="432"/>
        </w:trPr>
        <w:tc>
          <w:tcPr>
            <w:tcW w:w="1260" w:type="dxa"/>
            <w:vAlign w:val="bottom"/>
          </w:tcPr>
          <w:p>
            <w:pPr>
              <w:ind w:left="6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Amendment of Manpower Inc. 2003 Equity Incentive Plan.</w:t>
            </w:r>
          </w:p>
        </w:tc>
      </w:tr>
      <w:tr>
        <w:trPr>
          <w:trHeight w:val="432"/>
        </w:trPr>
        <w:tc>
          <w:tcPr>
            <w:tcW w:w="1260" w:type="dxa"/>
            <w:vAlign w:val="bottom"/>
          </w:tcPr>
          <w:p>
            <w:pPr>
              <w:ind w:left="62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18"/>
        </w:trPr>
        <w:tc>
          <w:tcPr>
            <w:tcW w:w="1260" w:type="dxa"/>
            <w:vAlign w:val="bottom"/>
          </w:tcPr>
          <w:p>
            <w:pPr>
              <w:ind w:left="6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Act of 1934.</w:t>
            </w:r>
          </w:p>
        </w:tc>
      </w:tr>
      <w:tr>
        <w:trPr>
          <w:trHeight w:val="418"/>
        </w:trPr>
        <w:tc>
          <w:tcPr>
            <w:tcW w:w="1260" w:type="dxa"/>
            <w:vAlign w:val="bottom"/>
          </w:tcPr>
          <w:p>
            <w:pPr>
              <w:ind w:left="6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4"/>
              </w:rPr>
              <w:t>Certification of Michael J. Van Handel, Executive Vice President and Chief Financial Officer, pursuant to Section 13a-14(a) of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Securities Exchange Act of 1934.</w:t>
            </w:r>
          </w:p>
        </w:tc>
      </w:tr>
      <w:tr>
        <w:trPr>
          <w:trHeight w:val="432"/>
        </w:trPr>
        <w:tc>
          <w:tcPr>
            <w:tcW w:w="1260" w:type="dxa"/>
            <w:vAlign w:val="bottom"/>
          </w:tcPr>
          <w:p>
            <w:pPr>
              <w:ind w:left="6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432"/>
        </w:trPr>
        <w:tc>
          <w:tcPr>
            <w:tcW w:w="1260" w:type="dxa"/>
            <w:vAlign w:val="bottom"/>
          </w:tcPr>
          <w:p>
            <w:pPr>
              <w:ind w:left="6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920" w:type="dxa"/>
            <w:vAlign w:val="bottom"/>
          </w:tcPr>
          <w:p>
            <w:pPr>
              <w:ind w:left="260"/>
              <w:spacing w:after="0"/>
              <w:rPr>
                <w:sz w:val="20"/>
                <w:szCs w:val="20"/>
                <w:color w:val="auto"/>
              </w:rPr>
            </w:pPr>
            <w:r>
              <w:rPr>
                <w:rFonts w:ascii="Arial" w:cs="Arial" w:eastAsia="Arial" w:hAnsi="Arial"/>
                <w:sz w:val="18"/>
                <w:szCs w:val="18"/>
                <w:color w:val="auto"/>
                <w:w w:val="98"/>
              </w:rPr>
              <w:t>Statement of Michael J. Van Handel, Executive Vice President and Chief Financial Officer, pursuant to 18 U.S.C. ss. 1350.</w:t>
            </w:r>
          </w:p>
        </w:tc>
      </w:tr>
      <w:tr>
        <w:trPr>
          <w:trHeight w:val="797"/>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31</w:t>
            </w:r>
          </w:p>
        </w:tc>
      </w:tr>
      <w:tr>
        <w:trPr>
          <w:trHeight w:val="105"/>
        </w:trPr>
        <w:tc>
          <w:tcPr>
            <w:tcW w:w="1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31" w:name="page32"/>
    <w:bookmarkEnd w:id="31"/>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1912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12620"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2010</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1912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12620"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(Signing on behalf of the Registrant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as the Principal Financial Officer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Accounting Officer)</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02"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tcPr>
          <w:p>
            <w:pPr>
              <w:jc w:val="center"/>
              <w:ind w:right="145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Exhibit No.</w:t>
            </w:r>
          </w:p>
        </w:tc>
        <w:tc>
          <w:tcPr>
            <w:tcW w:w="300" w:type="dxa"/>
            <w:vAlign w:val="bottom"/>
          </w:tcPr>
          <w:p>
            <w:pPr>
              <w:spacing w:after="0"/>
              <w:rPr>
                <w:sz w:val="24"/>
                <w:szCs w:val="24"/>
                <w:color w:val="auto"/>
              </w:rPr>
            </w:pPr>
          </w:p>
        </w:tc>
        <w:tc>
          <w:tcPr>
            <w:tcW w:w="986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Description</w:t>
            </w:r>
          </w:p>
        </w:tc>
      </w:tr>
      <w:tr>
        <w:trPr>
          <w:trHeight w:val="202"/>
        </w:trPr>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87"/>
              </w:rPr>
              <w:t>2.1</w:t>
            </w:r>
          </w:p>
        </w:tc>
        <w:tc>
          <w:tcPr>
            <w:tcW w:w="300" w:type="dxa"/>
            <w:vAlign w:val="bottom"/>
          </w:tcPr>
          <w:p>
            <w:pPr>
              <w:spacing w:after="0"/>
              <w:rPr>
                <w:sz w:val="17"/>
                <w:szCs w:val="17"/>
                <w:color w:val="auto"/>
              </w:rPr>
            </w:pPr>
          </w:p>
        </w:tc>
        <w:tc>
          <w:tcPr>
            <w:tcW w:w="9860" w:type="dxa"/>
            <w:vAlign w:val="bottom"/>
          </w:tcPr>
          <w:p>
            <w:pPr>
              <w:spacing w:after="0" w:line="201" w:lineRule="exact"/>
              <w:rPr>
                <w:sz w:val="20"/>
                <w:szCs w:val="20"/>
                <w:color w:val="auto"/>
              </w:rPr>
            </w:pPr>
            <w:r>
              <w:rPr>
                <w:rFonts w:ascii="Arial" w:cs="Arial" w:eastAsia="Arial" w:hAnsi="Arial"/>
                <w:sz w:val="18"/>
                <w:szCs w:val="18"/>
                <w:color w:val="auto"/>
                <w:w w:val="92"/>
              </w:rPr>
              <w:t>Agreement and Plan of Merger dated as of February 1, 2010 by and among Manpower Inc., Taurus Merger Sub, Inc. and COMSYS IT</w:t>
            </w:r>
          </w:p>
        </w:tc>
      </w:tr>
      <w:tr>
        <w:trPr>
          <w:trHeight w:val="230"/>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Partners, Inc., incorporated by reference to the Company’s Current Report on Form 8-K dated February 1, 2010.</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89"/>
              </w:rPr>
              <w:t>Tender and Voting Agreement, dated as of February 1, 2010, by and among Manpower Inc. and the persons listed on Schedule I attached</w:t>
            </w:r>
          </w:p>
        </w:tc>
      </w:tr>
      <w:tr>
        <w:trPr>
          <w:trHeight w:val="230"/>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thereto, incorporated by reference to the Company’s Current Report on Form 8-K dated February 1, 2010.</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Form of Performance Share Unit Agreement.</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Amendment of Manpower Inc. 2003 Equity Incentive Plan.</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1"/>
              </w:rPr>
              <w:t>Certification of Jeffrey A. Joerres, Chairman and Chief Executive Officer, pursuant to Section 13a-14(a) of the Securities Exchange Act</w:t>
            </w:r>
          </w:p>
        </w:tc>
      </w:tr>
      <w:tr>
        <w:trPr>
          <w:trHeight w:val="230"/>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of 1934.</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6"/>
              </w:rPr>
              <w:t>Certification of Michael J. Van Handel, Executive Vice President and Chief Financial Officer, pursuant to Section 13a-14(a) of the</w:t>
            </w:r>
          </w:p>
        </w:tc>
      </w:tr>
      <w:tr>
        <w:trPr>
          <w:trHeight w:val="230"/>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 pursuant to 18 U.S.C. ss. 1350.</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0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r>
        <w:trPr>
          <w:trHeight w:val="648"/>
        </w:trPr>
        <w:tc>
          <w:tcPr>
            <w:tcW w:w="1260" w:type="dxa"/>
            <w:vAlign w:val="bottom"/>
          </w:tcPr>
          <w:p>
            <w:pPr>
              <w:spacing w:after="0"/>
              <w:rPr>
                <w:sz w:val="24"/>
                <w:szCs w:val="24"/>
                <w:color w:val="auto"/>
              </w:rPr>
            </w:pPr>
          </w:p>
        </w:tc>
        <w:tc>
          <w:tcPr>
            <w:tcW w:w="10160" w:type="dxa"/>
            <w:vAlign w:val="bottom"/>
            <w:gridSpan w:val="2"/>
          </w:tcPr>
          <w:p>
            <w:pPr>
              <w:jc w:val="right"/>
              <w:ind w:right="553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9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AGREEMENT</w:t>
      </w:r>
    </w:p>
    <w:p>
      <w:pPr>
        <w:spacing w:after="0" w:line="200" w:lineRule="exact"/>
        <w:rPr>
          <w:sz w:val="20"/>
          <w:szCs w:val="20"/>
          <w:color w:val="auto"/>
        </w:rPr>
      </w:pPr>
    </w:p>
    <w:p>
      <w:pPr>
        <w:spacing w:after="0" w:line="24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Performance Share Unit Agreement (this “Agreement”) is executed as of by and between MANPOWER INC., a Wisconsin corporation (the “Corporation”), and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-182245</wp:posOffset>
            </wp:positionV>
            <wp:extent cx="28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-45085</wp:posOffset>
            </wp:positionV>
            <wp:extent cx="285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WHEREAS the Board of Directors of the Corporation has established the 2003 Equity Incentive Plan (the “Plan”) with the approval of the shareholders of the Corporation;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Employee has been granted Performance Share Units under the Plan subject to the terms provided in this Agreement and the Plan.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Corporation and the Employee hereby agree as follows:</w:t>
      </w:r>
    </w:p>
    <w:p>
      <w:pPr>
        <w:spacing w:after="0" w:line="225" w:lineRule="exact"/>
        <w:rPr>
          <w:sz w:val="20"/>
          <w:szCs w:val="20"/>
          <w:color w:val="auto"/>
        </w:rPr>
      </w:pPr>
    </w:p>
    <w:p>
      <w:pPr>
        <w:ind w:right="40" w:firstLine="656"/>
        <w:spacing w:after="0" w:line="302" w:lineRule="auto"/>
        <w:tabs>
          <w:tab w:leader="none" w:pos="105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Provisions of Plan Control</w:t>
      </w:r>
      <w:r>
        <w:rPr>
          <w:rFonts w:ascii="Arial" w:cs="Arial" w:eastAsia="Arial" w:hAnsi="Arial"/>
          <w:sz w:val="16"/>
          <w:szCs w:val="16"/>
          <w:color w:val="auto"/>
        </w:rPr>
        <w:t>. 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150" w:lineRule="exact"/>
        <w:rPr>
          <w:rFonts w:ascii="Arial" w:cs="Arial" w:eastAsia="Arial" w:hAnsi="Arial"/>
          <w:sz w:val="16"/>
          <w:szCs w:val="16"/>
          <w:color w:val="auto"/>
        </w:rPr>
      </w:pPr>
    </w:p>
    <w:p>
      <w:pPr>
        <w:ind w:right="40" w:firstLine="656"/>
        <w:spacing w:after="0" w:line="272" w:lineRule="auto"/>
        <w:tabs>
          <w:tab w:leader="none" w:pos="105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Terms of Award and Performance Goal</w:t>
      </w:r>
      <w:r>
        <w:rPr>
          <w:rFonts w:ascii="Arial" w:cs="Arial" w:eastAsia="Arial" w:hAnsi="Arial"/>
          <w:sz w:val="17"/>
          <w:szCs w:val="17"/>
          <w:color w:val="auto"/>
        </w:rPr>
        <w:t xml:space="preserve">. The Employee has been granted a Target Grant of </w:t>
      </w:r>
      <w:r>
        <w:rPr>
          <w:rFonts w:ascii="Arial" w:cs="Arial" w:eastAsia="Arial" w:hAnsi="Arial"/>
          <w:sz w:val="17"/>
          <w:szCs w:val="17"/>
          <w:b w:val="1"/>
          <w:bCs w:val="1"/>
          <w:color w:val="auto"/>
        </w:rPr>
        <w:t>[___________]</w:t>
      </w:r>
      <w:r>
        <w:rPr>
          <w:rFonts w:ascii="Arial" w:cs="Arial" w:eastAsia="Arial" w:hAnsi="Arial"/>
          <w:sz w:val="17"/>
          <w:szCs w:val="17"/>
          <w:color w:val="auto"/>
        </w:rPr>
        <w:t xml:space="preserve"> Performance Share Units under the Plan. The actual number of Performance Share Units earned by Employee will be determined as described below, based upon the actual results for the Performance Period compared to the Performance Goal, subject to the conditions (the “Conditions”) that (a) the Employee remains an employee of the Corporation or its direct and indirect subsidiaries (collectively, the “Manpower Group”) continuously from the date of this Award until the last day of the Service Period, and (b) the actual OPMP for the Se rvice Period equals or exceeds the amount specified below as the Threshold OPMP for the Performance Period. If either of the Conditions is not satisfied, then except as otherwise provided in this Agreement, or the Plan (to the extent not superseded by this Agreement), no Performance Share Units shall be earned. The Performance Goal and the number of Performance Share Units earned based on actual results for OPMP for the Performance Period will be as follows:</w:t>
      </w:r>
    </w:p>
    <w:p>
      <w:pPr>
        <w:spacing w:after="0" w:line="176"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32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OPMP for the Performance Period</w:t>
            </w:r>
          </w:p>
        </w:tc>
        <w:tc>
          <w:tcPr>
            <w:tcW w:w="46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Resulting Performance Share Units Earned</w:t>
            </w:r>
          </w:p>
        </w:tc>
      </w:tr>
      <w:tr>
        <w:trPr>
          <w:trHeight w:val="392"/>
        </w:trPr>
        <w:tc>
          <w:tcPr>
            <w:tcW w:w="3200" w:type="dxa"/>
            <w:vAlign w:val="bottom"/>
            <w:gridSpan w:val="6"/>
          </w:tcPr>
          <w:p>
            <w:pPr>
              <w:jc w:val="center"/>
              <w:spacing w:after="0"/>
              <w:rPr>
                <w:sz w:val="20"/>
                <w:szCs w:val="20"/>
                <w:color w:val="auto"/>
              </w:rPr>
            </w:pPr>
            <w:r>
              <w:rPr>
                <w:rFonts w:ascii="Arial" w:cs="Arial" w:eastAsia="Arial" w:hAnsi="Arial"/>
                <w:sz w:val="18"/>
                <w:szCs w:val="18"/>
                <w:color w:val="auto"/>
                <w:w w:val="93"/>
              </w:rPr>
              <w:t>Threshold OPMP (</w:t>
            </w:r>
            <w:r>
              <w:rPr>
                <w:rFonts w:ascii="Arial" w:cs="Arial" w:eastAsia="Arial" w:hAnsi="Arial"/>
                <w:sz w:val="18"/>
                <w:szCs w:val="18"/>
                <w:b w:val="1"/>
                <w:bCs w:val="1"/>
                <w:color w:val="auto"/>
                <w:w w:val="93"/>
              </w:rPr>
              <w:t>0.60%</w:t>
            </w:r>
            <w:r>
              <w:rPr>
                <w:rFonts w:ascii="Arial" w:cs="Arial" w:eastAsia="Arial" w:hAnsi="Arial"/>
                <w:sz w:val="18"/>
                <w:szCs w:val="18"/>
                <w:color w:val="auto"/>
                <w:w w:val="93"/>
              </w:rPr>
              <w:t>)</w:t>
            </w:r>
          </w:p>
        </w:tc>
        <w:tc>
          <w:tcPr>
            <w:tcW w:w="4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50% of Target Grant</w:t>
            </w:r>
          </w:p>
        </w:tc>
      </w:tr>
      <w:tr>
        <w:trPr>
          <w:trHeight w:val="20"/>
        </w:trPr>
        <w:tc>
          <w:tcPr>
            <w:tcW w:w="18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320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92"/>
              </w:rPr>
              <w:t>Target OPMP (</w:t>
            </w:r>
            <w:r>
              <w:rPr>
                <w:rFonts w:ascii="Arial" w:cs="Arial" w:eastAsia="Arial" w:hAnsi="Arial"/>
                <w:sz w:val="18"/>
                <w:szCs w:val="18"/>
                <w:b w:val="1"/>
                <w:bCs w:val="1"/>
                <w:color w:val="auto"/>
                <w:w w:val="92"/>
              </w:rPr>
              <w:t>0.95%</w:t>
            </w:r>
            <w:r>
              <w:rPr>
                <w:rFonts w:ascii="Arial" w:cs="Arial" w:eastAsia="Arial" w:hAnsi="Arial"/>
                <w:sz w:val="18"/>
                <w:szCs w:val="18"/>
                <w:color w:val="auto"/>
                <w:w w:val="92"/>
              </w:rPr>
              <w:t>)</w:t>
            </w:r>
          </w:p>
        </w:tc>
        <w:tc>
          <w:tcPr>
            <w:tcW w:w="46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Arial" w:cs="Arial" w:eastAsia="Arial" w:hAnsi="Arial"/>
                <w:sz w:val="18"/>
                <w:szCs w:val="18"/>
                <w:color w:val="auto"/>
                <w:w w:val="90"/>
              </w:rPr>
              <w:t>100% of Target Grant</w:t>
            </w:r>
          </w:p>
        </w:tc>
      </w:tr>
      <w:tr>
        <w:trPr>
          <w:trHeight w:val="20"/>
        </w:trPr>
        <w:tc>
          <w:tcPr>
            <w:tcW w:w="18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96"/>
        </w:trPr>
        <w:tc>
          <w:tcPr>
            <w:tcW w:w="320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93"/>
              </w:rPr>
              <w:t>Outstanding OPMP (</w:t>
            </w:r>
            <w:r>
              <w:rPr>
                <w:rFonts w:ascii="Arial" w:cs="Arial" w:eastAsia="Arial" w:hAnsi="Arial"/>
                <w:sz w:val="18"/>
                <w:szCs w:val="18"/>
                <w:b w:val="1"/>
                <w:bCs w:val="1"/>
                <w:color w:val="auto"/>
                <w:w w:val="93"/>
              </w:rPr>
              <w:t>2.00%</w:t>
            </w:r>
            <w:r>
              <w:rPr>
                <w:rFonts w:ascii="Arial" w:cs="Arial" w:eastAsia="Arial" w:hAnsi="Arial"/>
                <w:sz w:val="18"/>
                <w:szCs w:val="18"/>
                <w:color w:val="auto"/>
                <w:w w:val="93"/>
              </w:rPr>
              <w:t>)</w:t>
            </w:r>
          </w:p>
        </w:tc>
        <w:tc>
          <w:tcPr>
            <w:tcW w:w="46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Arial" w:cs="Arial" w:eastAsia="Arial" w:hAnsi="Arial"/>
                <w:sz w:val="18"/>
                <w:szCs w:val="18"/>
                <w:color w:val="auto"/>
                <w:w w:val="90"/>
              </w:rPr>
              <w:t>200% of Target Grant</w:t>
            </w:r>
          </w:p>
        </w:tc>
      </w:tr>
      <w:tr>
        <w:trPr>
          <w:trHeight w:val="20"/>
        </w:trPr>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If actual OPMP for the Performance Period is below Threshold OPMP specified above, no Performance Share Units will be earned, and if actual OPMP for the Performance Period exceeds Outstanding OPMP specified above, the number of Performance Share Units earned will equal the number earned for Outstanding OPMP. Actual OPMP for the Performance Period between Threshold OPMP and Target OPMP, or between Target OPMP and Outstanding OPMP shall result in a number of Performance Share Units earned determined on a linear basis. Notwithstanding the foregoing, the Committee retains the discretion to decrease the number of Performance Share Units earne d under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right="680" w:firstLine="656"/>
        <w:spacing w:after="0" w:line="291" w:lineRule="auto"/>
        <w:tabs>
          <w:tab w:leader="none" w:pos="105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Award Payment</w:t>
      </w:r>
      <w:r>
        <w:rPr>
          <w:rFonts w:ascii="Arial" w:cs="Arial" w:eastAsia="Arial" w:hAnsi="Arial"/>
          <w:sz w:val="16"/>
          <w:szCs w:val="16"/>
          <w:color w:val="auto"/>
        </w:rPr>
        <w:t>. The number of Performance Share Units earned shall be paid in Shares after the end of the Service Period as soon as administratively practicable after the Committee has approved and certified the number of Performance Share Units that have been earned</w:t>
      </w:r>
    </w:p>
    <w:p>
      <w:pPr>
        <w:ind w:right="40"/>
        <w:spacing w:after="0" w:line="290" w:lineRule="auto"/>
        <w:rPr>
          <w:rFonts w:ascii="Arial" w:cs="Arial" w:eastAsia="Arial" w:hAnsi="Arial"/>
          <w:sz w:val="16"/>
          <w:szCs w:val="16"/>
          <w:color w:val="auto"/>
        </w:rPr>
      </w:pPr>
      <w:r>
        <w:rPr>
          <w:rFonts w:ascii="Arial" w:cs="Arial" w:eastAsia="Arial" w:hAnsi="Arial"/>
          <w:sz w:val="16"/>
          <w:szCs w:val="16"/>
          <w:color w:val="auto"/>
        </w:rPr>
        <w:t>hereunder. Notwithstanding the foregoing, Awards of Performance Share Units that become earned and vested upon the Employee’s death, Disability or a Triggering Event shall be paid in Shares as soon as administratively practicable after such death, Disability or Triggering Event. Further, to the extent that Performance Share Units granted hereunder become earned and vested upon the Employee’s Retirement and are nonqualified deferre d compensation subject to Section 409A of the Code, such Award shall be paid to the Employee in Shares after the Service Period on the date that is the later of (i) six (6) months after the date of the Employee’s “separation of service” as such term is defined under Section 409A of the Code, or (ii) as soon as administratively practicable after the date the Committee has certified and approved the number of Performance Share Units that have been earned hereunder.</w:t>
      </w:r>
    </w:p>
    <w:p>
      <w:pPr>
        <w:spacing w:after="0" w:line="164" w:lineRule="exact"/>
        <w:rPr>
          <w:rFonts w:ascii="Arial" w:cs="Arial" w:eastAsia="Arial" w:hAnsi="Arial"/>
          <w:sz w:val="16"/>
          <w:szCs w:val="16"/>
          <w:color w:val="auto"/>
        </w:rPr>
      </w:pPr>
    </w:p>
    <w:p>
      <w:pPr>
        <w:ind w:firstLine="656"/>
        <w:spacing w:after="0" w:line="268" w:lineRule="auto"/>
        <w:tabs>
          <w:tab w:leader="none" w:pos="105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Except as otherwise provided in the Plan and except as otherwise provided in this Agreement, Employee must be an employee of the Manpower Group continuously from the date of this Award until the last day of the Service Period in order for Employee to receive any Shares with respect to any Performance Share Units he or she may earn hereunder. Notwithstanding the foregoing, Section 10(d)(2) of the Plan, regarding the earning and accelerated vesting of Awards upon a death, Disability or Retirement, shall not apply to this Agreement. Instead, upon a participant’s death or Disability during the Performance Period, Employee will immediately earn and become vested in the number of Performance Share Units the participant would have otherwise earned if 100% of the Target Performance Goal had been achieved at the end of the Performance Period. Upon a Participant’s death or Disability during the Service Period, Employee will immediately become vested in the actual number of Performance Share Units earned based on attainment of the Performance Goal. In the event of Employee’s Retirement prior to the last day of the Service Period, Employee shall earn and become vested in a prorated number of Performance Share Units. The number of Performance Share Units earned and vested in connection with a Retirement shall be number of Performance Share Units determined by multiplying the number of Performance Share Units that would have been earned at the end of the Performance Period if Employee had remained an Employee until the last day of the Service Period, determined in accordance with the actual OPMP achieved at the end of the Performance Period, ta king into account the additional requirement to achieve the Threshold OPMP for the Service Period in order for such Performance Share Units to be earned, by the quotient of (x) the number of days between and including the date of this Agreement and the date of the Employee’s Retirement divided by (y) 682 days.</w:t>
      </w:r>
    </w:p>
    <w:p>
      <w:pPr>
        <w:spacing w:after="0" w:line="185" w:lineRule="exact"/>
        <w:rPr>
          <w:rFonts w:ascii="Arial" w:cs="Arial" w:eastAsia="Arial" w:hAnsi="Arial"/>
          <w:sz w:val="17"/>
          <w:szCs w:val="17"/>
          <w:color w:val="auto"/>
        </w:rPr>
      </w:pPr>
    </w:p>
    <w:p>
      <w:pPr>
        <w:jc w:val="both"/>
        <w:ind w:firstLine="656"/>
        <w:spacing w:after="0" w:line="255" w:lineRule="auto"/>
        <w:tabs>
          <w:tab w:leader="none" w:pos="108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xml:space="preserve"> Section 10(e) of the Plan, regarding the earning and accelerated vesting of Awards after a Triggering Event or during a Protected Period, shall not apply to this Agreement. Instead, upon a Triggering Event while Employee is employed by the Manpower Group and during the Performance Period, the Employee will immediately earn and become vested in the number of Performance Share Units they would have otherwise earned if 100% of the Target Performance Goal had been achieved at the end of the Performance Period. Upon a Triggering Event while Employee is employed by the Corporation and after the Performance Period, Employee will immediately become vested in the actual number of Performance Share Units that were earned based on attainment of the Performance Goal.</w:t>
      </w:r>
    </w:p>
    <w:p>
      <w:pPr>
        <w:spacing w:after="0" w:line="193" w:lineRule="exact"/>
        <w:rPr>
          <w:rFonts w:ascii="Arial" w:cs="Arial" w:eastAsia="Arial" w:hAnsi="Arial"/>
          <w:sz w:val="18"/>
          <w:szCs w:val="18"/>
          <w:color w:val="auto"/>
        </w:rPr>
      </w:pPr>
    </w:p>
    <w:p>
      <w:pPr>
        <w:ind w:right="40" w:firstLine="656"/>
        <w:spacing w:after="0" w:line="277" w:lineRule="auto"/>
        <w:tabs>
          <w:tab w:leader="none" w:pos="105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Dividends and Voting Rights</w:t>
      </w:r>
      <w:r>
        <w:rPr>
          <w:rFonts w:ascii="Arial" w:cs="Arial" w:eastAsia="Arial" w:hAnsi="Arial"/>
          <w:sz w:val="18"/>
          <w:szCs w:val="18"/>
          <w:color w:val="auto"/>
        </w:rPr>
        <w:t>. The Employee shall not be entitled to receive any dividends for his or her Performance Share Units and shall not be entitled to voting rights with respect to such Performance Share Units.</w:t>
      </w:r>
    </w:p>
    <w:p>
      <w:pPr>
        <w:spacing w:after="0" w:line="170" w:lineRule="exact"/>
        <w:rPr>
          <w:rFonts w:ascii="Arial" w:cs="Arial" w:eastAsia="Arial" w:hAnsi="Arial"/>
          <w:sz w:val="18"/>
          <w:szCs w:val="18"/>
          <w:color w:val="auto"/>
        </w:rPr>
      </w:pPr>
    </w:p>
    <w:p>
      <w:pPr>
        <w:jc w:val="both"/>
        <w:ind w:right="180" w:firstLine="656"/>
        <w:spacing w:after="0" w:line="259" w:lineRule="auto"/>
        <w:tabs>
          <w:tab w:leader="none" w:pos="105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ind w:left="1040" w:hanging="40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206"/>
        <w:spacing w:after="0"/>
        <w:tabs>
          <w:tab w:leader="none" w:pos="1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“Target Grant” means the number of Performance Share Units established for Employee to earn at Target OPMP.</w:t>
      </w:r>
    </w:p>
    <w:p>
      <w:pPr>
        <w:spacing w:after="0" w:line="225" w:lineRule="exact"/>
        <w:rPr>
          <w:rFonts w:ascii="Arial" w:cs="Arial" w:eastAsia="Arial" w:hAnsi="Arial"/>
          <w:sz w:val="18"/>
          <w:szCs w:val="18"/>
          <w:color w:val="auto"/>
        </w:rPr>
      </w:pPr>
    </w:p>
    <w:p>
      <w:pPr>
        <w:jc w:val="both"/>
        <w:ind w:left="1600" w:hanging="216"/>
        <w:spacing w:after="0" w:line="259" w:lineRule="auto"/>
        <w:tabs>
          <w:tab w:leader="none" w:pos="1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“OPMP” means the Corporation’s annual operating profit divided by revenue from services, both determined in accordance with GAAP as reported on the Company's audited financial statements, with adjustments to be made (a) to reverse the impact of a change in accounting method during the Performance Period or Service Period or (b) for any of the following items that exceed $10 million in any year (the $10 million threshold to be measured separately for each item category):</w:t>
      </w:r>
    </w:p>
    <w:p>
      <w:pPr>
        <w:spacing w:after="0" w:line="186" w:lineRule="exact"/>
        <w:rPr>
          <w:rFonts w:ascii="Arial" w:cs="Arial" w:eastAsia="Arial" w:hAnsi="Arial"/>
          <w:sz w:val="18"/>
          <w:szCs w:val="18"/>
          <w:color w:val="auto"/>
        </w:rPr>
      </w:pPr>
    </w:p>
    <w:p>
      <w:pPr>
        <w:ind w:left="2260" w:hanging="188"/>
        <w:spacing w:after="0"/>
        <w:tabs>
          <w:tab w:leader="none" w:pos="2260" w:val="left"/>
        </w:tabs>
        <w:numPr>
          <w:ilvl w:val="3"/>
          <w:numId w:val="21"/>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225" w:lineRule="exact"/>
        <w:rPr>
          <w:rFonts w:ascii="Arial" w:cs="Arial" w:eastAsia="Arial" w:hAnsi="Arial"/>
          <w:sz w:val="18"/>
          <w:szCs w:val="18"/>
          <w:color w:val="auto"/>
        </w:rPr>
      </w:pPr>
    </w:p>
    <w:p>
      <w:pPr>
        <w:ind w:left="2260" w:hanging="238"/>
        <w:spacing w:after="0"/>
        <w:tabs>
          <w:tab w:leader="none" w:pos="2260" w:val="left"/>
        </w:tabs>
        <w:numPr>
          <w:ilvl w:val="3"/>
          <w:numId w:val="21"/>
        </w:numPr>
        <w:rPr>
          <w:rFonts w:ascii="Arial" w:cs="Arial" w:eastAsia="Arial" w:hAnsi="Arial"/>
          <w:sz w:val="18"/>
          <w:szCs w:val="18"/>
          <w:color w:val="auto"/>
        </w:rPr>
      </w:pPr>
      <w:r>
        <w:rPr>
          <w:rFonts w:ascii="Arial" w:cs="Arial" w:eastAsia="Arial" w:hAnsi="Arial"/>
          <w:sz w:val="18"/>
          <w:szCs w:val="18"/>
          <w:color w:val="auto"/>
        </w:rPr>
        <w:t>nonrecurring restructuring gains or charges; and</w:t>
      </w:r>
    </w:p>
    <w:p>
      <w:pPr>
        <w:spacing w:after="0" w:line="225" w:lineRule="exact"/>
        <w:rPr>
          <w:rFonts w:ascii="Arial" w:cs="Arial" w:eastAsia="Arial" w:hAnsi="Arial"/>
          <w:sz w:val="18"/>
          <w:szCs w:val="18"/>
          <w:color w:val="auto"/>
        </w:rPr>
      </w:pPr>
    </w:p>
    <w:p>
      <w:pPr>
        <w:ind w:left="2260" w:hanging="288"/>
        <w:spacing w:after="0"/>
        <w:tabs>
          <w:tab w:leader="none" w:pos="2260" w:val="left"/>
        </w:tabs>
        <w:numPr>
          <w:ilvl w:val="3"/>
          <w:numId w:val="21"/>
        </w:numPr>
        <w:rPr>
          <w:rFonts w:ascii="Arial" w:cs="Arial" w:eastAsia="Arial" w:hAnsi="Arial"/>
          <w:sz w:val="18"/>
          <w:szCs w:val="18"/>
          <w:color w:val="auto"/>
        </w:rPr>
      </w:pPr>
      <w:r>
        <w:rPr>
          <w:rFonts w:ascii="Arial" w:cs="Arial" w:eastAsia="Arial" w:hAnsi="Arial"/>
          <w:sz w:val="18"/>
          <w:szCs w:val="18"/>
          <w:color w:val="auto"/>
        </w:rPr>
        <w:t>nonrecurring accrual adjustments pertaining to periods outside of the period of measurement.</w:t>
      </w:r>
    </w:p>
    <w:p>
      <w:pPr>
        <w:spacing w:after="0" w:line="225" w:lineRule="exact"/>
        <w:rPr>
          <w:rFonts w:ascii="Arial" w:cs="Arial" w:eastAsia="Arial" w:hAnsi="Arial"/>
          <w:sz w:val="18"/>
          <w:szCs w:val="18"/>
          <w:color w:val="auto"/>
        </w:rPr>
      </w:pPr>
    </w:p>
    <w:p>
      <w:pPr>
        <w:ind w:left="1600" w:hanging="180"/>
        <w:spacing w:after="0"/>
        <w:tabs>
          <w:tab w:leader="none" w:pos="1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“Performance Goal” means the OPMP targets for the Performance Period as set by the Administrator.</w:t>
      </w:r>
    </w:p>
    <w:p>
      <w:pPr>
        <w:spacing w:after="0" w:line="225" w:lineRule="exact"/>
        <w:rPr>
          <w:rFonts w:ascii="Arial" w:cs="Arial" w:eastAsia="Arial" w:hAnsi="Arial"/>
          <w:sz w:val="18"/>
          <w:szCs w:val="18"/>
          <w:color w:val="auto"/>
        </w:rPr>
      </w:pPr>
    </w:p>
    <w:p>
      <w:pPr>
        <w:ind w:left="1600" w:hanging="180"/>
        <w:spacing w:after="0"/>
        <w:tabs>
          <w:tab w:leader="none" w:pos="1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“Performance Period” means the 12-month period beginning on January 1, 2010 and ending on December 31, 2010.</w:t>
      </w:r>
    </w:p>
    <w:p>
      <w:pPr>
        <w:spacing w:after="0" w:line="225" w:lineRule="exact"/>
        <w:rPr>
          <w:rFonts w:ascii="Arial" w:cs="Arial" w:eastAsia="Arial" w:hAnsi="Arial"/>
          <w:sz w:val="18"/>
          <w:szCs w:val="18"/>
          <w:color w:val="auto"/>
        </w:rPr>
      </w:pPr>
    </w:p>
    <w:p>
      <w:pPr>
        <w:ind w:left="1600" w:right="200" w:hanging="180"/>
        <w:spacing w:after="0" w:line="277" w:lineRule="auto"/>
        <w:tabs>
          <w:tab w:leader="none" w:pos="1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“Service” means the period beginning on the date the Employee’s employment with the Manpower Group commences and ending on the date the Employee’s employment with the Manpower Group terminates.</w:t>
      </w:r>
    </w:p>
    <w:p>
      <w:pPr>
        <w:spacing w:after="0" w:line="170" w:lineRule="exact"/>
        <w:rPr>
          <w:rFonts w:ascii="Arial" w:cs="Arial" w:eastAsia="Arial" w:hAnsi="Arial"/>
          <w:sz w:val="18"/>
          <w:szCs w:val="18"/>
          <w:color w:val="auto"/>
        </w:rPr>
      </w:pPr>
    </w:p>
    <w:p>
      <w:pPr>
        <w:ind w:left="1600" w:hanging="180"/>
        <w:spacing w:after="0"/>
        <w:tabs>
          <w:tab w:leader="none" w:pos="1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“Service Period” means the 12-month period beginning on January 1, 2011 and ending on December 31, 2011.</w:t>
      </w:r>
    </w:p>
    <w:p>
      <w:pPr>
        <w:spacing w:after="0" w:line="225" w:lineRule="exact"/>
        <w:rPr>
          <w:rFonts w:ascii="Arial" w:cs="Arial" w:eastAsia="Arial" w:hAnsi="Arial"/>
          <w:sz w:val="18"/>
          <w:szCs w:val="18"/>
          <w:color w:val="auto"/>
        </w:rPr>
      </w:pPr>
    </w:p>
    <w:p>
      <w:pPr>
        <w:ind w:left="1600" w:right="40" w:hanging="180"/>
        <w:spacing w:after="0" w:line="277" w:lineRule="auto"/>
        <w:tabs>
          <w:tab w:leader="none" w:pos="1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“Retirement” will mean termination of the Employee’s employment on or after the Employee has attained age 55 and has completed 10 years of Service.</w:t>
      </w:r>
    </w:p>
    <w:p>
      <w:pPr>
        <w:spacing w:after="0" w:line="170" w:lineRule="exact"/>
        <w:rPr>
          <w:rFonts w:ascii="Arial" w:cs="Arial" w:eastAsia="Arial" w:hAnsi="Arial"/>
          <w:sz w:val="18"/>
          <w:szCs w:val="18"/>
          <w:color w:val="auto"/>
        </w:rPr>
      </w:pPr>
    </w:p>
    <w:p>
      <w:pPr>
        <w:ind w:left="-20" w:right="320" w:firstLine="656"/>
        <w:spacing w:after="0" w:line="277" w:lineRule="auto"/>
        <w:tabs>
          <w:tab w:leader="none" w:pos="85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Multiple Executed Copies</w:t>
      </w:r>
      <w:r>
        <w:rPr>
          <w:rFonts w:ascii="Arial" w:cs="Arial" w:eastAsia="Arial" w:hAnsi="Arial"/>
          <w:sz w:val="18"/>
          <w:szCs w:val="18"/>
          <w:color w:val="auto"/>
        </w:rPr>
        <w:t>. This Agreement may be executed in multiple copies, each of which will constitute an original, and which together will constitute one and the same agreement providing for a single grant of Performance Share Units.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274"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IN WITNESS WHEREOF, the Corporation has caused this Agreement to be executed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4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14605</wp:posOffset>
            </wp:positionV>
            <wp:extent cx="23755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75535"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Chairman, Chief Executive Officer &amp; President</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Employee hereby accepts the foregoing grant of Performance Share Units and agrees to the several terms and conditions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528955</wp:posOffset>
            </wp:positionV>
            <wp:extent cx="23837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Amendment of Manpower Inc. 2003 Equity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Manpower Inc. 2003 Equity Incentive Plan (the “Plan”) is amended as follows:</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paragraph 19 is added to the Plan as follows:</w:t>
      </w:r>
    </w:p>
    <w:p>
      <w:pPr>
        <w:spacing w:after="0" w:line="225" w:lineRule="exact"/>
        <w:rPr>
          <w:rFonts w:ascii="Arial" w:cs="Arial" w:eastAsia="Arial" w:hAnsi="Arial"/>
          <w:sz w:val="18"/>
          <w:szCs w:val="18"/>
          <w:color w:val="auto"/>
        </w:rPr>
      </w:pPr>
    </w:p>
    <w:p>
      <w:pPr>
        <w:ind w:left="1300" w:right="320" w:hanging="648"/>
        <w:spacing w:after="0" w:line="277" w:lineRule="auto"/>
        <w:rPr>
          <w:rFonts w:ascii="Arial" w:cs="Arial" w:eastAsia="Arial" w:hAnsi="Arial"/>
          <w:sz w:val="18"/>
          <w:szCs w:val="18"/>
          <w:color w:val="auto"/>
        </w:rPr>
      </w:pPr>
      <w:r>
        <w:rPr>
          <w:rFonts w:ascii="Arial" w:cs="Arial" w:eastAsia="Arial" w:hAnsi="Arial"/>
          <w:sz w:val="18"/>
          <w:szCs w:val="18"/>
          <w:color w:val="auto"/>
        </w:rPr>
        <w:t>“19.Notwithstanding any other provision of this Plan, for any grant of Performance Share Units, Restricted Stock, Restricted Stock Units, or other full-value award under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is earned based on performance, the minimum performance period will be one year; or</w:t>
      </w:r>
    </w:p>
    <w:p>
      <w:pPr>
        <w:spacing w:after="0" w:line="225" w:lineRule="exact"/>
        <w:rPr>
          <w:rFonts w:ascii="Arial" w:cs="Arial" w:eastAsia="Arial" w:hAnsi="Arial"/>
          <w:sz w:val="18"/>
          <w:szCs w:val="18"/>
          <w:color w:val="auto"/>
        </w:rPr>
      </w:pPr>
    </w:p>
    <w:p>
      <w:pPr>
        <w:ind w:left="1960" w:right="460" w:hanging="655"/>
        <w:spacing w:after="0" w:line="264"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is earned based on tenure (and is not covered under subparagraph (a)), the minimum restricted period will be three years, provided that such minimum three-year restriction will not apply to grants representing up to 125,000 shares made after December 31, 2009.”</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Paragraph 5(a) of the Plan is amended to add the following at the end of the sentence:</w:t>
      </w:r>
    </w:p>
    <w:p>
      <w:pPr>
        <w:spacing w:after="0" w:line="225" w:lineRule="exact"/>
        <w:rPr>
          <w:rFonts w:ascii="Arial" w:cs="Arial" w:eastAsia="Arial" w:hAnsi="Arial"/>
          <w:sz w:val="18"/>
          <w:szCs w:val="18"/>
          <w:color w:val="auto"/>
        </w:rPr>
      </w:pPr>
    </w:p>
    <w:p>
      <w:pPr>
        <w:ind w:left="660" w:right="920"/>
        <w:spacing w:after="0" w:line="308" w:lineRule="auto"/>
        <w:rPr>
          <w:rFonts w:ascii="Arial" w:cs="Arial" w:eastAsia="Arial" w:hAnsi="Arial"/>
          <w:sz w:val="18"/>
          <w:szCs w:val="18"/>
          <w:color w:val="auto"/>
        </w:rPr>
      </w:pPr>
      <w:r>
        <w:rPr>
          <w:rFonts w:ascii="Arial" w:cs="Arial" w:eastAsia="Arial" w:hAnsi="Arial"/>
          <w:sz w:val="17"/>
          <w:szCs w:val="17"/>
          <w:color w:val="auto"/>
        </w:rPr>
        <w:t>“provided, however, that discretionary awards to Directors under the Plan will be administered by the Board of Directors but without the participation of any members who at the time are not independent under the rules of the New York Stock Exchange.”</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jc w:val="center"/>
              <w:ind w:right="3540"/>
              <w:spacing w:after="0"/>
              <w:rPr>
                <w:sz w:val="20"/>
                <w:szCs w:val="20"/>
                <w:color w:val="auto"/>
              </w:rPr>
            </w:pPr>
            <w:r>
              <w:rPr>
                <w:rFonts w:ascii="Arial" w:cs="Arial" w:eastAsia="Arial" w:hAnsi="Arial"/>
                <w:sz w:val="18"/>
                <w:szCs w:val="18"/>
                <w:b w:val="1"/>
                <w:bCs w:val="1"/>
                <w:color w:val="auto"/>
                <w:w w:val="91"/>
              </w:rPr>
              <w:t>3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0"/>
              </w:rPr>
              <w:t>Ended</w:t>
            </w: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gridSpan w:val="2"/>
          </w:tcPr>
          <w:p>
            <w:pPr>
              <w:jc w:val="center"/>
              <w:ind w:right="3560"/>
              <w:spacing w:after="0" w:line="198" w:lineRule="exact"/>
              <w:rPr>
                <w:sz w:val="20"/>
                <w:szCs w:val="20"/>
                <w:color w:val="auto"/>
              </w:rPr>
            </w:pPr>
            <w:r>
              <w:rPr>
                <w:rFonts w:ascii="Arial" w:cs="Arial" w:eastAsia="Arial" w:hAnsi="Arial"/>
                <w:sz w:val="18"/>
                <w:szCs w:val="18"/>
                <w:b w:val="1"/>
                <w:bCs w:val="1"/>
                <w:color w:val="auto"/>
                <w:w w:val="93"/>
              </w:rPr>
              <w:t>March 31,</w:t>
            </w:r>
          </w:p>
        </w:tc>
      </w:tr>
      <w:tr>
        <w:trPr>
          <w:trHeight w:val="24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34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19.7</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20" w:type="dxa"/>
            <w:vAlign w:val="bottom"/>
            <w:gridSpan w:val="2"/>
          </w:tcPr>
          <w:p>
            <w:pPr>
              <w:jc w:val="right"/>
              <w:ind w:right="3420"/>
              <w:spacing w:after="0"/>
              <w:rPr>
                <w:sz w:val="20"/>
                <w:szCs w:val="20"/>
                <w:color w:val="auto"/>
              </w:rPr>
            </w:pPr>
            <w:r>
              <w:rPr>
                <w:rFonts w:ascii="Arial" w:cs="Arial" w:eastAsia="Arial" w:hAnsi="Arial"/>
                <w:sz w:val="18"/>
                <w:szCs w:val="18"/>
                <w:color w:val="auto"/>
              </w:rPr>
              <w:t>41.7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61.4</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20" w:type="dxa"/>
            <w:vAlign w:val="bottom"/>
            <w:gridSpan w:val="2"/>
          </w:tcPr>
          <w:p>
            <w:pPr>
              <w:jc w:val="right"/>
              <w:ind w:right="3420"/>
              <w:spacing w:after="0"/>
              <w:rPr>
                <w:sz w:val="20"/>
                <w:szCs w:val="20"/>
                <w:color w:val="auto"/>
              </w:rPr>
            </w:pPr>
            <w:r>
              <w:rPr>
                <w:rFonts w:ascii="Arial" w:cs="Arial" w:eastAsia="Arial" w:hAnsi="Arial"/>
                <w:sz w:val="18"/>
                <w:szCs w:val="18"/>
                <w:color w:val="auto"/>
              </w:rPr>
              <w:t>11.2</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30.5</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20" w:type="dxa"/>
            <w:vAlign w:val="bottom"/>
            <w:gridSpan w:val="2"/>
          </w:tcPr>
          <w:p>
            <w:pPr>
              <w:jc w:val="right"/>
              <w:ind w:right="3420"/>
              <w:spacing w:after="0"/>
              <w:rPr>
                <w:sz w:val="20"/>
                <w:szCs w:val="20"/>
                <w:color w:val="auto"/>
              </w:rPr>
            </w:pPr>
            <w:r>
              <w:rPr>
                <w:rFonts w:ascii="Arial" w:cs="Arial" w:eastAsia="Arial" w:hAnsi="Arial"/>
                <w:sz w:val="18"/>
                <w:szCs w:val="18"/>
                <w:color w:val="auto"/>
              </w:rPr>
              <w:t>41.7</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1.5</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225" w:lineRule="exact"/>
        <w:rPr>
          <w:sz w:val="20"/>
          <w:szCs w:val="20"/>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225"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70" w:lineRule="exact"/>
        <w:rPr>
          <w:sz w:val="20"/>
          <w:szCs w:val="20"/>
          <w:color w:val="auto"/>
        </w:rPr>
      </w:pPr>
    </w:p>
    <w:p>
      <w:pPr>
        <w:ind w:left="460" w:right="20" w:hanging="22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2010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460" w:hanging="22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200" w:lineRule="exact"/>
        <w:rPr>
          <w:sz w:val="20"/>
          <w:szCs w:val="20"/>
          <w:color w:val="auto"/>
        </w:rPr>
      </w:pP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70" w:lineRule="exact"/>
        <w:rPr>
          <w:sz w:val="20"/>
          <w:szCs w:val="20"/>
          <w:color w:val="auto"/>
        </w:rPr>
      </w:pPr>
    </w:p>
    <w:p>
      <w:pPr>
        <w:ind w:left="540" w:right="120" w:hanging="262"/>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2010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200" w:lineRule="exact"/>
        <w:rPr>
          <w:sz w:val="20"/>
          <w:szCs w:val="20"/>
          <w:color w:val="auto"/>
        </w:rPr>
      </w:pPr>
    </w:p>
    <w:p>
      <w:pPr>
        <w:spacing w:after="0" w:line="227"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o"/>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3"/>
    </w:lvl>
  </w:abstractNum>
  <w:abstractNum w:abstractNumId="20">
    <w:nsid w:val="6763845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2019-12-10T09:07:28Z</dcterms:created>
  <dcterms:modified xsi:type="dcterms:W3CDTF">2019-12-10T09:07:28Z</dcterms:modified>
</cp:coreProperties>
</file>