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6993255" cy="46736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Nettles Michelle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MANPOWERGROUP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100 MANPOWER PLACE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ManpowerGroup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MAN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5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02/13/2026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40" w:firstLine="3"/>
        <w:spacing w:after="0" w:line="259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9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People &amp; Legal Officer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3" w:space="720"/>
            <w:col w:w="3357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</w:tcPr>
          <w:p>
            <w:pPr>
              <w:jc w:val="center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MILWAUKEE   WI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53212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2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22,331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80" w:type="dxa"/>
            <w:vAlign w:val="bottom"/>
          </w:tcPr>
          <w:p>
            <w:pPr>
              <w:ind w:left="2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02/13/2026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22,331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22,331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23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-2028825</wp:posOffset>
            </wp:positionV>
            <wp:extent cx="29210" cy="203390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33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 w:right="200" w:firstLine="2"/>
        <w:spacing w:after="0" w:line="256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Award of restricted stock units under the 2011 Equity Incentive Plan of the Company. The restricted stock units will vest 100% on February 13, 2029 and will be settled in shares of ManpowerGroup common stock on a 1 for 1 basis.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 Michelle Nettles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02/18/2026</w:t>
            </w: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85150" TargetMode="External"/><Relationship Id="rId14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2026-02-18T20:14:32Z</dcterms:created>
  <dcterms:modified xsi:type="dcterms:W3CDTF">2026-02-18T20:14:32Z</dcterms:modified>
</cp:coreProperties>
</file>