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31, 2001</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right"/>
        <w:ind w:left="960" w:right="2199" w:hanging="952"/>
        <w:spacing w:after="0" w:line="290"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 of the Securities Exchange Act of 1934 for the transition period from: ______to______</w:t>
      </w:r>
    </w:p>
    <w:p>
      <w:pPr>
        <w:spacing w:after="0" w:line="16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Commission file number: 1-10686</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MANPOWER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39-1672779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5301 N. IRONWOOD ROAD</w:t>
      </w:r>
    </w:p>
    <w:p>
      <w:pPr>
        <w:ind w:left="960"/>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Registrant's telephone number, including area code: (414) 961-1000</w:t>
      </w:r>
    </w:p>
    <w:p>
      <w:pPr>
        <w:spacing w:after="0" w:line="207" w:lineRule="exact"/>
        <w:rPr>
          <w:sz w:val="24"/>
          <w:szCs w:val="24"/>
          <w:color w:val="auto"/>
        </w:rPr>
      </w:pPr>
    </w:p>
    <w:p>
      <w:pPr>
        <w:ind w:left="960" w:right="1779"/>
        <w:spacing w:after="0" w:line="27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9" w:lineRule="exact"/>
        <w:rPr>
          <w:sz w:val="24"/>
          <w:szCs w:val="24"/>
          <w:color w:val="auto"/>
        </w:rPr>
      </w:pPr>
    </w:p>
    <w:p>
      <w:pPr>
        <w:ind w:left="3060"/>
        <w:spacing w:after="0"/>
        <w:tabs>
          <w:tab w:leader="none" w:pos="4000" w:val="left"/>
          <w:tab w:leader="none" w:pos="48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380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left="960" w:right="2419"/>
        <w:spacing w:after="0" w:line="290"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64"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3280" w:type="dxa"/>
            <w:vAlign w:val="bottom"/>
          </w:tcPr>
          <w:p>
            <w:pPr>
              <w:ind w:left="1160"/>
              <w:spacing w:after="0"/>
              <w:rPr>
                <w:sz w:val="20"/>
                <w:szCs w:val="20"/>
                <w:color w:val="auto"/>
              </w:rPr>
            </w:pPr>
            <w:r>
              <w:rPr>
                <w:rFonts w:ascii="Courier New" w:cs="Courier New" w:eastAsia="Courier New" w:hAnsi="Courier New"/>
                <w:sz w:val="18"/>
                <w:szCs w:val="18"/>
                <w:color w:val="auto"/>
              </w:rPr>
              <w:t>SHARES OUTSTANDING</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32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AT MARCH 31, 2001</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3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75,804,318</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MANPOWER INC. AND SUBSIDIARIES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12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Number</w:t>
            </w:r>
          </w:p>
        </w:tc>
      </w:tr>
      <w:tr>
        <w:trPr>
          <w:trHeight w:val="203"/>
        </w:trPr>
        <w:tc>
          <w:tcPr>
            <w:tcW w:w="112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9000" w:type="dxa"/>
            <w:vAlign w:val="bottom"/>
          </w:tcPr>
          <w:p>
            <w:pPr>
              <w:ind w:left="780"/>
              <w:spacing w:after="0"/>
              <w:rPr>
                <w:sz w:val="20"/>
                <w:szCs w:val="20"/>
                <w:color w:val="auto"/>
              </w:rPr>
            </w:pPr>
            <w:r>
              <w:rPr>
                <w:rFonts w:ascii="Courier New" w:cs="Courier New" w:eastAsia="Courier New" w:hAnsi="Courier New"/>
                <w:sz w:val="18"/>
                <w:szCs w:val="18"/>
                <w:color w:val="auto"/>
              </w:rPr>
              <w:t>FINANCIAL INFORMATION</w:t>
            </w:r>
          </w:p>
        </w:tc>
        <w:tc>
          <w:tcPr>
            <w:tcW w:w="640" w:type="dxa"/>
            <w:vAlign w:val="bottom"/>
          </w:tcPr>
          <w:p>
            <w:pPr>
              <w:spacing w:after="0"/>
              <w:rPr>
                <w:sz w:val="24"/>
                <w:szCs w:val="24"/>
                <w:color w:val="auto"/>
              </w:rPr>
            </w:pPr>
          </w:p>
        </w:tc>
      </w:tr>
      <w:tr>
        <w:trPr>
          <w:trHeight w:val="405"/>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Item 1</w:t>
            </w:r>
          </w:p>
        </w:tc>
        <w:tc>
          <w:tcPr>
            <w:tcW w:w="9000" w:type="dxa"/>
            <w:vAlign w:val="bottom"/>
          </w:tcPr>
          <w:p>
            <w:pPr>
              <w:ind w:left="780"/>
              <w:spacing w:after="0"/>
              <w:rPr>
                <w:sz w:val="20"/>
                <w:szCs w:val="20"/>
                <w:color w:val="auto"/>
              </w:rPr>
            </w:pPr>
            <w:r>
              <w:rPr>
                <w:rFonts w:ascii="Courier New" w:cs="Courier New" w:eastAsia="Courier New" w:hAnsi="Courier New"/>
                <w:sz w:val="18"/>
                <w:szCs w:val="18"/>
                <w:color w:val="auto"/>
              </w:rPr>
              <w:t>Financial Statements (unaudited)</w:t>
            </w:r>
          </w:p>
        </w:tc>
        <w:tc>
          <w:tcPr>
            <w:tcW w:w="640" w:type="dxa"/>
            <w:vAlign w:val="bottom"/>
          </w:tcPr>
          <w:p>
            <w:pPr>
              <w:spacing w:after="0"/>
              <w:rPr>
                <w:sz w:val="24"/>
                <w:szCs w:val="24"/>
                <w:color w:val="auto"/>
              </w:rPr>
            </w:pPr>
          </w:p>
        </w:tc>
      </w:tr>
      <w:tr>
        <w:trPr>
          <w:trHeight w:val="405"/>
        </w:trPr>
        <w:tc>
          <w:tcPr>
            <w:tcW w:w="1120" w:type="dxa"/>
            <w:vAlign w:val="bottom"/>
          </w:tcPr>
          <w:p>
            <w:pPr>
              <w:spacing w:after="0"/>
              <w:rPr>
                <w:sz w:val="24"/>
                <w:szCs w:val="24"/>
                <w:color w:val="auto"/>
              </w:rPr>
            </w:pPr>
          </w:p>
        </w:tc>
        <w:tc>
          <w:tcPr>
            <w:tcW w:w="9000" w:type="dxa"/>
            <w:vAlign w:val="bottom"/>
          </w:tcPr>
          <w:p>
            <w:pPr>
              <w:jc w:val="right"/>
              <w:spacing w:after="0"/>
              <w:rPr>
                <w:sz w:val="20"/>
                <w:szCs w:val="20"/>
                <w:color w:val="auto"/>
              </w:rPr>
            </w:pPr>
            <w:r>
              <w:rPr>
                <w:rFonts w:ascii="Courier New" w:cs="Courier New" w:eastAsia="Courier New" w:hAnsi="Courier New"/>
                <w:sz w:val="18"/>
                <w:szCs w:val="18"/>
                <w:color w:val="auto"/>
              </w:rPr>
              <w:t>Consolidated Balance Sheets ...........................................</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203"/>
        </w:trPr>
        <w:tc>
          <w:tcPr>
            <w:tcW w:w="1120" w:type="dxa"/>
            <w:vAlign w:val="bottom"/>
          </w:tcPr>
          <w:p>
            <w:pPr>
              <w:spacing w:after="0"/>
              <w:rPr>
                <w:sz w:val="17"/>
                <w:szCs w:val="17"/>
                <w:color w:val="auto"/>
              </w:rPr>
            </w:pPr>
          </w:p>
        </w:tc>
        <w:tc>
          <w:tcPr>
            <w:tcW w:w="9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120" w:type="dxa"/>
            <w:vAlign w:val="bottom"/>
          </w:tcPr>
          <w:p>
            <w:pPr>
              <w:spacing w:after="0"/>
              <w:rPr>
                <w:sz w:val="17"/>
                <w:szCs w:val="17"/>
                <w:color w:val="auto"/>
              </w:rPr>
            </w:pPr>
          </w:p>
        </w:tc>
        <w:tc>
          <w:tcPr>
            <w:tcW w:w="9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120" w:type="dxa"/>
            <w:vAlign w:val="bottom"/>
          </w:tcPr>
          <w:p>
            <w:pPr>
              <w:spacing w:after="0"/>
              <w:rPr>
                <w:sz w:val="17"/>
                <w:szCs w:val="17"/>
                <w:color w:val="auto"/>
              </w:rPr>
            </w:pPr>
          </w:p>
        </w:tc>
        <w:tc>
          <w:tcPr>
            <w:tcW w:w="9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to Consolidated Financial Statements.............................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w:t>
            </w:r>
          </w:p>
        </w:tc>
      </w:tr>
      <w:tr>
        <w:trPr>
          <w:trHeight w:val="405"/>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Item 2</w:t>
            </w:r>
          </w:p>
        </w:tc>
        <w:tc>
          <w:tcPr>
            <w:tcW w:w="9000" w:type="dxa"/>
            <w:vAlign w:val="bottom"/>
          </w:tcPr>
          <w:p>
            <w:pPr>
              <w:ind w:left="780"/>
              <w:spacing w:after="0"/>
              <w:rPr>
                <w:sz w:val="20"/>
                <w:szCs w:val="20"/>
                <w:color w:val="auto"/>
              </w:rPr>
            </w:pPr>
            <w:r>
              <w:rPr>
                <w:rFonts w:ascii="Courier New" w:cs="Courier New" w:eastAsia="Courier New" w:hAnsi="Courier New"/>
                <w:sz w:val="18"/>
                <w:szCs w:val="18"/>
                <w:color w:val="auto"/>
              </w:rPr>
              <w:t>Management's Discussion and Analysis of</w:t>
            </w:r>
          </w:p>
        </w:tc>
        <w:tc>
          <w:tcPr>
            <w:tcW w:w="64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9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11-14</w:t>
            </w:r>
          </w:p>
        </w:tc>
      </w:tr>
      <w:tr>
        <w:trPr>
          <w:trHeight w:val="405"/>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9000" w:type="dxa"/>
            <w:vAlign w:val="bottom"/>
          </w:tcPr>
          <w:p>
            <w:pPr>
              <w:jc w:val="right"/>
              <w:spacing w:after="0"/>
              <w:rPr>
                <w:sz w:val="20"/>
                <w:szCs w:val="20"/>
                <w:color w:val="auto"/>
              </w:rPr>
            </w:pPr>
            <w:r>
              <w:rPr>
                <w:rFonts w:ascii="Courier New" w:cs="Courier New" w:eastAsia="Courier New" w:hAnsi="Courier New"/>
                <w:sz w:val="18"/>
                <w:szCs w:val="18"/>
                <w:color w:val="auto"/>
              </w:rPr>
              <w:t>Quantitative and Qualitative Disclosures About Market Risk....................</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9000" w:type="dxa"/>
            <w:vAlign w:val="bottom"/>
          </w:tcPr>
          <w:p>
            <w:pPr>
              <w:jc w:val="right"/>
              <w:spacing w:after="0"/>
              <w:rPr>
                <w:sz w:val="20"/>
                <w:szCs w:val="20"/>
                <w:color w:val="auto"/>
              </w:rPr>
            </w:pPr>
            <w:r>
              <w:rPr>
                <w:rFonts w:ascii="Courier New" w:cs="Courier New" w:eastAsia="Courier New" w:hAnsi="Courier New"/>
                <w:sz w:val="18"/>
                <w:szCs w:val="18"/>
                <w:color w:val="auto"/>
              </w:rPr>
              <w:t>OTHER INFORMATION.............................................................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608"/>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900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810"/>
        </w:trPr>
        <w:tc>
          <w:tcPr>
            <w:tcW w:w="1120" w:type="dxa"/>
            <w:vAlign w:val="bottom"/>
          </w:tcPr>
          <w:p>
            <w:pPr>
              <w:spacing w:after="0"/>
              <w:rPr>
                <w:sz w:val="24"/>
                <w:szCs w:val="24"/>
                <w:color w:val="auto"/>
              </w:rPr>
            </w:pPr>
          </w:p>
        </w:tc>
        <w:tc>
          <w:tcPr>
            <w:tcW w:w="9000" w:type="dxa"/>
            <w:vAlign w:val="bottom"/>
          </w:tcPr>
          <w:p>
            <w:pPr>
              <w:jc w:val="right"/>
              <w:ind w:right="5712"/>
              <w:spacing w:after="0"/>
              <w:rPr>
                <w:sz w:val="20"/>
                <w:szCs w:val="20"/>
                <w:color w:val="auto"/>
              </w:rPr>
            </w:pPr>
            <w:r>
              <w:rPr>
                <w:rFonts w:ascii="Courier New" w:cs="Courier New" w:eastAsia="Courier New" w:hAnsi="Courier New"/>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0760"/>
          </w:cols>
          <w:pgMar w:left="240" w:top="312" w:right="8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08"/>
        </w:trPr>
        <w:tc>
          <w:tcPr>
            <w:tcW w:w="5900" w:type="dxa"/>
            <w:vAlign w:val="bottom"/>
          </w:tcPr>
          <w:p>
            <w:pPr>
              <w:jc w:val="center"/>
              <w:ind w:left="2452"/>
              <w:spacing w:after="0"/>
              <w:rPr>
                <w:sz w:val="20"/>
                <w:szCs w:val="20"/>
                <w:color w:val="auto"/>
              </w:rPr>
            </w:pPr>
            <w:r>
              <w:rPr>
                <w:rFonts w:ascii="Courier New" w:cs="Courier New" w:eastAsia="Courier New" w:hAnsi="Courier New"/>
                <w:sz w:val="18"/>
                <w:szCs w:val="18"/>
                <w:color w:val="auto"/>
                <w:w w:val="97"/>
              </w:rPr>
              <w:t>PART I - FINANCIAL INFORMATION</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Item 1 - Financial Statements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5900" w:type="dxa"/>
            <w:vAlign w:val="bottom"/>
          </w:tcPr>
          <w:p>
            <w:pPr>
              <w:jc w:val="center"/>
              <w:ind w:left="2452"/>
              <w:spacing w:after="0"/>
              <w:rPr>
                <w:sz w:val="20"/>
                <w:szCs w:val="20"/>
                <w:color w:val="auto"/>
              </w:rPr>
            </w:pPr>
            <w:r>
              <w:rPr>
                <w:rFonts w:ascii="Courier New" w:cs="Courier New" w:eastAsia="Courier New" w:hAnsi="Courier New"/>
                <w:sz w:val="18"/>
                <w:szCs w:val="18"/>
                <w:color w:val="auto"/>
                <w:w w:val="97"/>
              </w:rPr>
              <w:t>MANPOWER INC. AND SUBSIDIARIES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5900" w:type="dxa"/>
            <w:vAlign w:val="bottom"/>
          </w:tcPr>
          <w:p>
            <w:pPr>
              <w:ind w:left="2860"/>
              <w:spacing w:after="0"/>
              <w:rPr>
                <w:sz w:val="20"/>
                <w:szCs w:val="20"/>
                <w:color w:val="auto"/>
              </w:rPr>
            </w:pPr>
            <w:r>
              <w:rPr>
                <w:rFonts w:ascii="Courier New" w:cs="Courier New" w:eastAsia="Courier New" w:hAnsi="Courier New"/>
                <w:sz w:val="18"/>
                <w:szCs w:val="18"/>
                <w:color w:val="auto"/>
              </w:rPr>
              <w:t>CONSOLIDATED BALANCE SHEETS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9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(IN MILLIONS)</w:t>
            </w: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5900" w:type="dxa"/>
            <w:vAlign w:val="bottom"/>
          </w:tcPr>
          <w:p>
            <w:pPr>
              <w:jc w:val="center"/>
              <w:ind w:left="2452"/>
              <w:spacing w:after="0"/>
              <w:rPr>
                <w:sz w:val="20"/>
                <w:szCs w:val="20"/>
                <w:color w:val="auto"/>
              </w:rPr>
            </w:pPr>
            <w:r>
              <w:rPr>
                <w:rFonts w:ascii="Courier New" w:cs="Courier New" w:eastAsia="Courier New" w:hAnsi="Courier New"/>
                <w:sz w:val="18"/>
                <w:szCs w:val="18"/>
                <w:color w:val="auto"/>
                <w:w w:val="98"/>
              </w:rPr>
              <w:t>ASSETS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08"/>
        </w:trPr>
        <w:tc>
          <w:tcPr>
            <w:tcW w:w="590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MARCH 31,</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2001</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spacing w:after="0"/>
              <w:rPr>
                <w:sz w:val="17"/>
                <w:szCs w:val="17"/>
                <w:color w:val="auto"/>
              </w:rPr>
            </w:pPr>
          </w:p>
        </w:tc>
      </w:tr>
      <w:tr>
        <w:trPr>
          <w:trHeight w:val="608"/>
        </w:trPr>
        <w:tc>
          <w:tcPr>
            <w:tcW w:w="5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173.5</w:t>
            </w: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181.7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less allowance for</w:t>
            </w: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$53.7 and $55.3, respectively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1,988.2</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2,094.4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61.7</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 income tax benefits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66.7</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68.8</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2,290.1</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2,396.7</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Intangible assets, less accumulated amortization of</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$29.5 and $27.2, respectively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245.8</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247.6</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 licensees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43.5</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172.4</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163.9</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461.7</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453.3</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Land, buildings, leasehold improvements and equipment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439.6</w:t>
            </w: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440.9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252.9</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249.3</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property and equipment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186.7</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191.6</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$2,938.5</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$3,041.6</w:t>
            </w:r>
          </w:p>
        </w:tc>
      </w:tr>
      <w:tr>
        <w:trPr>
          <w:trHeight w:val="203"/>
        </w:trPr>
        <w:tc>
          <w:tcPr>
            <w:tcW w:w="590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0" w:right="2839" w:hanging="631"/>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BALANCE SHEETS</w:t>
      </w:r>
    </w:p>
    <w:p>
      <w:pPr>
        <w:ind w:left="2540"/>
        <w:spacing w:after="0" w:line="238" w:lineRule="auto"/>
        <w:rPr>
          <w:sz w:val="20"/>
          <w:szCs w:val="20"/>
          <w:color w:val="auto"/>
        </w:rPr>
      </w:pPr>
      <w:r>
        <w:rPr>
          <w:rFonts w:ascii="Courier New" w:cs="Courier New" w:eastAsia="Courier New" w:hAnsi="Courier New"/>
          <w:sz w:val="18"/>
          <w:szCs w:val="18"/>
          <w:color w:val="auto"/>
        </w:rPr>
        <w:t>(IN MILLIONS, EXCEPT SHARE DATA)</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2001</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732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462.8</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453.1</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compensation payable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81.2</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269.2</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 taxes and insurance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319.0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341.8</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added taxes payable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273.5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311.0</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 and current maturities of long-term debt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1,429.7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1,522.2</w:t>
            </w:r>
          </w:p>
        </w:tc>
      </w:tr>
      <w:tr>
        <w:trPr>
          <w:trHeight w:val="405"/>
        </w:trPr>
        <w:tc>
          <w:tcPr>
            <w:tcW w:w="732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73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492.9</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491.6</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291.9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287.4</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liabilities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784.8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779.0</w:t>
            </w:r>
          </w:p>
        </w:tc>
      </w:tr>
      <w:tr>
        <w:trPr>
          <w:trHeight w:val="405"/>
        </w:trPr>
        <w:tc>
          <w:tcPr>
            <w:tcW w:w="73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7320" w:type="dxa"/>
            <w:vAlign w:val="bottom"/>
          </w:tcPr>
          <w:p>
            <w:pPr>
              <w:spacing w:after="0"/>
              <w:rPr>
                <w:sz w:val="20"/>
                <w:szCs w:val="20"/>
                <w:color w:val="auto"/>
              </w:rPr>
            </w:pPr>
            <w:r>
              <w:rPr>
                <w:rFonts w:ascii="Courier New" w:cs="Courier New" w:eastAsia="Courier New" w:hAnsi="Courier New"/>
                <w:sz w:val="18"/>
                <w:szCs w:val="18"/>
                <w:color w:val="auto"/>
              </w:rPr>
              <w:t>Preferred stock, $.01 par value, authorized 25,000,000 shares,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7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 issued</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$.01 par value, authorized 125,000,000 shares,</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84,849,518 and 84,717,834 shares, respectively</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1,636.4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1,631.4</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(496.9)</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 (loss)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(145.1)</w:t>
            </w:r>
          </w:p>
        </w:tc>
      </w:tr>
      <w:tr>
        <w:trPr>
          <w:trHeight w:val="203"/>
        </w:trPr>
        <w:tc>
          <w:tcPr>
            <w:tcW w:w="7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Treasury stock at cost, 9,045,200 and 8,945,200 shares, respectively</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(249.8)</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724.0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740.4</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$2,938.5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$3,041.6</w:t>
            </w:r>
          </w:p>
        </w:tc>
      </w:tr>
      <w:tr>
        <w:trPr>
          <w:trHeight w:val="203"/>
        </w:trPr>
        <w:tc>
          <w:tcPr>
            <w:tcW w:w="73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0" w:right="2840" w:hanging="631"/>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20"/>
          </w:cols>
          <w:pgMar w:left="240" w:top="312" w:right="143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CONSOLIDATED STATEMENTS OF OPERATIONS (UNAUDITED)</w:t>
      </w:r>
    </w:p>
    <w:p>
      <w:pPr>
        <w:ind w:left="2320"/>
        <w:spacing w:after="0" w:line="238" w:lineRule="auto"/>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3 MONTHS ENDED</w:t>
            </w:r>
          </w:p>
        </w:tc>
      </w:tr>
      <w:tr>
        <w:trPr>
          <w:trHeight w:val="203"/>
        </w:trPr>
        <w:tc>
          <w:tcPr>
            <w:tcW w:w="4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540" w:type="dxa"/>
            <w:vAlign w:val="bottom"/>
          </w:tcPr>
          <w:p>
            <w:pPr>
              <w:spacing w:after="0"/>
              <w:rPr>
                <w:sz w:val="17"/>
                <w:szCs w:val="17"/>
                <w:color w:val="auto"/>
              </w:rPr>
            </w:pP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2001</w:t>
            </w:r>
          </w:p>
        </w:tc>
        <w:tc>
          <w:tcPr>
            <w:tcW w:w="4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Revenues from services</w:t>
            </w:r>
          </w:p>
        </w:tc>
        <w:tc>
          <w:tcPr>
            <w:tcW w:w="15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$ 2,651.9</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$ 2,568.3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Cost of services</w:t>
            </w:r>
          </w:p>
        </w:tc>
        <w:tc>
          <w:tcPr>
            <w:tcW w:w="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2,168.0</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2,122.3</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4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483.9</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446.0</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431.7</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395.5</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profit</w:t>
            </w:r>
          </w:p>
        </w:tc>
        <w:tc>
          <w:tcPr>
            <w:tcW w:w="4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Interest and other expense</w:t>
            </w:r>
          </w:p>
        </w:tc>
        <w:tc>
          <w:tcPr>
            <w:tcW w:w="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10.3</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10.8</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480" w:type="dxa"/>
            <w:vAlign w:val="bottom"/>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41.9</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15.1</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14.1</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earnings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earnings per share - diluted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75.8</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76.1</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 diluted</w:t>
            </w:r>
          </w:p>
        </w:tc>
        <w:tc>
          <w:tcPr>
            <w:tcW w:w="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76.9</w:t>
            </w: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77.2</w:t>
            </w:r>
          </w:p>
        </w:tc>
      </w:tr>
      <w:tr>
        <w:trPr>
          <w:trHeight w:val="203"/>
        </w:trPr>
        <w:tc>
          <w:tcPr>
            <w:tcW w:w="454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000" w:right="283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SUPPLEMENTAL SYSTEMWIDE INFORMATION (UNAUDITED)</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8"/>
          <w:szCs w:val="18"/>
          <w:color w:val="auto"/>
        </w:rPr>
        <w:t>3 MONTHS ENDED</w:t>
      </w:r>
    </w:p>
    <w:p>
      <w:pPr>
        <w:jc w:val="center"/>
        <w:ind w:left="1560"/>
        <w:spacing w:after="0" w:line="238" w:lineRule="auto"/>
        <w:rPr>
          <w:sz w:val="20"/>
          <w:szCs w:val="20"/>
          <w:color w:val="auto"/>
        </w:rPr>
      </w:pPr>
      <w:r>
        <w:rPr>
          <w:rFonts w:ascii="Courier New" w:cs="Courier New" w:eastAsia="Courier New" w:hAnsi="Courier New"/>
          <w:sz w:val="18"/>
          <w:szCs w:val="18"/>
          <w:color w:val="auto"/>
        </w:rPr>
        <w:t>MARCH 31,</w:t>
      </w:r>
    </w:p>
    <w:p>
      <w:pPr>
        <w:jc w:val="center"/>
        <w:ind w:left="1460"/>
        <w:spacing w:after="0"/>
        <w:rPr>
          <w:sz w:val="20"/>
          <w:szCs w:val="20"/>
          <w:color w:val="auto"/>
        </w:rPr>
      </w:pPr>
      <w:r>
        <w:rPr>
          <w:rFonts w:ascii="Courier New" w:cs="Courier New" w:eastAsia="Courier New" w:hAnsi="Courier New"/>
          <w:sz w:val="18"/>
          <w:szCs w:val="18"/>
          <w:color w:val="auto"/>
        </w:rPr>
        <w:t>----------------------------</w:t>
      </w:r>
    </w:p>
    <w:p>
      <w:pPr>
        <w:jc w:val="center"/>
        <w:ind w:left="2300"/>
        <w:spacing w:after="0" w:line="237" w:lineRule="auto"/>
        <w:tabs>
          <w:tab w:leader="none" w:pos="1460" w:val="left"/>
        </w:tabs>
        <w:rPr>
          <w:sz w:val="20"/>
          <w:szCs w:val="20"/>
          <w:color w:val="auto"/>
        </w:rPr>
      </w:pP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8"/>
          <w:szCs w:val="18"/>
          <w:color w:val="auto"/>
        </w:rPr>
        <w:t>2000</w:t>
      </w:r>
    </w:p>
    <w:p>
      <w:pPr>
        <w:jc w:val="center"/>
        <w:ind w:left="1980"/>
        <w:spacing w:after="0" w:line="238" w:lineRule="auto"/>
        <w:tabs>
          <w:tab w:leader="none" w:pos="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97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Systemwide Sales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3,011.1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2,972.5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240" w:space="720"/>
            <w:col w:w="1180" w:space="720"/>
            <w:col w:w="3359"/>
          </w:cols>
          <w:pgMar w:left="240" w:top="312" w:right="1440" w:bottom="97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Systemwide information represents the total of Company-owned</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branches and franchises.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97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712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7120" w:type="dxa"/>
            <w:vAlign w:val="bottom"/>
          </w:tcPr>
          <w:p>
            <w:pPr>
              <w:ind w:left="2640"/>
              <w:spacing w:after="0"/>
              <w:rPr>
                <w:sz w:val="20"/>
                <w:szCs w:val="20"/>
                <w:color w:val="auto"/>
              </w:rPr>
            </w:pPr>
            <w:r>
              <w:rPr>
                <w:rFonts w:ascii="Courier New" w:cs="Courier New" w:eastAsia="Courier New" w:hAnsi="Courier New"/>
                <w:sz w:val="18"/>
                <w:szCs w:val="18"/>
                <w:color w:val="auto"/>
              </w:rPr>
              <w:t>MANPOWER INC. AND SUBSIDIARIES</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7120" w:type="dxa"/>
            <w:vAlign w:val="bottom"/>
          </w:tcPr>
          <w:p>
            <w:pPr>
              <w:ind w:left="1700"/>
              <w:spacing w:after="0"/>
              <w:rPr>
                <w:sz w:val="20"/>
                <w:szCs w:val="20"/>
                <w:color w:val="auto"/>
              </w:rPr>
            </w:pPr>
            <w:r>
              <w:rPr>
                <w:rFonts w:ascii="Courier New" w:cs="Courier New" w:eastAsia="Courier New" w:hAnsi="Courier New"/>
                <w:sz w:val="18"/>
                <w:szCs w:val="18"/>
                <w:color w:val="auto"/>
              </w:rPr>
              <w:t>CONSOLIDATED STATEMENTS OF CASH FLOWS (UNAUDITED)</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1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(IN MILLIONS)</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10"/>
        </w:trPr>
        <w:tc>
          <w:tcPr>
            <w:tcW w:w="7120" w:type="dxa"/>
            <w:vAlign w:val="bottom"/>
          </w:tcPr>
          <w:p>
            <w:pPr>
              <w:spacing w:after="0"/>
              <w:rPr>
                <w:sz w:val="24"/>
                <w:szCs w:val="24"/>
                <w:color w:val="auto"/>
              </w:rPr>
            </w:pPr>
          </w:p>
        </w:tc>
        <w:tc>
          <w:tcPr>
            <w:tcW w:w="2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3 MONTHS ENDED</w:t>
            </w:r>
          </w:p>
        </w:tc>
      </w:tr>
      <w:tr>
        <w:trPr>
          <w:trHeight w:val="203"/>
        </w:trPr>
        <w:tc>
          <w:tcPr>
            <w:tcW w:w="7120" w:type="dxa"/>
            <w:vAlign w:val="bottom"/>
          </w:tcPr>
          <w:p>
            <w:pPr>
              <w:spacing w:after="0"/>
              <w:rPr>
                <w:sz w:val="17"/>
                <w:szCs w:val="17"/>
                <w:color w:val="auto"/>
              </w:rPr>
            </w:pPr>
          </w:p>
        </w:tc>
        <w:tc>
          <w:tcPr>
            <w:tcW w:w="2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7120" w:type="dxa"/>
            <w:vAlign w:val="bottom"/>
          </w:tcPr>
          <w:p>
            <w:pPr>
              <w:spacing w:after="0"/>
              <w:rPr>
                <w:sz w:val="17"/>
                <w:szCs w:val="17"/>
                <w:color w:val="auto"/>
              </w:rPr>
            </w:pPr>
          </w:p>
        </w:tc>
        <w:tc>
          <w:tcPr>
            <w:tcW w:w="2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2001</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$ 26.8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$ 25.6</w:t>
            </w:r>
          </w:p>
        </w:tc>
      </w:tr>
      <w:tr>
        <w:trPr>
          <w:trHeight w:val="203"/>
        </w:trPr>
        <w:tc>
          <w:tcPr>
            <w:tcW w:w="7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Adjustments to reconcile net earnings to net cash</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1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71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Provision for doubtful accounts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71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12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Amounts advanced under the Receivables Facility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712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712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12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82.9</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Acquisitions of businesses, net of cash acquired</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(121.9)</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the sale of property and equipment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used by investing activities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(137.9)</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payable to banks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long-term debt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151.1</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(80.6)</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stock option and purchase plans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used by financing activities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(15.5)</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(84.6)</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 of period</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181.7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241.7</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$173.5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$157.1</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paid</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$ 12.9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4.6</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tcPr>
          <w:p>
            <w:pPr>
              <w:ind w:left="220"/>
              <w:spacing w:after="0"/>
              <w:rPr>
                <w:sz w:val="20"/>
                <w:szCs w:val="20"/>
                <w:color w:val="auto"/>
              </w:rPr>
            </w:pPr>
            <w:r>
              <w:rPr>
                <w:rFonts w:ascii="Courier New" w:cs="Courier New" w:eastAsia="Courier New" w:hAnsi="Courier New"/>
                <w:sz w:val="18"/>
                <w:szCs w:val="18"/>
                <w:color w:val="auto"/>
              </w:rPr>
              <w:t>Income taxes paid</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$ 16.2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$ 11.9</w:t>
            </w:r>
          </w:p>
        </w:tc>
      </w:tr>
      <w:tr>
        <w:trPr>
          <w:trHeight w:val="203"/>
        </w:trPr>
        <w:tc>
          <w:tcPr>
            <w:tcW w:w="7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right="283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MANPOWER INC. AND SUBSIDIARIES</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NOTES TO CONSOLIDATED FINANCIAL STATEMENTS (UNAUDITED) FOR THE THREE MONTHS ENDED MARCH 31, 2001 AND 2000 (IN MILLIONS, EXCEPT PER SHARE DATA)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the Company believes that the disclosures are adequate to make the information presented not misleading. These consolidated financial statements should be read in conjunction with the consolidated financial statements included in the Company's 2000 Annual Report to Shareholders.</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Reclassifications</w:t>
      </w:r>
    </w:p>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Certain amounts in the 2000 consolidated financial statements have been reclassified to be consistent with the current year presentation.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Acquisitions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April 2001, the Company signed a definitive agreement to acquire Jefferson Wells International, Inc. ("Jefferson Wells"), a professional services provider of internal audit, accounting, technology and tax services. Jefferson Wells is based in Wisconsin and operates a network of offices throughout the United States and Canada. The Company plans to pay approximately $174.0 for Jefferson Wells and expects to finance the acquisition using its current credit facilities.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quarter of 2001, the Company also acquired and invested in several companies throughout the world. The total consideration paid for such transactions was $50.3 as of March 31, 2001, the majority of which was recorded as intangible assets. This consideration includes the final payment of $30.0 in deferred consideration related to its January 2000 acquisition of Elan Group Limited.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Income Taxes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Company provided for income taxes at 36.0%, which is equal to the estimated annual effective tax rate based on the currently available information. This rate is higher than the U.S. Federal statutory rate due to foreign repatriations, foreign tax rate differences and U.S. state income taxes.</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calculations of net earnings per share and net earnings per share - diluted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3 MONTHS ENDED</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Net earnings per share: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 available to common shareholders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420" w:type="dxa"/>
            <w:vAlign w:val="bottom"/>
          </w:tcPr>
          <w:p>
            <w:pPr>
              <w:spacing w:after="0"/>
              <w:rPr>
                <w:sz w:val="17"/>
                <w:szCs w:val="17"/>
                <w:color w:val="auto"/>
              </w:rPr>
            </w:pPr>
          </w:p>
        </w:tc>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76.1</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Net earnings per share - diluted: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 available to common shareholders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w:t>
            </w:r>
          </w:p>
        </w:tc>
      </w:tr>
      <w:tr>
        <w:trPr>
          <w:trHeight w:val="405"/>
        </w:trPr>
        <w:tc>
          <w:tcPr>
            <w:tcW w:w="420" w:type="dxa"/>
            <w:vAlign w:val="bottom"/>
          </w:tcPr>
          <w:p>
            <w:pPr>
              <w:spacing w:after="0"/>
              <w:rPr>
                <w:sz w:val="24"/>
                <w:szCs w:val="24"/>
                <w:color w:val="auto"/>
              </w:rPr>
            </w:pPr>
          </w:p>
        </w:tc>
        <w:tc>
          <w:tcPr>
            <w:tcW w:w="544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20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76.1</w:t>
            </w:r>
          </w:p>
        </w:tc>
      </w:tr>
      <w:tr>
        <w:trPr>
          <w:trHeight w:val="203"/>
        </w:trPr>
        <w:tc>
          <w:tcPr>
            <w:tcW w:w="420" w:type="dxa"/>
            <w:vAlign w:val="bottom"/>
          </w:tcPr>
          <w:p>
            <w:pPr>
              <w:spacing w:after="0"/>
              <w:rPr>
                <w:sz w:val="17"/>
                <w:szCs w:val="17"/>
                <w:color w:val="auto"/>
              </w:rPr>
            </w:pPr>
          </w:p>
        </w:tc>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dilutive stock options</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w:t>
            </w:r>
          </w:p>
        </w:tc>
        <w:tc>
          <w:tcPr>
            <w:tcW w:w="3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(6) Shareholders' Equity</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Comprehensive income (loss)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10"/>
        </w:trPr>
        <w:tc>
          <w:tcPr>
            <w:tcW w:w="4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3 MONTHS ENDED</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Net earnings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$26.8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$25.6</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comprehensive income (loss):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 adjustments</w:t>
            </w:r>
          </w:p>
        </w:tc>
        <w:tc>
          <w:tcPr>
            <w:tcW w:w="200" w:type="dxa"/>
            <w:vAlign w:val="bottom"/>
          </w:tcPr>
          <w:p>
            <w:pPr>
              <w:spacing w:after="0"/>
              <w:rPr>
                <w:sz w:val="17"/>
                <w:szCs w:val="17"/>
                <w:color w:val="auto"/>
              </w:rPr>
            </w:pPr>
          </w:p>
        </w:tc>
        <w:tc>
          <w:tcPr>
            <w:tcW w:w="11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(37.6)</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w:t>
            </w:r>
          </w:p>
        </w:tc>
      </w:tr>
      <w:tr>
        <w:trPr>
          <w:trHeight w:val="203"/>
        </w:trPr>
        <w:tc>
          <w:tcPr>
            <w:tcW w:w="420" w:type="dxa"/>
            <w:vAlign w:val="bottom"/>
          </w:tcPr>
          <w:p>
            <w:pPr>
              <w:spacing w:after="0"/>
              <w:rPr>
                <w:sz w:val="17"/>
                <w:szCs w:val="17"/>
                <w:color w:val="auto"/>
              </w:rPr>
            </w:pPr>
          </w:p>
        </w:tc>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loss on available for sale securities</w:t>
            </w:r>
          </w:p>
        </w:tc>
        <w:tc>
          <w:tcPr>
            <w:tcW w:w="200" w:type="dxa"/>
            <w:vAlign w:val="bottom"/>
          </w:tcPr>
          <w:p>
            <w:pPr>
              <w:spacing w:after="0"/>
              <w:rPr>
                <w:sz w:val="17"/>
                <w:szCs w:val="17"/>
                <w:color w:val="auto"/>
              </w:rPr>
            </w:pPr>
          </w:p>
        </w:tc>
        <w:tc>
          <w:tcPr>
            <w:tcW w:w="11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Unrealized loss on derivative financial instruments</w:t>
            </w:r>
          </w:p>
        </w:tc>
        <w:tc>
          <w:tcPr>
            <w:tcW w:w="200" w:type="dxa"/>
            <w:vAlign w:val="bottom"/>
          </w:tcPr>
          <w:p>
            <w:pPr>
              <w:spacing w:after="0"/>
              <w:rPr>
                <w:sz w:val="17"/>
                <w:szCs w:val="17"/>
                <w:color w:val="auto"/>
              </w:rPr>
            </w:pPr>
          </w:p>
        </w:tc>
        <w:tc>
          <w:tcPr>
            <w:tcW w:w="11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Comprehensive income (loss)</w:t>
            </w:r>
          </w:p>
        </w:tc>
        <w:tc>
          <w:tcPr>
            <w:tcW w:w="200" w:type="dxa"/>
            <w:vAlign w:val="bottom"/>
          </w:tcPr>
          <w:p>
            <w:pPr>
              <w:spacing w:after="0"/>
              <w:rPr>
                <w:sz w:val="17"/>
                <w:szCs w:val="17"/>
                <w:color w:val="auto"/>
              </w:rPr>
            </w:pPr>
          </w:p>
        </w:tc>
        <w:tc>
          <w:tcPr>
            <w:tcW w:w="1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$(18.1)</w:t>
            </w:r>
          </w:p>
        </w:tc>
        <w:tc>
          <w:tcPr>
            <w:tcW w:w="2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w:t>
            </w:r>
          </w:p>
        </w:tc>
      </w:tr>
      <w:tr>
        <w:trPr>
          <w:trHeight w:val="203"/>
        </w:trPr>
        <w:tc>
          <w:tcPr>
            <w:tcW w:w="4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860" w:type="dxa"/>
            <w:vAlign w:val="bottom"/>
            <w:gridSpan w:val="4"/>
          </w:tcPr>
          <w:p>
            <w:pPr>
              <w:spacing w:after="0"/>
              <w:rPr>
                <w:sz w:val="20"/>
                <w:szCs w:val="20"/>
                <w:color w:val="auto"/>
              </w:rPr>
            </w:pPr>
            <w:r>
              <w:rPr>
                <w:rFonts w:ascii="Courier New" w:cs="Courier New" w:eastAsia="Courier New" w:hAnsi="Courier New"/>
                <w:sz w:val="18"/>
                <w:szCs w:val="18"/>
                <w:color w:val="auto"/>
                <w:w w:val="98"/>
              </w:rPr>
              <w:t>On May 1, 2001, the Company's Board of Directors declared a cash</w:t>
            </w:r>
          </w:p>
        </w:tc>
        <w:tc>
          <w:tcPr>
            <w:tcW w:w="1260" w:type="dxa"/>
            <w:vAlign w:val="bottom"/>
            <w:gridSpan w:val="3"/>
          </w:tcPr>
          <w:p>
            <w:pPr>
              <w:spacing w:after="0"/>
              <w:rPr>
                <w:sz w:val="20"/>
                <w:szCs w:val="20"/>
                <w:color w:val="auto"/>
              </w:rPr>
            </w:pPr>
            <w:r>
              <w:rPr>
                <w:rFonts w:ascii="Courier New" w:cs="Courier New" w:eastAsia="Courier New" w:hAnsi="Courier New"/>
                <w:sz w:val="18"/>
                <w:szCs w:val="18"/>
                <w:color w:val="auto"/>
              </w:rPr>
              <w:t>dividend of</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$.10 per share which is payable on June 14, 2001 to shareholders</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of record on</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June</w:t>
            </w:r>
          </w:p>
        </w:tc>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1, 2001.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440" w:type="dxa"/>
            <w:vAlign w:val="bottom"/>
          </w:tcPr>
          <w:p>
            <w:pPr>
              <w:ind w:left="120"/>
              <w:spacing w:after="0"/>
              <w:rPr>
                <w:sz w:val="20"/>
                <w:szCs w:val="20"/>
                <w:color w:val="auto"/>
              </w:rPr>
            </w:pPr>
            <w:r>
              <w:rPr>
                <w:rFonts w:ascii="Courier New" w:cs="Courier New" w:eastAsia="Courier New" w:hAnsi="Courier New"/>
                <w:sz w:val="18"/>
                <w:szCs w:val="18"/>
                <w:color w:val="auto"/>
              </w:rPr>
              <w:t>Interest and Other Expense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and other expense (income)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3 MONTHS ENDED</w:t>
            </w:r>
          </w:p>
        </w:tc>
      </w:tr>
      <w:tr>
        <w:trPr>
          <w:trHeight w:val="203"/>
        </w:trPr>
        <w:tc>
          <w:tcPr>
            <w:tcW w:w="3960" w:type="dxa"/>
            <w:vAlign w:val="bottom"/>
          </w:tcPr>
          <w:p>
            <w:pPr>
              <w:spacing w:after="0"/>
              <w:rPr>
                <w:sz w:val="17"/>
                <w:szCs w:val="17"/>
                <w:color w:val="auto"/>
              </w:rPr>
            </w:pPr>
          </w:p>
        </w:tc>
        <w:tc>
          <w:tcPr>
            <w:tcW w:w="2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960" w:type="dxa"/>
            <w:vAlign w:val="bottom"/>
          </w:tcPr>
          <w:p>
            <w:pPr>
              <w:spacing w:after="0"/>
              <w:rPr>
                <w:sz w:val="17"/>
                <w:szCs w:val="17"/>
                <w:color w:val="auto"/>
              </w:rPr>
            </w:pP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2001</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$ 8.7</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exchange losses</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sale of accounts receivable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 net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96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r>
    </w:tbl>
    <w:p>
      <w:pPr>
        <w:sectPr>
          <w:pgSz w:w="11900" w:h="16838" w:orient="portrait"/>
          <w:cols w:equalWidth="0" w:num="1">
            <w:col w:w="10219"/>
          </w:cols>
          <w:pgMar w:left="240" w:top="312" w:right="1440" w:bottom="0" w:gutter="0" w:footer="0" w:header="0"/>
        </w:sectPr>
      </w:pPr>
    </w:p>
    <w:bookmarkStart w:id="8" w:name="page9"/>
    <w:bookmarkEnd w:id="8"/>
    <w:p>
      <w:pPr>
        <w:jc w:val="both"/>
        <w:ind w:left="3020"/>
        <w:spacing w:after="0"/>
        <w:tabs>
          <w:tab w:leader="none" w:pos="4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Derivative Financial Instruments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Since June 1998, the Financial Accounting Standards Board ("FASB") has issued Statements of Financial Accounting Standards ("SFAS") Nos. 133, 137 and 138 related to "Accounting for Derivative Instruments and Hedging Activities" ("SFAS No. 133, as amended" or "Statements"). These Statements establish accounting and reporting standards requiring derivative instruments be recorded on the balance sheet as either an asset or liability measured at its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in other comprehensive income and are recognized in the income statement when the hedged item affects earnings. Ineffective portions of changes in the fair value of cash flow hedges are recognized in earnings.</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January 1, 2001, the Company adopted SFAS No. 133, as amended. As a result of adopting the standard, the Company recognized the fair value of all derivative contracts as a net liability of $3.4 on the consolidated balance sheets. This amount and subsequent changes in the fair value of these derivative financial instruments are recorded as a component of accumulated other comprehensive income (loss). There has been no impact on earnings.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enters into various derivative financial instruments to manage certain of its foreign currency exchange rate and interest rate risks. The Company does not use derivative financial instruments for trading or speculative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Exchange Rate Management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certain circumstances, the Company enters into foreign currency forward exchange contracts to reduce the effects of fluctuating foreign currency exchange rates on cash flows received from foreign subsidiaries. Such contracts have been designated as cash flow hedges and were considered highly effective as of March 31, 2001.</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borrowings which are denominated in Euro, Japanese yen, and British pounds have been designated and are effective as economic hedges of the Company's net investment in its foreign subsidiaries with the related functional currencies. Therefore, all translation gains or losses related to these borrowings are recorded as a component of accumulated other comprehensive income (loss).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Management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enters into interest rate swaps to manage the effects of interest rate movements on the Company's variable rate borrowings. The swaps exchange floating rate for fixed rate payments on a periodic basis over the terms of the related borrowings. Such contracts have been designated as cash flow hedges and were considered highly effective as of March 31, 2001.</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Business Segment Data by Geographical Area</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Geographical segment information is as follows for the 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2001</w:t>
            </w:r>
          </w:p>
        </w:tc>
        <w:tc>
          <w:tcPr>
            <w:tcW w:w="420" w:type="dxa"/>
            <w:vAlign w:val="bottom"/>
          </w:tcPr>
          <w:p>
            <w:pPr>
              <w:spacing w:after="0"/>
              <w:rPr>
                <w:sz w:val="17"/>
                <w:szCs w:val="17"/>
                <w:color w:val="auto"/>
              </w:rPr>
            </w:pP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3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Revenues from services: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States  (a)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546.3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939.2</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381.0</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Europe</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499.4</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Countries</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286.0</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266.3</w:t>
            </w:r>
          </w:p>
        </w:tc>
      </w:tr>
      <w:tr>
        <w:trPr>
          <w:trHeight w:val="203"/>
        </w:trPr>
        <w:tc>
          <w:tcPr>
            <w:tcW w:w="3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$2,651.9</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$2,568.3</w:t>
            </w:r>
          </w:p>
        </w:tc>
      </w:tr>
      <w:tr>
        <w:trPr>
          <w:trHeight w:val="203"/>
        </w:trPr>
        <w:tc>
          <w:tcPr>
            <w:tcW w:w="3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Operating Unit Profit:</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States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26.3</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Europe</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Countries</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3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65.6</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 expense</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3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w:t>
            </w:r>
          </w:p>
        </w:tc>
      </w:tr>
      <w:tr>
        <w:trPr>
          <w:trHeight w:val="203"/>
        </w:trPr>
        <w:tc>
          <w:tcPr>
            <w:tcW w:w="3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31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systemwide sales in the United States, which includes sales of Company-owned branches and franchises, were $861.5 and $922.1 for the three months ended March 31, 2001 and 2000, respectively.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2 --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 Three Months Ended March 31, 2001 and 2000</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Revenues increased 3.3% to $2,651.9 million for the first quarter of 2001. Revenues were unfavorably impacted by changes in currency exchange rates during the first quarter of 2001 due to the strengthening of the U.S. dollar, as compared to the first quarter of 2000, relative to the currencies in most of the Company's non-U.S. markets. At constant exchange rates, the increase in revenues would have been 9.3%. Acquisitions had a favorable impact of less than 1% on consolidated revenues, on a constant currency basis, during the first quarter of 2001. Local currency revenue increases were experienced in a majority of the Company's largest markets, including France (9.9%) and the United Kingdom</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(10.9%). The United States experienced a revenue decrease of 3.1% for the first quarter of 2001 compared to 2000 due to a slowing economy. The Company's Other Europe and Other Countries segments reported constant currency increases of 17.2% and 17.1%, respectively.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profit increased 8.5% to $483.9 million for the first quarter of 2001 compared to 2000. Gross profit margin increased 80 basis points (.80%) from the first quarter of 2000 to 18.2% in 2001 due primarily to improved pricing in France, the United Kingdom and other European markets.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administrative expenses increased 9.2% to $431.7 million in the first quarter of 2001 compared to the same period in 2000. As a percent of gross profit, these expenses were 89.2% in the first quarter of 2001 compared to 88.7% in the first quarter of 2000. This increase is due primarily to the deleveraging of the business caused by the slowing and contracting revenue growth, particularly in the United States, and the Company's continued investment in certain expanding markets.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and other expense decreased $.5 million from the first quarter of 2000 to $10.3 million in the first quarter of 2001. Net interest expense, including the loss on sale of accounts receivable, was $8.3 million in the first quarter of 2001 compared to $9.1 million in the first quarter of 2000. This decrease in expense is due to the lower borrowing levels resulting from the improvement in working capital management.</w:t>
      </w: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Company provided for income taxes at 36.0%, which is equal to the estimated annual effective tax rate based on the currently available information. This rate is higher than the U.S. Federal statutory rate due to foreign repatriations, foreign tax rate differences and U.S. state income taxes.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 diluted basis, net earnings per share was $.35 in the first quarter of 2001 compared to $.33 in the first quarter of 2000. The diluted net earnings per share, for the first quarter of 2001 was negatively impacted by $.03 due to changes in exchange rates.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Cash provided by operating activities was $81.6 million in the first quarter of 2001 compared to $82.9 million in the first quarter of 2000. Excluding the changes in amounts advanced under the accounts receivable securitization, cash provided by operating activities was $148.6 million and $112.9 million in the first quarter of 2001 and 2000, respectively. This increase is mainly due to the changes in working capital requirements during the first quarter of 2001 compared to 2000, due to an improvement in consolidated accounts receivable days sales outstanding ("DSO"). Cash provided by operating activities before changes in working capital requirements was $50.1 million in the first quarter of 2001 compared to $49.4 million in the first quarter of 2000.</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Capital expenditures were $21.6 million in the first quarter of 2001 compared to $17.4 million during the first quarter of 2000. These expenditures were comprised of purchases of computer equipment, office furniture and other costs related to office openings and refurbishments.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April 2001, the Company signed a definitive agreement to acquire Jefferson Wells International, Inc. ("Jefferson Wells"), a professional services provider of internal audit, accounting, technology and tax services. Jefferson Wells is based in Wisconsin and operates a network of offices throughout the United States and Canada. The Company plans to pay approximately $174.0 million for Jefferson Wells and expects to finance the acquisition using its current credit facilities.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2001, the Company also acquired and invested in several companies throughout the world. The total consideration paid for such transactions was $50.3 as of March 31, 2001, which includes the final payment of $30.0 million in deferred consideration related to its January 2000 acquisition of Elan Group Limited.</w:t>
      </w:r>
    </w:p>
    <w:p>
      <w:pPr>
        <w:spacing w:after="0" w:line="209"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Net cash used to repay borrowings was $11.4 million and $10.8 million in the first quarter of 2001 and 2000, respectively. The Company repurchased 100,000 common shares at a cost of $3.3 million during the first quarter of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 decreased to $1,988.2 million at March 31, 2001 from</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$2,094.4 million at December 31, 2000. This decrease is due to the effect of the change in foreign currency exchange rates during the first quarter of 2001, which negatively impacted the receivable balance by $109.0 million and the decrease due to seasonal fluctuations, as the revenue levels in the first quarter are typically lower than the fourth quarter. The amount advanced under the Company's U.S. Receivable Facility was reduced by $67.0 million during the first quarter of 2001.</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March 31, 2001, the Company had borrowings of $161.6 million and letters of credit of $62.6 million outstanding under its $415.0 million U.S. revolving credit facility, and borrowings of $4.1 million outstanding under its U.S. commercial paper program. The commercial paper borrowings have been classified as long-term debt due to the availability to refinance them on a long-term basis under the revolving credit facility.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and some of its foreign subsidiaries maintain separate lines of credit with foreign financial institutions to meet short-term working capital needs. As of March 31, 2001, such lines totaled $175.6 million, of which $162.9 million was unused.</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On May 1, 2001, the Company's Board of Directors declared a cash dividend of $.10 per share which is payable on June 14, 2001 to shareholders of record on June 1,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Since June 1998, the Financial Accounting Standards Board ("FASB") has issued Statements of Financial Accounting Standards ("SFAS") Nos. 133, 137 and 138 related to "Accounting for Derivative Instruments and Hedging Activities" ("SFAS No. 133, as amended" or "Statements"). These Statements establish accounting and reporting standards requiring derivative instruments be recorded on the balance sheet as either an asset or liability measured at its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in other comprehensive income and are recognized in the income statement when the hedged item affects earnings. Ineffective portions of changes in the fair value of cash flow hedges are recognized in earnings.</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January 1, 2001, the Company adopted SFAS No. 133, as amended. As a result of adopting the standard, the Company recognized the fair value of all derivative contracts as a net liability of $3.4 on the consolidated balance sheets. This amount and subsequent changes in the fair value of these derivative financial instruments are recorded as a component of accumulated other comprehensive income (loss). There has been no impact on earnings.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3" w:name="page14"/>
    <w:bookmarkEnd w:id="13"/>
    <w:p>
      <w:pPr>
        <w:jc w:val="center"/>
        <w:ind w:right="9359"/>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Euro</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Twelve of the fifteen member countries of the European Union (the "participating countries") have established fixed conversion rates between their existing sovereign currencies (the "legacy currencies") and the Euro and have agreed to adopt the Euro as their common legal currency. The legacy currencies will remain legal tender in the participating countries as denominations of the Euro between January 1, 1999 and January 1, 2002 (the "transition period"). During the transition period, public and private parties may pay for goods and services using either the Euro or the participating country's legacy currency. Beginning on January 1, 2002, Euro-denominated bills and coins will be issued and legacy currencies will be withdrawn from circulation.</w:t>
      </w:r>
    </w:p>
    <w:p>
      <w:pPr>
        <w:spacing w:after="0" w:line="1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significant operations in many of the participating countries and continues to assess the impact of the Euro on its business operations. Since the Company's labor costs and prices are generally determined on a local basis, the near-term impact of the Euro has been and is expected to be primarily related to making internal information systems modifications to meet customer invoicing and financial reporting requirements. Such modifications relate to converting currency values and to operating in a dual currency environment during the transition period. Modifications of internal information systems have been occurring throughout the transition period and are mainly coordinated with other system-related upgrades and enhancements. The Company will account for all such system modification costs in accordance with its existing policy and does not expect such costs to be material to the Company's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information included or incorporated by reference in this filing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216"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185" w:lineRule="exact"/>
        <w:rPr>
          <w:sz w:val="20"/>
          <w:szCs w:val="20"/>
          <w:color w:val="auto"/>
        </w:rPr>
      </w:pPr>
    </w:p>
    <w:p>
      <w:pPr>
        <w:ind w:left="540" w:right="17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changes in the demand from larger customers, including customers with which the Company has national or global arrangements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temporary workers or workers with the skills required by customers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increases in the wages paid to temporary workers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competitive market pressures, including pricing pressures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ability to successfully expand into new markets or service lines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ability to successfully invest in and implement information systems</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-unanticipated technological changes, including obsolescence or impairment of information systems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customer attitudes toward the use of staffing services</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tax or regulatory policies adverse to the employment services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general economic conditions in domestic and international markets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interest rate and exchange rate fluctuations</w:t>
      </w:r>
    </w:p>
    <w:p>
      <w:pPr>
        <w:spacing w:after="0" w:line="206"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related to acquisitions, including integrating the acquired companies and achieving the expected benefits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Company disclaims any obligation to update publicly or revise any forward-looking statements, whether as a result of new information, future events or otherwise.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 Quantitative and Qualitative Disclosures About Market Risk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2000 Annual Report on Form 10-K contains certain disclosures about market risks affecting the Company. There have been no material changes to the information provided which would require additional disclosures as of the date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Date: May 14, 2001</w:t>
      </w:r>
      <w:r>
        <w:rPr>
          <w:sz w:val="20"/>
          <w:szCs w:val="20"/>
          <w:color w:val="auto"/>
        </w:rPr>
        <w:tab/>
      </w:r>
      <w:r>
        <w:rPr>
          <w:rFonts w:ascii="Courier New" w:cs="Courier New" w:eastAsia="Courier New" w:hAnsi="Courier New"/>
          <w:sz w:val="16"/>
          <w:szCs w:val="16"/>
          <w:color w:val="auto"/>
        </w:rPr>
        <w:t>/s/ Michael J. Van Handel</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Michael J. Van Handel</w:t>
      </w:r>
    </w:p>
    <w:p>
      <w:pPr>
        <w:spacing w:after="0" w:line="4" w:lineRule="exact"/>
        <w:rPr>
          <w:sz w:val="20"/>
          <w:szCs w:val="20"/>
          <w:color w:val="auto"/>
        </w:rPr>
      </w:pPr>
    </w:p>
    <w:p>
      <w:pPr>
        <w:ind w:left="2440" w:right="1779"/>
        <w:spacing w:after="0" w:line="237" w:lineRule="auto"/>
        <w:rPr>
          <w:sz w:val="20"/>
          <w:szCs w:val="20"/>
          <w:color w:val="auto"/>
        </w:rPr>
      </w:pPr>
      <w:r>
        <w:rPr>
          <w:rFonts w:ascii="Courier New" w:cs="Courier New" w:eastAsia="Courier New" w:hAnsi="Courier New"/>
          <w:sz w:val="18"/>
          <w:szCs w:val="18"/>
          <w:color w:val="auto"/>
        </w:rPr>
        <w:t>Senior Vice President, Chief Financial Officer, and Secretary (Signing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2019-12-12T11:20:47Z</dcterms:created>
  <dcterms:modified xsi:type="dcterms:W3CDTF">2019-12-12T11:20:47Z</dcterms:modified>
</cp:coreProperties>
</file>