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CHANDRASHEKAR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40"/>
        <w:spacing w:after="0" w:line="268" w:lineRule="auto"/>
        <w:rPr>
          <w:sz w:val="20"/>
          <w:szCs w:val="20"/>
          <w:color w:val="auto"/>
        </w:rPr>
      </w:pPr>
      <w:r>
        <w:rPr>
          <w:rFonts w:ascii="Arial" w:cs="Arial" w:eastAsia="Arial" w:hAnsi="Arial"/>
          <w:sz w:val="18"/>
          <w:szCs w:val="18"/>
          <w:color w:val="0000FF"/>
        </w:rPr>
        <w:t>MANPOWERGROUP INC. 10 HOE CHIANG ROAD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 04/05 KEPPEL TOWERS</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SINGAPORE</w:t>
            </w:r>
          </w:p>
        </w:tc>
        <w:tc>
          <w:tcPr>
            <w:tcW w:w="980" w:type="dxa"/>
            <w:vAlign w:val="bottom"/>
          </w:tcPr>
          <w:p>
            <w:pPr>
              <w:ind w:left="140"/>
              <w:spacing w:after="0"/>
              <w:rPr>
                <w:sz w:val="20"/>
                <w:szCs w:val="20"/>
                <w:color w:val="auto"/>
              </w:rPr>
            </w:pPr>
            <w:r>
              <w:rPr>
                <w:rFonts w:ascii="Arial" w:cs="Arial" w:eastAsia="Arial" w:hAnsi="Arial"/>
                <w:sz w:val="18"/>
                <w:szCs w:val="18"/>
                <w:color w:val="0000FF"/>
              </w:rPr>
              <w:t>U0</w:t>
            </w:r>
          </w:p>
        </w:tc>
        <w:tc>
          <w:tcPr>
            <w:tcW w:w="1680" w:type="dxa"/>
            <w:vAlign w:val="bottom"/>
          </w:tcPr>
          <w:p>
            <w:pPr>
              <w:ind w:left="420"/>
              <w:spacing w:after="0"/>
              <w:rPr>
                <w:sz w:val="20"/>
                <w:szCs w:val="20"/>
                <w:color w:val="auto"/>
              </w:rPr>
            </w:pPr>
            <w:r>
              <w:rPr>
                <w:rFonts w:ascii="Arial" w:cs="Arial" w:eastAsia="Arial" w:hAnsi="Arial"/>
                <w:sz w:val="18"/>
                <w:szCs w:val="18"/>
                <w:color w:val="0000FF"/>
              </w:rPr>
              <w:t>089315</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ManpowerGroup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40" w:type="dxa"/>
            <w:vAlign w:val="bottom"/>
            <w:tcBorders>
              <w:bottom w:val="single" w:sz="8" w:color="0000EE"/>
            </w:tcBorders>
          </w:tcPr>
          <w:p>
            <w:pPr>
              <w:spacing w:after="0"/>
              <w:rPr>
                <w:sz w:val="3"/>
                <w:szCs w:val="3"/>
                <w:color w:val="auto"/>
              </w:rPr>
            </w:pPr>
          </w:p>
        </w:tc>
        <w:tc>
          <w:tcPr>
            <w:tcW w:w="2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60" w:type="dxa"/>
            <w:vAlign w:val="bottom"/>
          </w:tcPr>
          <w:p>
            <w:pPr>
              <w:ind w:left="2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520" w:type="dxa"/>
            <w:vAlign w:val="bottom"/>
            <w:vMerge w:val="continue"/>
          </w:tcPr>
          <w:p>
            <w:pPr>
              <w:spacing w:after="0"/>
              <w:rPr>
                <w:sz w:val="6"/>
                <w:szCs w:val="6"/>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6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restart"/>
          </w:tcPr>
          <w:p>
            <w:pPr>
              <w:ind w:left="1040"/>
              <w:spacing w:after="0"/>
              <w:rPr>
                <w:sz w:val="20"/>
                <w:szCs w:val="20"/>
                <w:color w:val="auto"/>
              </w:rPr>
            </w:pPr>
            <w:r>
              <w:rPr>
                <w:rFonts w:ascii="Arial" w:cs="Arial" w:eastAsia="Arial" w:hAnsi="Arial"/>
                <w:sz w:val="18"/>
                <w:szCs w:val="18"/>
                <w:color w:val="0000FF"/>
              </w:rPr>
              <w:t>EVP</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gridSpan w:val="3"/>
            <w:vMerge w:val="restart"/>
          </w:tcPr>
          <w:p>
            <w:pPr>
              <w:ind w:left="80"/>
              <w:spacing w:after="0"/>
              <w:rPr>
                <w:sz w:val="20"/>
                <w:szCs w:val="20"/>
                <w:color w:val="auto"/>
              </w:rPr>
            </w:pPr>
            <w:r>
              <w:rPr>
                <w:rFonts w:ascii="Arial" w:cs="Arial" w:eastAsia="Arial" w:hAnsi="Arial"/>
                <w:sz w:val="18"/>
                <w:szCs w:val="18"/>
                <w:color w:val="0000FF"/>
              </w:rPr>
              <w:t>02/16/2017</w:t>
            </w:r>
          </w:p>
        </w:tc>
        <w:tc>
          <w:tcPr>
            <w:tcW w:w="2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40" w:type="dxa"/>
            <w:vAlign w:val="bottom"/>
            <w:gridSpan w:val="3"/>
            <w:vMerge w:val="continue"/>
          </w:tcPr>
          <w:p>
            <w:pPr>
              <w:spacing w:after="0"/>
              <w:rPr>
                <w:sz w:val="8"/>
                <w:szCs w:val="8"/>
                <w:color w:val="auto"/>
              </w:rPr>
            </w:pPr>
          </w:p>
        </w:tc>
        <w:tc>
          <w:tcPr>
            <w:tcW w:w="2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02/16/2017</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24,259</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96.014</w:t>
            </w:r>
            <w:r>
              <w:rPr>
                <w:rFonts w:ascii="Arial" w:cs="Arial" w:eastAsia="Arial" w:hAnsi="Arial"/>
                <w:sz w:val="22"/>
                <w:szCs w:val="22"/>
                <w:color w:val="008000"/>
                <w:w w:val="91"/>
                <w:vertAlign w:val="superscript"/>
              </w:rPr>
              <w:t>(1)</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$95.80 to $96.38. Upon request, the reporting person will provide to the SEC staff, the issuer, or any security holder of the issuer, full information regarding the number of shares sold at each separate price within this range.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02/17/2017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9745"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2019-12-23T15:16:41Z</dcterms:created>
  <dcterms:modified xsi:type="dcterms:W3CDTF">2019-12-23T15:16:41Z</dcterms:modified>
</cp:coreProperties>
</file>