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6697345"/>
                    </a:xfrm>
                    <a:prstGeom prst="rect">
                      <a:avLst/>
                    </a:prstGeom>
                    <a:noFill/>
                  </pic:spPr>
                </pic:pic>
              </a:graphicData>
            </a:graphic>
          </wp:anchor>
        </w:drawing>
      </w:r>
    </w:p>
    <w:p>
      <w:pPr>
        <w:spacing w:after="0" w:line="96" w:lineRule="exact"/>
        <w:rPr>
          <w:sz w:val="24"/>
          <w:szCs w:val="24"/>
          <w:color w:val="auto"/>
        </w:rPr>
      </w:pPr>
    </w:p>
    <w:p>
      <w:pPr>
        <w:sectPr>
          <w:pgSz w:w="11900" w:h="16864" w:orient="portrait"/>
          <w:cols w:equalWidth="0" w:num="2">
            <w:col w:w="2360" w:space="380"/>
            <w:col w:w="8880"/>
          </w:cols>
          <w:pgMar w:left="140" w:top="125"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PRISING JONAS</w:t>
        </w:r>
      </w:hyperlink>
    </w:p>
    <w:p>
      <w:pPr>
        <w:spacing w:after="0" w:line="317" w:lineRule="exact"/>
        <w:rPr>
          <w:sz w:val="24"/>
          <w:szCs w:val="24"/>
          <w:color w:val="auto"/>
        </w:rPr>
      </w:pPr>
    </w:p>
    <w:p>
      <w:pPr>
        <w:ind w:left="120"/>
        <w:spacing w:after="0"/>
        <w:tabs>
          <w:tab w:leader="none" w:pos="1400" w:val="left"/>
          <w:tab w:leader="none" w:pos="27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00" w:firstLine="4"/>
        <w:spacing w:after="0" w:line="231" w:lineRule="auto"/>
        <w:tabs>
          <w:tab w:leader="none" w:pos="14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1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200" w:type="dxa"/>
            <w:vAlign w:val="bottom"/>
          </w:tcPr>
          <w:p>
            <w:pPr>
              <w:ind w:left="3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200" w:type="dxa"/>
            <w:vAlign w:val="bottom"/>
          </w:tcPr>
          <w:p>
            <w:pPr>
              <w:ind w:left="36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3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16"/>
        <w:spacing w:after="0"/>
        <w:rPr>
          <w:sz w:val="20"/>
          <w:szCs w:val="20"/>
          <w:color w:val="auto"/>
        </w:rPr>
      </w:pPr>
      <w:r>
        <w:rPr>
          <w:rFonts w:ascii="Arial" w:cs="Arial" w:eastAsia="Arial" w:hAnsi="Arial"/>
          <w:sz w:val="18"/>
          <w:szCs w:val="18"/>
          <w:color w:val="0000FF"/>
        </w:rPr>
        <w:t>President, ManpowerGroup</w:t>
      </w:r>
    </w:p>
    <w:p>
      <w:pPr>
        <w:spacing w:after="0" w:line="406" w:lineRule="exact"/>
        <w:rPr>
          <w:sz w:val="24"/>
          <w:szCs w:val="24"/>
          <w:color w:val="auto"/>
        </w:rPr>
      </w:pPr>
    </w:p>
    <w:p>
      <w:pPr>
        <w:sectPr>
          <w:pgSz w:w="11900" w:h="16864" w:orient="portrait"/>
          <w:cols w:equalWidth="0" w:num="3">
            <w:col w:w="3420" w:space="720"/>
            <w:col w:w="3324" w:space="720"/>
            <w:col w:w="3436"/>
          </w:cols>
          <w:pgMar w:left="140" w:top="125"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jc w:val="right"/>
              <w:ind w:right="153"/>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840" w:type="dxa"/>
            <w:vAlign w:val="bottom"/>
            <w:gridSpan w:val="6"/>
          </w:tcPr>
          <w:p>
            <w:pPr>
              <w:ind w:left="4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3"/>
          </w:tcPr>
          <w:p>
            <w:pPr>
              <w:ind w:left="400"/>
              <w:spacing w:after="0"/>
              <w:rPr>
                <w:sz w:val="20"/>
                <w:szCs w:val="20"/>
                <w:color w:val="auto"/>
              </w:rPr>
            </w:pPr>
            <w:r>
              <w:rPr>
                <w:rFonts w:ascii="Arial" w:cs="Arial" w:eastAsia="Arial" w:hAnsi="Arial"/>
                <w:sz w:val="14"/>
                <w:szCs w:val="14"/>
                <w:color w:val="auto"/>
              </w:rPr>
              <w:t>Line)</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60" w:type="dxa"/>
            <w:vAlign w:val="bottom"/>
            <w:gridSpan w:val="5"/>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gridSpan w:val="3"/>
            <w:vMerge w:val="restart"/>
          </w:tcPr>
          <w:p>
            <w:pPr>
              <w:ind w:left="20"/>
              <w:spacing w:after="0"/>
              <w:rPr>
                <w:sz w:val="20"/>
                <w:szCs w:val="20"/>
                <w:color w:val="auto"/>
              </w:rPr>
            </w:pPr>
            <w:r>
              <w:rPr>
                <w:rFonts w:ascii="Arial" w:cs="Arial" w:eastAsia="Arial" w:hAnsi="Arial"/>
                <w:sz w:val="18"/>
                <w:szCs w:val="18"/>
                <w:color w:val="0000FF"/>
              </w:rPr>
              <w:t>MILWAUKEE   WI</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0000FF"/>
              </w:rPr>
              <w:t>53212</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2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4"/>
                <w:szCs w:val="14"/>
                <w:color w:val="auto"/>
              </w:rPr>
              <w:t>(State)</w:t>
            </w: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(Zip)</w:t>
            </w: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940" w:type="dxa"/>
            <w:vAlign w:val="bottom"/>
            <w:tcBorders>
              <w:bottom w:val="single" w:sz="8" w:color="2C2C2C"/>
            </w:tcBorders>
            <w:gridSpan w:val="5"/>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320" w:type="dxa"/>
            <w:vAlign w:val="bottom"/>
            <w:tcBorders>
              <w:top w:val="single" w:sz="8" w:color="2C2C2C"/>
            </w:tcBorders>
            <w:gridSpan w:val="14"/>
          </w:tcPr>
          <w:p>
            <w:pPr>
              <w:jc w:val="center"/>
              <w:ind w:left="1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2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8"/>
                <w:szCs w:val="18"/>
                <w:color w:val="0000FF"/>
              </w:rPr>
              <w:t>02/14/2013</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1"/>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(1)</w:t>
            </w:r>
          </w:p>
        </w:tc>
        <w:tc>
          <w:tcPr>
            <w:tcW w:w="800" w:type="dxa"/>
            <w:vAlign w:val="bottom"/>
            <w:tcBorders>
              <w:bottom w:val="single" w:sz="8" w:color="2C2C2C"/>
            </w:tcBorders>
          </w:tcPr>
          <w:p>
            <w:pPr>
              <w:jc w:val="right"/>
              <w:ind w:right="33"/>
              <w:spacing w:after="0"/>
              <w:rPr>
                <w:sz w:val="20"/>
                <w:szCs w:val="20"/>
                <w:color w:val="auto"/>
              </w:rPr>
            </w:pPr>
            <w:r>
              <w:rPr>
                <w:rFonts w:ascii="Arial" w:cs="Arial" w:eastAsia="Arial" w:hAnsi="Arial"/>
                <w:sz w:val="18"/>
                <w:szCs w:val="18"/>
                <w:color w:val="0000FF"/>
              </w:rPr>
              <w:t>903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52.25</w:t>
            </w:r>
            <w:r>
              <w:rPr>
                <w:rFonts w:ascii="Arial" w:cs="Arial" w:eastAsia="Arial" w:hAnsi="Arial"/>
                <w:sz w:val="22"/>
                <w:szCs w:val="22"/>
                <w:color w:val="008000"/>
                <w:w w:val="98"/>
                <w:vertAlign w:val="superscript"/>
              </w:rPr>
              <w:t>(2)</w:t>
            </w:r>
          </w:p>
        </w:tc>
        <w:tc>
          <w:tcPr>
            <w:tcW w:w="4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94"/>
              <w:spacing w:after="0"/>
              <w:rPr>
                <w:sz w:val="20"/>
                <w:szCs w:val="20"/>
                <w:color w:val="auto"/>
              </w:rPr>
            </w:pPr>
            <w:r>
              <w:rPr>
                <w:rFonts w:ascii="Arial" w:cs="Arial" w:eastAsia="Arial" w:hAnsi="Arial"/>
                <w:sz w:val="18"/>
                <w:szCs w:val="18"/>
                <w:color w:val="0000FF"/>
                <w:w w:val="88"/>
              </w:rPr>
              <w:t>1,597</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8"/>
                <w:szCs w:val="18"/>
                <w:color w:val="0000FF"/>
              </w:rPr>
              <w:t>02/14/2013</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1"/>
              <w:spacing w:after="0"/>
              <w:rPr>
                <w:sz w:val="20"/>
                <w:szCs w:val="20"/>
                <w:color w:val="auto"/>
              </w:rPr>
            </w:pPr>
            <w:r>
              <w:rPr>
                <w:rFonts w:ascii="Arial" w:cs="Arial" w:eastAsia="Arial" w:hAnsi="Arial"/>
                <w:sz w:val="27"/>
                <w:szCs w:val="27"/>
                <w:color w:val="0000FF"/>
                <w:w w:val="79"/>
                <w:vertAlign w:val="subscript"/>
              </w:rPr>
              <w:t>G</w:t>
            </w:r>
            <w:r>
              <w:rPr>
                <w:rFonts w:ascii="Arial" w:cs="Arial" w:eastAsia="Arial" w:hAnsi="Arial"/>
                <w:sz w:val="11"/>
                <w:szCs w:val="11"/>
                <w:color w:val="008000"/>
                <w:w w:val="79"/>
              </w:rPr>
              <w:t>(3)</w:t>
            </w:r>
          </w:p>
        </w:tc>
        <w:tc>
          <w:tcPr>
            <w:tcW w:w="8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1,597</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jc w:val="center"/>
              <w:ind w:right="3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r>
              <w:rPr>
                <w:rFonts w:ascii="Arial" w:cs="Arial" w:eastAsia="Arial" w:hAnsi="Arial"/>
                <w:sz w:val="22"/>
                <w:szCs w:val="22"/>
                <w:color w:val="008000"/>
                <w:vertAlign w:val="superscript"/>
              </w:rPr>
              <w:t>(3)</w:t>
            </w:r>
          </w:p>
        </w:tc>
        <w:tc>
          <w:tcPr>
            <w:tcW w:w="4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94"/>
              <w:spacing w:after="0"/>
              <w:rPr>
                <w:sz w:val="20"/>
                <w:szCs w:val="20"/>
                <w:color w:val="auto"/>
              </w:rPr>
            </w:pPr>
            <w:r>
              <w:rPr>
                <w:rFonts w:ascii="Arial" w:cs="Arial" w:eastAsia="Arial" w:hAnsi="Arial"/>
                <w:sz w:val="18"/>
                <w:szCs w:val="18"/>
                <w:color w:val="0000FF"/>
                <w:w w:val="79"/>
              </w:rPr>
              <w:t>0</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gridSpan w:val="3"/>
          </w:tcPr>
          <w:p>
            <w:pPr>
              <w:jc w:val="center"/>
              <w:ind w:left="113"/>
              <w:spacing w:after="0"/>
              <w:rPr>
                <w:sz w:val="20"/>
                <w:szCs w:val="20"/>
                <w:color w:val="auto"/>
              </w:rPr>
            </w:pPr>
            <w:r>
              <w:rPr>
                <w:rFonts w:ascii="Arial" w:cs="Arial" w:eastAsia="Arial" w:hAnsi="Arial"/>
                <w:sz w:val="18"/>
                <w:szCs w:val="18"/>
                <w:color w:val="0000FF"/>
                <w:w w:val="87"/>
              </w:rPr>
              <w:t>32,235</w:t>
            </w:r>
          </w:p>
        </w:tc>
        <w:tc>
          <w:tcPr>
            <w:tcW w:w="940" w:type="dxa"/>
            <w:vAlign w:val="bottom"/>
          </w:tcPr>
          <w:p>
            <w:pPr>
              <w:jc w:val="center"/>
              <w:ind w:right="12"/>
              <w:spacing w:after="0"/>
              <w:rPr>
                <w:sz w:val="20"/>
                <w:szCs w:val="20"/>
                <w:color w:val="auto"/>
              </w:rPr>
            </w:pPr>
            <w:r>
              <w:rPr>
                <w:rFonts w:ascii="Arial" w:cs="Arial" w:eastAsia="Arial" w:hAnsi="Arial"/>
                <w:sz w:val="18"/>
                <w:szCs w:val="18"/>
                <w:color w:val="0000FF"/>
              </w:rPr>
              <w:t>I</w:t>
            </w:r>
          </w:p>
        </w:tc>
        <w:tc>
          <w:tcPr>
            <w:tcW w:w="820" w:type="dxa"/>
            <w:vAlign w:val="bottom"/>
          </w:tcPr>
          <w:p>
            <w:pPr>
              <w:ind w:left="6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94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2"/>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20" w:type="dxa"/>
            <w:vAlign w:val="bottom"/>
            <w:gridSpan w:val="10"/>
          </w:tcPr>
          <w:p>
            <w:pPr>
              <w:jc w:val="center"/>
              <w:ind w:left="5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80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52.55</w:t>
            </w:r>
            <w:r>
              <w:rPr>
                <w:rFonts w:ascii="Arial" w:cs="Arial" w:eastAsia="Arial" w:hAnsi="Arial"/>
                <w:sz w:val="22"/>
                <w:szCs w:val="22"/>
                <w:color w:val="008000"/>
                <w:w w:val="87"/>
                <w:vertAlign w:val="superscript"/>
              </w:rPr>
              <w:t>(5)</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0000FF"/>
                <w:w w:val="85"/>
              </w:rPr>
              <w:t>02/13/2013</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jc w:val="center"/>
              <w:ind w:left="38"/>
              <w:spacing w:after="0"/>
              <w:rPr>
                <w:sz w:val="20"/>
                <w:szCs w:val="20"/>
                <w:color w:val="auto"/>
              </w:rPr>
            </w:pPr>
            <w:r>
              <w:rPr>
                <w:rFonts w:ascii="Arial" w:cs="Arial" w:eastAsia="Arial" w:hAnsi="Arial"/>
                <w:sz w:val="14"/>
                <w:szCs w:val="14"/>
                <w:color w:val="0000FF"/>
                <w:w w:val="88"/>
              </w:rPr>
              <w:t>24,883</w:t>
            </w:r>
          </w:p>
        </w:tc>
        <w:tc>
          <w:tcPr>
            <w:tcW w:w="36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02/13/2023</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87"/>
              </w:rPr>
              <w:t>24,883</w:t>
            </w:r>
          </w:p>
        </w:tc>
        <w:tc>
          <w:tcPr>
            <w:tcW w:w="640" w:type="dxa"/>
            <w:vAlign w:val="bottom"/>
            <w:gridSpan w:val="2"/>
            <w:vMerge w:val="restart"/>
          </w:tcPr>
          <w:p>
            <w:pPr>
              <w:jc w:val="center"/>
              <w:ind w:left="33"/>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60" w:type="dxa"/>
            <w:vAlign w:val="bottom"/>
            <w:vMerge w:val="restart"/>
          </w:tcPr>
          <w:p>
            <w:pPr>
              <w:jc w:val="center"/>
              <w:ind w:left="214"/>
              <w:spacing w:after="0"/>
              <w:rPr>
                <w:sz w:val="20"/>
                <w:szCs w:val="20"/>
                <w:color w:val="auto"/>
              </w:rPr>
            </w:pPr>
            <w:r>
              <w:rPr>
                <w:rFonts w:ascii="Arial" w:cs="Arial" w:eastAsia="Arial" w:hAnsi="Arial"/>
                <w:sz w:val="14"/>
                <w:szCs w:val="14"/>
                <w:color w:val="0000FF"/>
                <w:w w:val="88"/>
              </w:rPr>
              <w:t>24,883</w:t>
            </w:r>
          </w:p>
        </w:tc>
        <w:tc>
          <w:tcPr>
            <w:tcW w:w="94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4"/>
                <w:szCs w:val="14"/>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tcPr>
          <w:p>
            <w:pPr>
              <w:jc w:val="right"/>
              <w:ind w:right="153"/>
              <w:spacing w:after="0" w:line="146" w:lineRule="exact"/>
              <w:rPr>
                <w:sz w:val="20"/>
                <w:szCs w:val="20"/>
                <w:color w:val="auto"/>
              </w:rPr>
            </w:pPr>
            <w:r>
              <w:rPr>
                <w:rFonts w:ascii="Arial" w:cs="Arial" w:eastAsia="Arial" w:hAnsi="Arial"/>
                <w:sz w:val="14"/>
                <w:szCs w:val="14"/>
                <w:color w:val="0000FF"/>
              </w:rPr>
              <w:t>Stock</w:t>
            </w:r>
          </w:p>
        </w:tc>
        <w:tc>
          <w:tcPr>
            <w:tcW w:w="58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gridSpan w:val="2"/>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(4)</w:t>
            </w:r>
          </w:p>
        </w:tc>
        <w:tc>
          <w:tcPr>
            <w:tcW w:w="80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0.00</w:t>
            </w:r>
            <w:r>
              <w:rPr>
                <w:rFonts w:ascii="Arial" w:cs="Arial" w:eastAsia="Arial" w:hAnsi="Arial"/>
                <w:sz w:val="22"/>
                <w:szCs w:val="22"/>
                <w:color w:val="008000"/>
                <w:w w:val="84"/>
                <w:vertAlign w:val="superscript"/>
              </w:rPr>
              <w:t>(7)</w:t>
            </w: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88"/>
              </w:rPr>
              <w:t>5,709</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00" w:type="dxa"/>
            <w:vAlign w:val="bottom"/>
            <w:vMerge w:val="continue"/>
          </w:tcPr>
          <w:p>
            <w:pPr>
              <w:spacing w:after="0"/>
              <w:rPr>
                <w:sz w:val="7"/>
                <w:szCs w:val="7"/>
                <w:color w:val="auto"/>
              </w:rPr>
            </w:pPr>
          </w:p>
        </w:tc>
        <w:tc>
          <w:tcPr>
            <w:tcW w:w="110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5"/>
              </w:rPr>
              <w:t>02/13/2013</w:t>
            </w: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restart"/>
          </w:tcPr>
          <w:p>
            <w:pPr>
              <w:ind w:left="2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center"/>
              <w:ind w:left="38"/>
              <w:spacing w:after="0" w:line="146" w:lineRule="exact"/>
              <w:rPr>
                <w:sz w:val="20"/>
                <w:szCs w:val="20"/>
                <w:color w:val="auto"/>
              </w:rPr>
            </w:pPr>
            <w:r>
              <w:rPr>
                <w:rFonts w:ascii="Arial" w:cs="Arial" w:eastAsia="Arial" w:hAnsi="Arial"/>
                <w:sz w:val="14"/>
                <w:szCs w:val="14"/>
                <w:color w:val="0000FF"/>
                <w:w w:val="85"/>
              </w:rPr>
              <w:t>5,709</w:t>
            </w:r>
          </w:p>
        </w:tc>
        <w:tc>
          <w:tcPr>
            <w:tcW w:w="360" w:type="dxa"/>
            <w:vAlign w:val="bottom"/>
          </w:tcPr>
          <w:p>
            <w:pPr>
              <w:spacing w:after="0"/>
              <w:rPr>
                <w:sz w:val="7"/>
                <w:szCs w:val="7"/>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(7)</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gridSpan w:val="2"/>
            <w:vMerge w:val="restart"/>
          </w:tcPr>
          <w:p>
            <w:pPr>
              <w:jc w:val="center"/>
              <w:ind w:left="33"/>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60" w:type="dxa"/>
            <w:vAlign w:val="bottom"/>
            <w:vMerge w:val="restart"/>
          </w:tcPr>
          <w:p>
            <w:pPr>
              <w:jc w:val="center"/>
              <w:ind w:left="214"/>
              <w:spacing w:after="0" w:line="146" w:lineRule="exact"/>
              <w:rPr>
                <w:sz w:val="20"/>
                <w:szCs w:val="20"/>
                <w:color w:val="auto"/>
              </w:rPr>
            </w:pPr>
            <w:r>
              <w:rPr>
                <w:rFonts w:ascii="Arial" w:cs="Arial" w:eastAsia="Arial" w:hAnsi="Arial"/>
                <w:sz w:val="14"/>
                <w:szCs w:val="14"/>
                <w:color w:val="0000FF"/>
                <w:w w:val="85"/>
              </w:rPr>
              <w:t>5,709</w:t>
            </w:r>
          </w:p>
        </w:tc>
        <w:tc>
          <w:tcPr>
            <w:tcW w:w="940" w:type="dxa"/>
            <w:vAlign w:val="bottom"/>
            <w:vMerge w:val="restart"/>
          </w:tcPr>
          <w:p>
            <w:pPr>
              <w:ind w:left="540"/>
              <w:spacing w:after="0" w:line="146" w:lineRule="exact"/>
              <w:rPr>
                <w:sz w:val="20"/>
                <w:szCs w:val="20"/>
                <w:color w:val="auto"/>
              </w:rPr>
            </w:pPr>
            <w:r>
              <w:rPr>
                <w:rFonts w:ascii="Arial" w:cs="Arial" w:eastAsia="Arial" w:hAnsi="Arial"/>
                <w:sz w:val="14"/>
                <w:szCs w:val="14"/>
                <w:color w:val="0000FF"/>
              </w:rPr>
              <w:t>D</w:t>
            </w: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4"/>
                <w:szCs w:val="14"/>
                <w:color w:val="0000FF"/>
              </w:rPr>
              <w:t>Stock</w:t>
            </w: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(7)</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0.00</w:t>
            </w:r>
            <w:r>
              <w:rPr>
                <w:rFonts w:ascii="Arial" w:cs="Arial" w:eastAsia="Arial" w:hAnsi="Arial"/>
                <w:sz w:val="22"/>
                <w:szCs w:val="22"/>
                <w:color w:val="008000"/>
                <w:w w:val="84"/>
                <w:vertAlign w:val="superscript"/>
              </w:rPr>
              <w:t>(8)</w:t>
            </w: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87"/>
              </w:rPr>
              <w:t>28,545</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4"/>
                <w:szCs w:val="14"/>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4"/>
                <w:szCs w:val="14"/>
                <w:color w:val="0000FF"/>
                <w:w w:val="85"/>
              </w:rPr>
              <w:t>02/13/2013</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20"/>
              <w:spacing w:after="0" w:line="146" w:lineRule="exact"/>
              <w:rPr>
                <w:sz w:val="20"/>
                <w:szCs w:val="20"/>
                <w:color w:val="auto"/>
              </w:rPr>
            </w:pPr>
            <w:r>
              <w:rPr>
                <w:rFonts w:ascii="Arial" w:cs="Arial" w:eastAsia="Arial" w:hAnsi="Arial"/>
                <w:sz w:val="14"/>
                <w:szCs w:val="14"/>
                <w:color w:val="0000FF"/>
              </w:rPr>
              <w:t>A</w:t>
            </w:r>
          </w:p>
        </w:tc>
        <w:tc>
          <w:tcPr>
            <w:tcW w:w="600" w:type="dxa"/>
            <w:vAlign w:val="bottom"/>
          </w:tcPr>
          <w:p>
            <w:pPr>
              <w:jc w:val="center"/>
              <w:ind w:left="38"/>
              <w:spacing w:after="0" w:line="146" w:lineRule="exact"/>
              <w:rPr>
                <w:sz w:val="20"/>
                <w:szCs w:val="20"/>
                <w:color w:val="auto"/>
              </w:rPr>
            </w:pPr>
            <w:r>
              <w:rPr>
                <w:rFonts w:ascii="Arial" w:cs="Arial" w:eastAsia="Arial" w:hAnsi="Arial"/>
                <w:sz w:val="14"/>
                <w:szCs w:val="14"/>
                <w:color w:val="0000FF"/>
                <w:w w:val="88"/>
              </w:rPr>
              <w:t>28,545</w:t>
            </w:r>
          </w:p>
        </w:tc>
        <w:tc>
          <w:tcPr>
            <w:tcW w:w="36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color w:val="008000"/>
              </w:rPr>
              <w:t>(8)</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6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jc w:val="center"/>
              <w:ind w:left="33"/>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60" w:type="dxa"/>
            <w:vAlign w:val="bottom"/>
          </w:tcPr>
          <w:p>
            <w:pPr>
              <w:jc w:val="center"/>
              <w:ind w:left="214"/>
              <w:spacing w:after="0" w:line="146" w:lineRule="exact"/>
              <w:rPr>
                <w:sz w:val="20"/>
                <w:szCs w:val="20"/>
                <w:color w:val="auto"/>
              </w:rPr>
            </w:pPr>
            <w:r>
              <w:rPr>
                <w:rFonts w:ascii="Arial" w:cs="Arial" w:eastAsia="Arial" w:hAnsi="Arial"/>
                <w:sz w:val="14"/>
                <w:szCs w:val="14"/>
                <w:color w:val="0000FF"/>
                <w:w w:val="88"/>
              </w:rPr>
              <w:t>28,545</w:t>
            </w:r>
          </w:p>
        </w:tc>
        <w:tc>
          <w:tcPr>
            <w:tcW w:w="940" w:type="dxa"/>
            <w:vAlign w:val="bottom"/>
          </w:tcPr>
          <w:p>
            <w:pPr>
              <w:ind w:left="540"/>
              <w:spacing w:after="0" w:line="146" w:lineRule="exact"/>
              <w:rPr>
                <w:sz w:val="20"/>
                <w:szCs w:val="20"/>
                <w:color w:val="auto"/>
              </w:rPr>
            </w:pPr>
            <w:r>
              <w:rPr>
                <w:rFonts w:ascii="Arial" w:cs="Arial" w:eastAsia="Arial" w:hAnsi="Arial"/>
                <w:sz w:val="14"/>
                <w:szCs w:val="14"/>
                <w:color w:val="0000FF"/>
              </w:rPr>
              <w:t>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(8)</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color w:val="0000FF"/>
              </w:rPr>
              <w:t>Stock</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9"/>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withheld by Issuer to satisfy tax withholding obligations on restricted stock that vested on February 14, 2013.</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opening stock price on the New York Stock Exchange on February 14, 2013.</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Gift of shares to revocable trust.</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 Grant under the 2011 Equity Incentive Plan of the Company.</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closing price on the New York Stock Exchange on February 13, 2013, the date of grant.</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Options will become exercisable as to 25% of the shares covered by the option on each of the first four anniversaries on the date of grant.</w:t>
      </w:r>
    </w:p>
    <w:p>
      <w:pPr>
        <w:spacing w:after="0" w:line="41" w:lineRule="exact"/>
        <w:rPr>
          <w:rFonts w:ascii="Arial" w:cs="Arial" w:eastAsia="Arial" w:hAnsi="Arial"/>
          <w:sz w:val="14"/>
          <w:szCs w:val="14"/>
          <w:color w:val="008000"/>
        </w:rPr>
      </w:pPr>
    </w:p>
    <w:p>
      <w:pPr>
        <w:ind w:left="40" w:right="240" w:firstLine="1"/>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under the 2011 Equity Incentive Plan of the Company. The restricted stock units will vest 100% on February 13, 2016 and will be settled in shares of ManpowerGroup common stock on a 1 for 1 basis upon vesting.</w:t>
      </w:r>
    </w:p>
    <w:p>
      <w:pPr>
        <w:spacing w:after="0" w:line="30" w:lineRule="exact"/>
        <w:rPr>
          <w:rFonts w:ascii="Arial" w:cs="Arial" w:eastAsia="Arial" w:hAnsi="Arial"/>
          <w:sz w:val="14"/>
          <w:szCs w:val="14"/>
          <w:color w:val="008000"/>
        </w:rPr>
      </w:pPr>
    </w:p>
    <w:p>
      <w:pPr>
        <w:ind w:left="40" w:right="160" w:firstLine="1"/>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under the 2011 Equity Incentive Plan. The restricted stock units will vest 100% on February 13, 2018 and will be settled in shares of ManpowerGroup common stock on a 1 for 1 basis upon vesting.</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98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02/15/2013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91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4"/>
          <w:szCs w:val="24"/>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780" w:firstLine="1"/>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64" w:orient="portrait"/>
          <w:cols w:equalWidth="0" w:num="1">
            <w:col w:w="11620"/>
          </w:cols>
          <w:pgMar w:left="140" w:top="1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00"/>
          </w:cols>
          <w:pgMar w:left="180" w:top="124"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Richard Buchband, signing singly, his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13th day of February, 2013.</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u w:val="single" w:color="auto"/>
          <w:color w:val="auto"/>
        </w:rPr>
        <w:t>/s/ Jonas Prising</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Jonas Prising</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879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2019-12-18T03:31:33Z</dcterms:created>
  <dcterms:modified xsi:type="dcterms:W3CDTF">2019-12-18T03:31:33Z</dcterms:modified>
</cp:coreProperties>
</file>