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w:t>
      </w:r>
    </w:p>
    <w:p>
      <w:pPr>
        <w:spacing w:after="0" w:line="27"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June 30, 2016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______to______</w:t>
      </w:r>
    </w:p>
    <w:p>
      <w:pPr>
        <w:spacing w:after="0" w:line="211" w:lineRule="exact"/>
        <w:rPr>
          <w:rFonts w:ascii="MS PGothic" w:cs="MS PGothic" w:eastAsia="MS PGothic" w:hAnsi="MS PGothic"/>
          <w:sz w:val="18"/>
          <w:szCs w:val="18"/>
          <w:color w:val="auto"/>
        </w:rPr>
      </w:pPr>
    </w:p>
    <w:p>
      <w:pPr>
        <w:ind w:left="4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1-10686</w:t>
      </w:r>
    </w:p>
    <w:p>
      <w:pPr>
        <w:spacing w:after="0" w:line="21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MANPOWERGROUP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36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39-1672779</w:t>
      </w:r>
    </w:p>
    <w:p>
      <w:pPr>
        <w:spacing w:after="0" w:line="67"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100 Manpower Place</w:t>
      </w:r>
    </w:p>
    <w:p>
      <w:pPr>
        <w:sectPr>
          <w:pgSz w:w="11900" w:h="16838" w:orient="portrait"/>
          <w:cols w:equalWidth="0" w:num="1">
            <w:col w:w="11420"/>
          </w:cols>
          <w:pgMar w:left="240" w:top="733" w:right="239" w:bottom="1440" w:gutter="0" w:footer="0" w:header="0"/>
          <w:type w:val="continuous"/>
        </w:sectPr>
      </w:pPr>
    </w:p>
    <w:p>
      <w:pPr>
        <w:spacing w:after="0" w:line="75"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7"/>
          <w:szCs w:val="17"/>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53212</w:t>
      </w:r>
    </w:p>
    <w:p>
      <w:pPr>
        <w:spacing w:after="0" w:line="67"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733"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961-1000</w:t>
      </w:r>
    </w:p>
    <w:p>
      <w:pPr>
        <w:spacing w:after="0" w:line="229"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95" w:lineRule="exact"/>
        <w:rPr>
          <w:sz w:val="24"/>
          <w:szCs w:val="24"/>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x No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733" w:right="239" w:bottom="1440" w:gutter="0" w:footer="0" w:header="0"/>
          <w:type w:val="continuous"/>
        </w:sectPr>
      </w:pP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5020" w:space="720"/>
            <w:col w:w="1220" w:space="80"/>
            <w:col w:w="4380"/>
          </w:cols>
          <w:pgMar w:left="240" w:top="733"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80"/>
            <w:col w:w="3380" w:space="720"/>
            <w:col w:w="1980" w:space="80"/>
            <w:col w:w="3620"/>
          </w:cols>
          <w:pgMar w:left="240" w:top="7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420"/>
          </w:cols>
          <w:pgMar w:left="240" w:top="733" w:right="239" w:bottom="1440" w:gutter="0" w:footer="0" w:header="0"/>
          <w:type w:val="continuous"/>
        </w:sectPr>
      </w:pP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70"/>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July 27, 2016</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68,531,642</w:t>
            </w:r>
          </w:p>
        </w:tc>
      </w:tr>
    </w:tbl>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8200" w:type="dxa"/>
            <w:vAlign w:val="bottom"/>
            <w:gridSpan w:val="2"/>
            <w:shd w:val="clear" w:color="auto" w:fill="CCEEFF"/>
          </w:tcPr>
          <w:p>
            <w:pPr>
              <w:spacing w:after="0" w:line="196" w:lineRule="exact"/>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Operations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Consolidated Statements of Cash Flows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r>
              <w:rPr>
                <w:rFonts w:ascii="Times New Roman" w:cs="Times New Roman" w:eastAsia="Times New Roman" w:hAnsi="Times New Roman"/>
                <w:sz w:val="18"/>
                <w:szCs w:val="18"/>
                <w:color w:val="auto"/>
              </w:rPr>
              <w:t>16</w:t>
            </w: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Item 2</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Management’s Discussion and Analysis of Financial Condition and Results of Operations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17</w:t>
              </w:r>
            </w:hyperlink>
            <w:r>
              <w:rPr>
                <w:rFonts w:ascii="Times New Roman" w:cs="Times New Roman" w:eastAsia="Times New Roman" w:hAnsi="Times New Roman"/>
                <w:sz w:val="18"/>
                <w:szCs w:val="18"/>
                <w:color w:val="auto"/>
              </w:rPr>
              <w:t>-30</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4</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Controls and Procedures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ind w:left="40"/>
              <w:spacing w:after="0"/>
              <w:rPr>
                <w:rFonts w:ascii="Times New Roman" w:cs="Times New Roman" w:eastAsia="Times New Roman" w:hAnsi="Times New Roman"/>
                <w:sz w:val="18"/>
                <w:szCs w:val="18"/>
                <w:b w:val="1"/>
                <w:bCs w:val="1"/>
                <w:color w:val="auto"/>
              </w:rPr>
            </w:pPr>
            <w:hyperlink w:anchor="page31">
              <w:r>
                <w:rPr>
                  <w:rFonts w:ascii="Times New Roman" w:cs="Times New Roman" w:eastAsia="Times New Roman" w:hAnsi="Times New Roman"/>
                  <w:sz w:val="18"/>
                  <w:szCs w:val="18"/>
                  <w:b w:val="1"/>
                  <w:bCs w:val="1"/>
                  <w:color w:val="auto"/>
                </w:rPr>
                <w:t>PART II</w:t>
              </w:r>
            </w:hyperlink>
          </w:p>
        </w:tc>
        <w:tc>
          <w:tcPr>
            <w:tcW w:w="7060" w:type="dxa"/>
            <w:vAlign w:val="bottom"/>
          </w:tcPr>
          <w:p>
            <w:pPr>
              <w:ind w:left="380"/>
              <w:spacing w:after="0"/>
              <w:rPr>
                <w:rFonts w:ascii="Times New Roman" w:cs="Times New Roman" w:eastAsia="Times New Roman" w:hAnsi="Times New Roman"/>
                <w:sz w:val="18"/>
                <w:szCs w:val="18"/>
                <w:b w:val="1"/>
                <w:bCs w:val="1"/>
                <w:color w:val="auto"/>
              </w:rPr>
            </w:pPr>
            <w:hyperlink w:anchor="page31">
              <w:r>
                <w:rPr>
                  <w:rFonts w:ascii="Times New Roman" w:cs="Times New Roman" w:eastAsia="Times New Roman" w:hAnsi="Times New Roman"/>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 2</w:t>
              </w:r>
            </w:hyperlink>
          </w:p>
        </w:tc>
        <w:tc>
          <w:tcPr>
            <w:tcW w:w="70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1820" w:type="dxa"/>
            <w:vAlign w:val="bottom"/>
          </w:tcPr>
          <w:p>
            <w:pPr>
              <w:ind w:left="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 5</w:t>
              </w:r>
            </w:hyperlink>
          </w:p>
        </w:tc>
        <w:tc>
          <w:tcPr>
            <w:tcW w:w="7060" w:type="dxa"/>
            <w:vAlign w:val="bottom"/>
          </w:tcPr>
          <w:p>
            <w:pPr>
              <w:ind w:left="38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Other Information</w:t>
              </w:r>
            </w:hyperlink>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6</w:t>
              </w:r>
            </w:hyperlink>
          </w:p>
        </w:tc>
        <w:tc>
          <w:tcPr>
            <w:tcW w:w="70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3">
              <w:r>
                <w:rPr>
                  <w:rFonts w:ascii="Times New Roman" w:cs="Times New Roman" w:eastAsia="Times New Roman" w:hAnsi="Times New Roman"/>
                  <w:sz w:val="18"/>
                  <w:szCs w:val="18"/>
                  <w:b w:val="1"/>
                  <w:bCs w:val="1"/>
                  <w:color w:val="auto"/>
                </w:rPr>
                <w:t>SIGNATURES</w:t>
              </w:r>
            </w:hyperlink>
          </w:p>
        </w:tc>
        <w:tc>
          <w:tcPr>
            <w:tcW w:w="70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820" w:type="dxa"/>
            <w:vAlign w:val="bottom"/>
            <w:shd w:val="clear" w:color="auto" w:fill="CCEEFF"/>
          </w:tcPr>
          <w:p>
            <w:pPr>
              <w:ind w:left="40"/>
              <w:spacing w:after="0"/>
              <w:rPr>
                <w:rFonts w:ascii="Times New Roman" w:cs="Times New Roman" w:eastAsia="Times New Roman" w:hAnsi="Times New Roman"/>
                <w:sz w:val="18"/>
                <w:szCs w:val="18"/>
                <w:b w:val="1"/>
                <w:bCs w:val="1"/>
                <w:color w:val="auto"/>
              </w:rPr>
            </w:pPr>
            <w:hyperlink w:anchor="page34">
              <w:r>
                <w:rPr>
                  <w:rFonts w:ascii="Times New Roman" w:cs="Times New Roman" w:eastAsia="Times New Roman" w:hAnsi="Times New Roman"/>
                  <w:sz w:val="18"/>
                  <w:szCs w:val="18"/>
                  <w:b w:val="1"/>
                  <w:bCs w:val="1"/>
                  <w:color w:val="auto"/>
                </w:rPr>
                <w:t>EXHIBIT INDEX</w:t>
              </w:r>
            </w:hyperlink>
          </w:p>
        </w:tc>
        <w:tc>
          <w:tcPr>
            <w:tcW w:w="706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18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730.5</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$100.7 and $98.1,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4,243.0</w:t>
            </w: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5,092.5</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less accumulated amortization of $285.3 and $266.6,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w:t>
            </w: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694.0</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2,277.9</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w:t>
            </w:r>
          </w:p>
        </w:tc>
      </w:tr>
      <w:tr>
        <w:trPr>
          <w:trHeight w:val="237"/>
        </w:trPr>
        <w:tc>
          <w:tcPr>
            <w:tcW w:w="8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8"/>
        </w:trPr>
        <w:tc>
          <w:tcPr>
            <w:tcW w:w="82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8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1,659.2</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211.4</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483.7</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613.8</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r>
      <w:tr>
        <w:trPr>
          <w:trHeight w:val="237"/>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3,575.4</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3,451.0</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563.1</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1,374.0</w:t>
            </w:r>
          </w:p>
        </w:tc>
      </w:tr>
      <w:tr>
        <w:trPr>
          <w:trHeight w:val="297"/>
        </w:trPr>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ManpowerGroup shareholders'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114,747,700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114,504,928 shares, respectively</w:t>
            </w: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3,204.4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3,186.7</w:t>
            </w:r>
          </w:p>
        </w:tc>
      </w:tr>
      <w:tr>
        <w:trPr>
          <w:trHeight w:val="243"/>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1,966.0</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43"/>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45,320,219 and 41,466,590 shares, respectively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(2,243.2)</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ManpowerGroup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2,443.6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2,624.7</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2,514.8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2,692.5</w:t>
            </w:r>
          </w:p>
        </w:tc>
      </w:tr>
      <w:tr>
        <w:trPr>
          <w:trHeight w:val="257"/>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7,506.0</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7,517.5</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0" w:right="2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9,403.5</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7,810.9</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1,592.6</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1,291.1</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301.5</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5"/>
        </w:trPr>
        <w:tc>
          <w:tcPr>
            <w:tcW w:w="6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Translation adjustments on net investment hedge, net of income taxes of $6.4,</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6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$(5.1), $(5.6) and $11.8, 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r>
        <w:trPr>
          <w:trHeight w:val="225"/>
        </w:trPr>
        <w:tc>
          <w:tcPr>
            <w:tcW w:w="6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Unrealized gain (loss) on investments, net of income taxes of $0.2, $(0.7), $0.1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6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$(0.3), 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Defined benefit pension plans and retiree health care plan, net of income taxes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6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$0.0, $0.3, $(0.3) and $0.5,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792" w:right="2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9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3"/>
                <w:szCs w:val="23"/>
                <w:color w:val="auto"/>
              </w:rPr>
            </w:pPr>
          </w:p>
        </w:tc>
      </w:tr>
      <w:tr>
        <w:trPr>
          <w:trHeight w:val="27"/>
        </w:trPr>
        <w:tc>
          <w:tcPr>
            <w:tcW w:w="9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tax benefit on exercise of share-based awards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3"/>
        </w:trPr>
        <w:tc>
          <w:tcPr>
            <w:tcW w:w="9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135.4</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sale of investments,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of contingent consideration for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share-based awards and other equity transactions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7"/>
        </w:trPr>
        <w:tc>
          <w:tcPr>
            <w:tcW w:w="9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91"/>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699.2</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465.9</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4"/>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9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51"/>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792" w:right="259" w:bottom="1022"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2016 and 2015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2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2015 Annual Report to Shareholders.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results of operations for the periods presented. Such adjustments were of a normal recurring nature, unless otherwise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Payroll Tax Credit</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entered into an agreement in March 2016 to sell a portion of our French payroll tax credits earned in 2015 for net proceeds of $143.1 (€129.9). We derecognized these receivables upon the sale date as the terms of the agreement are such that the transaction qualifies for sale treatment according to the accounting guidance on the transfer and servicing of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events and transactions occurring after the balance sheet date through our filing date and have accrued or disclosed, if appropriate.</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new accounting guidance on revenue from contracts with customers. The core principle of this guidance is that an entity should recognize revenue to depict the transfer of promised goods or services to customers in an amount that reflects the consideration to which the entity expects to be entitled in exchange for those goods or services. As amended, the new guidance is effective for us in 2018 and can be adopted either retrospectively to each prior reporting period presented or as a cumulative-effect adjustment as of the date of adoption, with early adoption permitted, but not before 2017. We are currently assessing the impact of the adoption of this guidance on our Consolidated Financial Statements.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2015, the FASB issued new accounting guidance on business combinations. The new guidance eliminates the requirement to restate prior period financial statements for measurement period adjustments following a business combination. It requires that the cumulative impact of a measurement period adjustment (including the impact on prior periods) be recognized in the reporting period in which the adjustment is identified. The prior period impact of the adjustment should be either presented separately on the face of the income statement or disclosed in the notes. We adopted this guidance effective January 1, 2016. There was no impact of this adoption on our Consolidated Financial Statements.</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January 2016, the FASB issued new accounting guidance on financial instruments. The new guidance changes the accounting for equity investments, financial liability under the fair value option and the presentation and disclosure requirements for financial instruments. The guidance is effective for us in 2018. We are currently assessing the impact of the adoption of this guidance on our Consolidated Financial Statements.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new accounting guidance on leases. The new guidance requires that a lessee recognize on the balance sheet assets and liabilities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new guidance is effective for us in 2019. We are currently assessing the impact of the adoption of this guidance on our Consolidated Financial Statements.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2016, the FASB issued new accounting guidance on equity method investments. The new guidance eliminates the requirement to retroactively adopt the equity method of accounting when an investment qualifies for use of the equity method as a result of an increase in the level of ownership or degree of influence. The new guidance is effective for us in 2017. We do not expect the adoption of this guidance to have a material impact on our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0" w:right="259" w:bottom="1440" w:gutter="0" w:footer="0" w:header="0"/>
        </w:sectPr>
      </w:pPr>
    </w:p>
    <w:bookmarkStart w:id="7" w:name="page8"/>
    <w:bookmarkEnd w:id="7"/>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March 2016, the FASB issued new accounting guidance on employee share-based payment accounting. The new guidance is intended to simplify various aspects of the accounting for employee share-based payments, including the income tax consequences, classification of awards as either equity or liabilities, and classification on the statement of cash flows. The new guidance is effective for us in 2017. We are currently assessing the impact of the adoption of this guidance on our Consolidated Financial Statements.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2016, the FASB issued new accounting guidance on financial instruments. The new guidance requires an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a loss has been incurred. The new guidance is effective for us in 2020. We do not expect the adoption of this guidance to have a material impact on our Consolidated Financial Statements.</w:t>
      </w:r>
    </w:p>
    <w:p>
      <w:pPr>
        <w:spacing w:after="0" w:line="400"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Share-Based Compensation Plans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2016 and 2015, we recognized share-based compensation expense of $7.7 and $8.1, respectively, and $14.9 and $14.8 for the six months ended June 30, 2016 and 2015, respectively. The expense relates to stock options, deferred stock, restricted stock and performance share units. Consideration received from share-based awards was $3.6 and $29.1 for the six months ended June 30, 2016 and 2015, respectively. We recognize share-based compensation expense in selling and administrative expenses on a straight-line basis over the service period of each award.</w:t>
      </w:r>
    </w:p>
    <w:p>
      <w:pPr>
        <w:spacing w:after="0" w:line="396"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$41.2 for the six months ended June 30, 2016, the majority of which took place in the Netherlands in the second quarter. The total cash consideration for acquisitions, net of cash acquired, was $30.4 for the six months ended June 30, 2015.</w:t>
      </w:r>
    </w:p>
    <w:p>
      <w:pPr>
        <w:spacing w:after="0" w:line="392"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2016, we made payments of $6.6 out of our restructuring reserve that was created in 2013 and 2015. We expect a majority of the remaining $9.8 reserve will be paid by the end of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3"/>
                <w:szCs w:val="2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$2.9 and $1.6 as of January 1, 2016 and June 30, 2016, respectively.</w:t>
      </w:r>
    </w:p>
    <w:p>
      <w:pPr>
        <w:spacing w:after="0" w:line="27" w:lineRule="exact"/>
        <w:rPr>
          <w:rFonts w:ascii="Times New Roman" w:cs="Times New Roman" w:eastAsia="Times New Roman" w:hAnsi="Times New Roman"/>
          <w:sz w:val="18"/>
          <w:szCs w:val="18"/>
          <w:color w:val="auto"/>
        </w:rPr>
      </w:pPr>
    </w:p>
    <w:p>
      <w:pPr>
        <w:ind w:right="340" w:firstLine="8"/>
        <w:spacing w:after="0" w:line="26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$1.5 and $1.6 as of January 1, 2016 and June 30, 2016, respectively. Italy had no restructuring reserves recorded as of either January 1, 2016 or June 30,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37.8% for the three months ended June 30, 2016, as compared to an effective rate of 38.3% for the three months ended June 30, 2015. The 2016 rate was favorably impacted by the United States Work Opportunity Tax Credit ("WOTC"), which was enacted in December of 2015 and extends through 2019. The 37.8% effective tax rate in the quarter was higher than the United States Federal statutory rate of 35%, and we currently expect an annual effective tax rate of approximately 37% to 38%, due primarily to the French business tax, expected repatriations, valuation allowances and other permanent items.</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recorded income tax expense at an effective rate of 38.6% for the six months ended June 30, 2016, as compared to an effective rate of 39.6% for the six months ended June 30, 2015. The 2016 rate was favorably impacted by WOTC. The 38.6% effective tax rate for the six months ended June 30, 2016 was higher than the United States Federal statutory rate of 35% due primarily to the French business tax, expected repatriations, valuation allowances and other permanent items.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2016, we had gross unrecognized tax benefits related to various tax jurisdictions, including interest and penalties, of $40.3. We had offsetting tax benefits of $1.0, and the net amount of $39.3 would favorably impact the effective tax rate if recognized. As of December 31, 2015, we had gross unrecognized tax benefits related to various tax jurisdictions, including interest and penalties, of $38.9. We had offsetting tax benefits of $1.0 for a net amount of $37.9. We do not expect our unrecognized tax benefits to change significantly over the next 12 months.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conduct business globally in 80 countries and territories. We are routinely audited by the tax authorities of the various tax jurisdictions in which we operate. Generally, the tax years that could be subject to examination are 2009 through 2015 for our major operations in France, Germany, Japan, the United Kingdom and the United States. As of June 30, 2016, we are subject to tax audits in Austria, Canada, Denmark, France, Germany, Italy, Portugal, Spain and the United States. We believe that the resolution of these audits will not have a material impact on earnings.</w:t>
      </w:r>
    </w:p>
    <w:p>
      <w:pPr>
        <w:spacing w:after="0" w:line="39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0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dilutive securities -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other share-based awards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6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0.4 million and 0.3 million share-based awards excluded from the calculation of net earnings per share – diluted for the three months ended</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June 30, 2016 and 2015, respectively, and the calculation of net earnings per share – diluted for the six months ended June 30, 2016 and 2015,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364" w:right="259" w:bottom="1440" w:gutter="0" w:footer="0" w:header="0"/>
        </w:sectPr>
      </w:pPr>
    </w:p>
    <w:bookmarkStart w:id="9" w:name="page10"/>
    <w:bookmarkEnd w:id="9"/>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$513.4 as of both June 30, 2016 and December 31, 2015.</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$139.5 as of both June 30, 2016 and December 31, 2015.</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2016 is expected to be $18.7 and in each of the next five years is expected to be as follows: 2017 - $33.7, 2018 - $30.9, 2019 - $26.6, 2020 - $21.6 and 2021 - $10.0.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120" w:type="dxa"/>
            <w:vAlign w:val="bottom"/>
            <w:gridSpan w:val="2"/>
          </w:tcPr>
          <w:p>
            <w:pPr>
              <w:jc w:val="center"/>
              <w:ind w:right="220"/>
              <w:spacing w:after="0" w:line="265" w:lineRule="exact"/>
              <w:rPr>
                <w:sz w:val="20"/>
                <w:szCs w:val="20"/>
                <w:color w:val="auto"/>
              </w:rPr>
            </w:pPr>
            <w:r>
              <w:rPr>
                <w:rFonts w:ascii="Times New Roman" w:cs="Times New Roman" w:eastAsia="Times New Roman" w:hAnsi="Times New Roman"/>
                <w:sz w:val="30"/>
                <w:szCs w:val="30"/>
                <w:b w:val="1"/>
                <w:bCs w:val="1"/>
                <w:color w:val="auto"/>
                <w:w w:val="94"/>
                <w:vertAlign w:val="subscript"/>
              </w:rPr>
              <w:t>Europe</w:t>
            </w:r>
            <w:r>
              <w:rPr>
                <w:rFonts w:ascii="Times New Roman" w:cs="Times New Roman" w:eastAsia="Times New Roman" w:hAnsi="Times New Roman"/>
                <w:sz w:val="10"/>
                <w:szCs w:val="10"/>
                <w:color w:val="auto"/>
                <w:w w:val="94"/>
              </w:rPr>
              <w:t>(2)(3)</w:t>
            </w:r>
          </w:p>
        </w:tc>
        <w:tc>
          <w:tcPr>
            <w:tcW w:w="160" w:type="dxa"/>
            <w:vAlign w:val="bottom"/>
          </w:tcPr>
          <w:p>
            <w:pPr>
              <w:spacing w:after="0"/>
              <w:rPr>
                <w:sz w:val="23"/>
                <w:szCs w:val="2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23"/>
                <w:szCs w:val="2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6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4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1"/>
                <w:szCs w:val="21"/>
                <w:color w:val="auto"/>
                <w:vertAlign w:val="superscript"/>
              </w:rPr>
              <w:t>(4)</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1,257.4</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June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1,272.3</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$476.9 as of both January 1, 2016 and June 30, 2016.</w:t>
      </w:r>
    </w:p>
    <w:p>
      <w:pPr>
        <w:spacing w:after="0" w:line="27" w:lineRule="exact"/>
        <w:rPr>
          <w:rFonts w:ascii="Times New Roman" w:cs="Times New Roman" w:eastAsia="Times New Roman" w:hAnsi="Times New Roman"/>
          <w:sz w:val="18"/>
          <w:szCs w:val="18"/>
          <w:color w:val="auto"/>
        </w:rPr>
      </w:pPr>
    </w:p>
    <w:p>
      <w:pPr>
        <w:ind w:right="120" w:firstLine="8"/>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$69.0 and $70.6 as of January 1, 2016 and June 30, 2016, respectively. Balances related to Italy were $4.5 and $4.6 as of January 1, 2016 and June 30, 2016, respectively.</w:t>
      </w:r>
    </w:p>
    <w:p>
      <w:pPr>
        <w:ind w:right="60" w:firstLine="8"/>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reflects the realignment of our organizational structure in Europe as of January 1, 2016. See Note 13 to the Consolidated Financial Statements for further information.</w:t>
      </w:r>
    </w:p>
    <w:p>
      <w:pPr>
        <w:jc w:val="both"/>
        <w:ind w:right="140" w:firstLine="8"/>
        <w:spacing w:after="0" w:line="254"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balances by reporting unit were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4"/>
        </w:trPr>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70"/>
        </w:trPr>
        <w:tc>
          <w:tcPr>
            <w:tcW w:w="18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1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532.4</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Management</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reporting units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267.0</w:t>
            </w:r>
          </w:p>
        </w:tc>
      </w:tr>
      <w:tr>
        <w:trPr>
          <w:trHeight w:val="257"/>
        </w:trPr>
        <w:tc>
          <w:tcPr>
            <w:tcW w:w="180" w:type="dxa"/>
            <w:vAlign w:val="bottom"/>
          </w:tcPr>
          <w:p>
            <w:pPr>
              <w:spacing w:after="0"/>
              <w:rPr>
                <w:sz w:val="22"/>
                <w:szCs w:val="22"/>
                <w:color w:val="auto"/>
              </w:rPr>
            </w:pPr>
          </w:p>
        </w:tc>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goodwill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1,257.4</w:t>
            </w:r>
          </w:p>
        </w:tc>
      </w:tr>
      <w:tr>
        <w:trPr>
          <w:trHeight w:val="20"/>
        </w:trPr>
        <w:tc>
          <w:tcPr>
            <w:tcW w:w="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 Retirement Plans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for our plans were as follows: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 Months Ended</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benefit cost</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9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 Months Ended</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gain</w:t>
            </w:r>
          </w:p>
        </w:tc>
        <w:tc>
          <w:tcPr>
            <w:tcW w:w="7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benefit cost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2016, contributions made to our pension plans were $1.1 and $2.2, respectively, and contributions made to our retiree health care plan were $0.2 and $0.5, respectively. During 2016, we expect to make total contributions of approximately $5.0 to our pension plans and to fund our retiree health care payments as incurred.</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64" w:right="2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Shareholders’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Translation (loss) gain on net investment hedge, net of income taxes of $(2.8) and $2.8, respectively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loss on long-term intercompany loans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43"/>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Unrealized gain on investments, net of income taxes of $3.9 and $3.8, respectively</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 net of income taxes of $(22.5) and $(22.3),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Retiree health care plan, net of income taxes of $2.3 and $2.4, respectively</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Noncontrolling interests, included in total shareholders' equity in our Consolidated Balance Sheets, represent amounts related to majority-owned subsidiaries for which we have a controlling financial interest.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earnings attributable to these noncontrolling interests were $2.1 and $3.7 for the three and six months ended June 30, 2016, respectively, which were recorded as expenses in interest and other expenses in our Consolidated Statements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3, 2016 and April 28, 2015, the Board of Directors declared a semi-annual cash dividend of $0.86 and $0.80 per share, respectively. The 2016 dividends were paid on June 15, 2016 to shareholders of record on June 1, 2016. The 2015 dividends were paid on June 15, 2015 to shareholders of record on June 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2016, the Board of Directors authorized the repurchase of an additional 6.0 million shares of our common stock, with terms consistent with the previous authorization. This authorization was in addition to the October 2015 authorization to repurchase 6.0 million shares of our common stock and the December 2012 authorization to repurchase 8.0 million shares of our common stock. Share repurchases may be made from time to time through a variety of methods, including open market purchases, block transactions, privately negotiated transactions or similar facilities. During the six months of 2016, we repurchased 3.8 million shares at a cost of $290.5 under the 2015 authorization. During the six months of 2015, we repurchased 2.0 million shares at a cost of $168.7 under the 2012 authorization. As of June 30, 2016, there were 1.5 million shares remaining authorized for repurchase under the 2015 authorization and no shares remaining under the 2012 authorization.</w:t>
      </w:r>
    </w:p>
    <w:p>
      <w:pPr>
        <w:spacing w:after="0" w:line="200" w:lineRule="exact"/>
        <w:rPr>
          <w:sz w:val="20"/>
          <w:szCs w:val="20"/>
          <w:color w:val="auto"/>
        </w:rPr>
      </w:pPr>
    </w:p>
    <w:p>
      <w:pPr>
        <w:spacing w:after="0" w:line="20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losses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Miscellaneous expense (income), net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51" w:right="239" w:bottom="1440" w:gutter="0" w:footer="0" w:header="0"/>
          <w:type w:val="continuous"/>
        </w:sectPr>
      </w:pPr>
    </w:p>
    <w:bookmarkStart w:id="12" w:name="page13"/>
    <w:bookmarkEnd w:id="12"/>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accounting guidance on derivative instruments and hedging activities, we record all of our derivative instruments as either an asset or liability measured at their fair value.</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portion of the €400.0 ($441.0) notes due September 2022 and the €350.0 ($387.9) notes due June 2018 was designated as a hedge of our net investment in our foreign subsidiaries with a Euro-functional currency as of June 30, 2016.</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the portion of the Euro-denominated notes designated as a hedge of the foreign currency exposure of a net investment in a foreign operation, the gain or loss associated with foreign currency translation is recorded as a component of accumulated other comprehensive loss, net of taxes. As of June 30, 2016 and December 31, 2015, we had an unrealized translation gain of $4.0 and $14.1, respectively, included in accumulated other comprehensive loss, net of taxes, as the net investment hedge was deemed effective.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occasion, forward contracts are designated as a hedge of our net investment in our foreign subsidiaries. As of June 30, 2016 and December 31, 2015, we had a translation loss of $4.2 and $4.1, respectively, included in accumulated other comprehensive loss, net of taxes, as the net investment hedge was deemed effective.</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are paid annually in June and September. We recorded a loss of $0.7 and a gain of $1.6 for the three months ended June 30, 2016 and 2015, respectively, and a loss of $1.3 and a gain of $1.8 for the six months ended June 30, 2016 and 2015, respectively, in interest and other expenses associated with those forward contracts, which offset the loss and gain recorded for the items noted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of those items recorded in our Consolidated Balance Sheets as of June 30, 2016 and December 31, 2015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6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05"/>
        </w:trPr>
        <w:tc>
          <w:tcPr>
            <w:tcW w:w="4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6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05"/>
        </w:trPr>
        <w:tc>
          <w:tcPr>
            <w:tcW w:w="4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carrying value of long-term debt approximates fair value, except for the Euro-denominated notes. The fair value of the Euro-denominated notes, as observable at commonly quoted intervals (level 2 inputs), was $887.7 and $858.2 as of June 30, 2016 and December 31, 2015, respectively, compared to a carrying value of $828.9 and $810.2, respectively.</w:t>
      </w:r>
    </w:p>
    <w:p>
      <w:pPr>
        <w:spacing w:after="0" w:line="392"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Data</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organized and managed primarily on a geographic basis, with Right Management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Recruitment Process Outsourcing (RPO), TAPFIN - Managed Service Provider (MSP), Proservia and Talent Based Outsourcing (TBO).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(a)</w:t>
            </w:r>
          </w:p>
        </w:tc>
        <w:tc>
          <w:tcPr>
            <w:tcW w:w="2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1,487.7</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0" w:type="dxa"/>
            <w:vAlign w:val="bottom"/>
          </w:tcPr>
          <w:p>
            <w:pPr>
              <w:spacing w:after="0"/>
              <w:rPr>
                <w:sz w:val="1"/>
                <w:szCs w:val="1"/>
                <w:color w:val="auto"/>
              </w:rPr>
            </w:pPr>
          </w:p>
        </w:tc>
      </w:tr>
      <w:tr>
        <w:trPr>
          <w:trHeight w:val="23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Southern Europe:</w:t>
            </w: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2,243.4</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Italy</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Southern Europe</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3,512.7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Northern Europe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2,449.5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APME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1,089.7</w:t>
            </w: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Management</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w:t>
            </w:r>
          </w:p>
        </w:tc>
        <w:tc>
          <w:tcPr>
            <w:tcW w:w="25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9,609.8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9,403.5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unit profit: (c)</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Americas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Southern Europe:</w:t>
            </w: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43"/>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Italy</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Southern Europe</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Northern Europe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APME</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Management</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43"/>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expenses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7"/>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profit</w:t>
            </w:r>
          </w:p>
        </w:tc>
        <w:tc>
          <w:tcPr>
            <w:tcW w:w="2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3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5" w:name="page16"/>
    <w:bookmarkEnd w:id="15"/>
    <w:p>
      <w:pPr>
        <w:ind w:left="412" w:right="20" w:hanging="412"/>
        <w:spacing w:after="0" w:line="261" w:lineRule="auto"/>
        <w:tabs>
          <w:tab w:leader="none" w:pos="4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where a majority of our franchises operate, revenues from services included fees received from the related franchise offices of $3.6 and $3.9 for the three months ended June 30, 2016 and 2015, respectively, and $7.0 and $7.3 for the six months ended June 30, 2016 and 2015, respectively. These fees are primarily based on revenues generated by the franchise offices, which were $170.9 and $184.6 for the three months ended June 30, 2016 and 2015, respectively, and $331.7 and $353.3 for the six months ended June 30, 2016 and 2015, respectively.</w:t>
      </w:r>
    </w:p>
    <w:p>
      <w:pPr>
        <w:spacing w:after="0" w:line="180" w:lineRule="exact"/>
        <w:rPr>
          <w:rFonts w:ascii="Times New Roman" w:cs="Times New Roman" w:eastAsia="Times New Roman" w:hAnsi="Times New Roman"/>
          <w:sz w:val="18"/>
          <w:szCs w:val="18"/>
          <w:color w:val="auto"/>
        </w:rPr>
      </w:pPr>
    </w:p>
    <w:p>
      <w:pPr>
        <w:ind w:left="412" w:hanging="412"/>
        <w:spacing w:after="0" w:line="261" w:lineRule="auto"/>
        <w:tabs>
          <w:tab w:leader="none" w:pos="4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revenues from services include fees received from our franchise offices of $5.7 and $6.0 for the three months ended June 30, 2016 and 2015, respectively, and $10.9 and $11.5 for the six months ended June 30, 2016 and 2015, respectively. These fees are primarily based on revenues generated by the franchise offices, which were $261.2 and $276.3 for the three months ended June 30, 2016 and 2015, respectively, and $489.0 and $526.2 for the six months ended June 30, 2016 and 2015, respectively.</w:t>
      </w:r>
    </w:p>
    <w:p>
      <w:pPr>
        <w:spacing w:after="0" w:line="180" w:lineRule="exact"/>
        <w:rPr>
          <w:rFonts w:ascii="Times New Roman" w:cs="Times New Roman" w:eastAsia="Times New Roman" w:hAnsi="Times New Roman"/>
          <w:sz w:val="18"/>
          <w:szCs w:val="18"/>
          <w:color w:val="auto"/>
        </w:rPr>
      </w:pPr>
    </w:p>
    <w:p>
      <w:pPr>
        <w:ind w:left="412" w:right="360" w:hanging="412"/>
        <w:spacing w:after="0" w:line="266" w:lineRule="auto"/>
        <w:tabs>
          <w:tab w:leader="none" w:pos="4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72"/>
          </w:cols>
          <w:pgMar w:left="248" w:top="580"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the financial measures section on pages 26 through 28 for further information on the Non-GAAP financial measures of constant currency and organic constant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Overview</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these periods of increasing demand, as we saw during the six months of 2016, we are generally able to improve our profitability and operating leverage as our cost base can support some increase in business without a similar increase in selling and administrative expenses.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first half of 2016, the United States dollar was stronger relative to the currencies in a few of our major markets, specifically markets within Other Americas, the United Kingdom, Norway and Australia, having an unfavorable impact on our reported results. While our reported revenues from services increased 3.3% over the second quarter of 2015 and our reported operating profit increased 9.7%, these results were impacted by the changes in foreign currency exchange rates and may not reflect the performance of our underlying business. The changes in foreign currency exchange rates had a 1.2% unfavorable impact on revenues from services, a 0.7% unfavorable impact on operating profit and an approximately $0.02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2016, we experienced constant currency revenue growth in most of our markets. Our consolidated revenues were up 4.5% in constant currency over the second quarter of 2015, a slight deceleration from the 5.2% constant currency growth in the first quarter of 2016 compared to 2015 due primarily to slowing in France and the United States. We continue to experience uneven economic conditions in Europe and certain of our major markets, and we therefore expect that future revenue growth trends may be somewhat volatile and overall recovery may be slow. The recent Brexit referendum in the United Kingdom, along with other recent geopolitical events, has added an additional level of uncertainty and the impact this will have on the United Kingdom, Europe, and the global economy is unknown. Our staffing/interim business had solid growth in the quarter, along with strong growth in all of our ManpowerGroup Solutions offerings and a 9.7% increase (11.7% in constant currency) in our permanent recruitment business. At Right Management, we have seen some improvement as we experienced our fourth straight quarter of year-over-year revenue growth, compared to declines seen in the previous ten quarters, as the demand for our outplacement services increased in certain markets.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gross profit margin was flat in the second quarter of 2016 compared to 2015. The margin was favorably impacted by our acquisitions and growth in our permanent recruitment business and other business offerings. These favorable items were offset by the organic decline in our staffing/interim gross profit margin in the second quarter of 2016 compared to 2015 primarily, due to changes in business mix and direct cost increases, such as complementary health care costs for our staffing/interim associates in France as a result of new legislation effective January 1, 2016.</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profitability improved in the second quarter of 2016 with operating profit up 9.7% (10.4% in constant currency) and operating profit margin up 20 basis points compared to 2015. We continue to monitor expenses closely to ensure we maintain the full benefit of the simplification and cost recalibration plan initiatives that resulted in a lower cost base as we streamlined our organization, while investing appropriately to support the growth in the business. During the first half of 2016, we added recruiters and certain other staff to support the increased demand for our services. Even with these investments, we saw improved operational leverage in the quarter as we were able to support the higher revenue level without a similar increase in expenses.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6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June 30, 2016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June 30, 2016 as compared to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4,861.3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4,030.7</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830.6</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651.9</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178.7</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171.5</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65.8</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105.7</w:t>
            </w:r>
          </w:p>
        </w:tc>
        <w:tc>
          <w:tcPr>
            <w:tcW w:w="148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increase in revenues from services of 3.3% (4.5% in constant currency and 1.5% in organic constant currency) was attributed to:</w:t>
      </w:r>
    </w:p>
    <w:p>
      <w:pPr>
        <w:spacing w:after="0" w:line="225" w:lineRule="exact"/>
        <w:rPr>
          <w:sz w:val="20"/>
          <w:szCs w:val="20"/>
          <w:color w:val="auto"/>
        </w:rPr>
      </w:pPr>
    </w:p>
    <w:p>
      <w:pPr>
        <w:ind w:left="660" w:right="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1.4% (3.3% as reported) and 10.0% (7.3% as reported; 2.4% in organic constant currency), respectively. This included a constant currency revenue increase in France of 2.2% (4.1% as reported) primarily due to growth in the staffing market and strong permanent recruitment growth. We also experienced constant currency revenue growth in Germany, Spain, the Netherlands and Belgium of 58.0%, 13.8%, 20.2%, and 20.4%, respectively (61.1%, 16.0%, 22.5% and 22.7%, respectively, as reported; 8.1% and 14.9% in organic constant currency in Germany and Belgium, respectively);</w:t>
      </w:r>
    </w:p>
    <w:p>
      <w:pPr>
        <w:spacing w:after="0" w:line="187"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9.6% in constant currency (10.4% as reported; 5.8% in organic constant currency) primarily due to an increase in our Manpower staffing revenues, a 13.0% constant currency increase (10.3% as reported) in our permanent recruitment business and an increase in our ManpowerGroup Solutions business;</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at Right Management, where revenues increased 2.6% in constant currency (0.9% as reported), including a 10.2% constant currency increase (8.4% as reported) in our outplacement services, which was partially offset by a 14.8% constant currency decline (-16.4% as reported) in our talent management business;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approximately 1.9% from one additional billing day; and</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in the Americas, Northern Europe and APME, which added approximately 3.0% revenue growth to our consolidated results; partially offset by</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the United States of 4.9% primarily driven by a decline in demand for our staffing/interim services mainly in the industrial and IT sectors, partially offset by solid growth in our MSP and RPO offerings within the ManpowerGroup Solutions business and growth in our permanent recruitment business;</w:t>
      </w:r>
    </w:p>
    <w:p>
      <w:pPr>
        <w:spacing w:after="0" w:line="176" w:lineRule="exact"/>
        <w:rPr>
          <w:rFonts w:ascii="Times New Roman" w:cs="Times New Roman" w:eastAsia="Times New Roman" w:hAnsi="Times New Roman"/>
          <w:sz w:val="18"/>
          <w:szCs w:val="18"/>
          <w:color w:val="auto"/>
        </w:rPr>
      </w:pPr>
    </w:p>
    <w:p>
      <w:pPr>
        <w:jc w:val="both"/>
        <w:ind w:left="660" w:right="500" w:hanging="328"/>
        <w:spacing w:after="0" w:line="313"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Italy of 7.8% in constant currency (-6.1% as reported) as a result of reduced demand for our Manpower staffing services primarily due to the end of the Milan Expo in the fourth quarter of 2015, partially offset by growth in our permanent recruitment business; and</w:t>
      </w:r>
    </w:p>
    <w:p>
      <w:pPr>
        <w:spacing w:after="0" w:line="1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decrease due to the impact of changes in currency exchange rates.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Gross profit margin was flat year-over-year and was primarily attributed to:</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our acquisitions in the Americas, Northern Europe and APME;</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9.7% growth (11.7% in constant currency and 8.7% in organic constant currency) in our permanent recruitment business;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from our other business offerings; offset by</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(-0.30%) unfavorable impact from the decline in our organic staffing/interim margin, due primarily to changes in business mix and direct cost increases, such as complementary health care costs for our staffing/interim associates in France as a result of new legislation effective January 1, 2016.</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2.0% increase in selling and administrative expenses in the second quarter of 2016 (2.9% in constant currency; decrease of -1.0% in organic constant currency) was attributed to:</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the Americas, Northern Europe and APME; and</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constant currency increase (5.8% as reported) in organic salary expenses primarily due to additional headcount to support the increased demand for our services in certain markets; partially offset by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12.9% constant currency decrease (-9.3% as reported) in organic variable incentive costs due to a decline in profitability in certain markets;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constant currency decrease (increase of 1.5% as reported) in organic non-personnel related costs as a result of a focus on driving productivity and efficiency throughout our businesses;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decrease due to the impact of changes in currency exchange rates.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20 basis points (-0.20%) in the second quarter of 2016 compared to 2015 due to a 10 basis point (-0.10%) favorable impact from the decrease in organic variable incentive costs and a 10 basis point (-0.10%) impact from better expense leverage as a result of our strong focus on productivity and efficiency.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Interest and other expenses are comprised of interest, foreign exchange gains and losses and other miscellaneous non-operating income and expenses. Interest and other expenses was $10.3 million in the second quarter of 2016 compared to $7.2 million in the second quarter of 2015. Net interest expense increased $0.9 million in the second quarter of 2016 to $8.4 million from $7.5 million in the second quarter of 2015 due to higher debt levels as we issued €400.0 million Notes in September of 2015. Foreign exchange loss in the second quarter of 2016 was $0.7 million compared to $0.0 million in the second quarter of 2015. Miscellaneous expense was $1.2 million in the second quarter of 2016 compared to miscellaneous income of $0.3 million in the second quarter of 2015.</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37.8% for the three months ended June 30, 2016, as compared to an effective rate of 38.3% for the three months ended June 30, 2015. The 2016 rate was favorably impacted by the United States Work Opportunity Tax Credit ("WOTC"), which was enacted in December of 2015 and extends through 2019. The 37.8% effective tax rate in the quarter was higher than the United States Federal statutory rate of 35%, and we currently expect an annual effective tax rate of approximately 37% to 38%, due primarily to the French business tax, expected repatriations, valuation allowances and other permanent items.</w:t>
      </w:r>
    </w:p>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$1.60 and $1.33 for the three months ended June 30, 2016 and 2015, respectively. Foreign currency exchange rates negatively impacted net earnings per share - diluted by approximately $0.02 per share for the three months ended June 30, 2016.</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8.9% to 72.3 million for the three months ended June 30, 2016 from 79.3 million for the three months ended June 30, 2015. This decrease was due to the impact of share repurchases completed since the second quarter of 2015, partially offset by shares issued as a result of exercises and vesting of share-based awards since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Operating Results - Six Months Ended June 30, 2016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six months ended June 30, 2016 as compared to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9,403.5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7,810.9</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1,592.6</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1,291.1</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301.5</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283.7</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112.3</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171.4</w:t>
            </w:r>
          </w:p>
        </w:tc>
        <w:tc>
          <w:tcPr>
            <w:tcW w:w="148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increase in revenues from services of 2.2% (4.8% in constant currency and 1.6% in organic constant currency) was attributed to:</w:t>
      </w:r>
    </w:p>
    <w:p>
      <w:pPr>
        <w:spacing w:after="0" w:line="225" w:lineRule="exact"/>
        <w:rPr>
          <w:sz w:val="20"/>
          <w:szCs w:val="20"/>
          <w:color w:val="auto"/>
        </w:rPr>
      </w:pPr>
    </w:p>
    <w:p>
      <w:pPr>
        <w:ind w:left="660" w:right="42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2.9% (3.0% as reported) and 7.0% (3.5% as reported; decrease of -0.6% in organic constant currency), respectively. This included a constant currency revenue increase in France of 3.7% (3.9% as reported) primarily due to growth in the staffing market and strong permanent recruitment growth. We also experienced constant currency revenue growth in Germany, Spain, the Netherlands and Belgium of 54.9%, 15.5%, 13.1% and 15.4%, respectively (55.0%, 15.6%, 13.3%, and 15.5%, respectively, as reported; 6.0% and 9.9% in organic constant currency in Germany and Belgium, respectively);</w:t>
      </w:r>
    </w:p>
    <w:p>
      <w:pPr>
        <w:spacing w:after="0" w:line="18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10.8% in constant currency (9.3% as reported; 6.0% in organic constant currency) primarily due to an increase in our Manpower staffing revenues, an increase in our ManpowerGroup Solutions business and a 9.2% constant currency increase (4.7% as reported) in our permanent recruitment business;</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at Right Management, where revenues increased 2.5% in constant currency (0.2% as reported), including a 10.1% constant currency increase (7.7% as reported) in our outplacement services, which was partially offset by a 16.8% constant currency decline (-18.8% as reported) in our talent management business;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approximately 1.0% from one additional billing day; and</w:t>
      </w:r>
    </w:p>
    <w:p>
      <w:pPr>
        <w:spacing w:after="0" w:line="22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in the Americas, Southern Europe, Northern Europe and APME, which added approximately 3.2% revenue growth to our consolidated results; partially offset by</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 in the United States of 4.0% primarily driven by a decline in demand for our staffing/interim services mainly in the industrial and IT sectors, partially offset by solid growth in our MSP and RPO offerings within the ManpowerGroup Solutions business and growth in our permanent recruitment business;</w:t>
      </w:r>
    </w:p>
    <w:p>
      <w:pPr>
        <w:spacing w:after="0" w:line="176" w:lineRule="exact"/>
        <w:rPr>
          <w:rFonts w:ascii="Times New Roman" w:cs="Times New Roman" w:eastAsia="Times New Roman" w:hAnsi="Times New Roman"/>
          <w:sz w:val="18"/>
          <w:szCs w:val="18"/>
          <w:color w:val="auto"/>
        </w:rPr>
      </w:pPr>
    </w:p>
    <w:p>
      <w:pPr>
        <w:jc w:val="both"/>
        <w:ind w:left="660" w:right="500" w:hanging="328"/>
        <w:spacing w:after="0" w:line="313"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Italy in constant currency of 4.6% (-4.5% as reported) as a result of reduced demand for our Manpower staffing services primarily due to the end of the Milan Expo in the fourth quarter of 2015, partially offset by growth in our permanent recruitment business; and</w:t>
      </w:r>
    </w:p>
    <w:p>
      <w:pPr>
        <w:spacing w:after="0" w:line="1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decrease due to the impact of changes in currency exchange rates.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4" w:right="2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year-over-year 10 basis point (0.10%) increase in gross profit margin was primarily attributed to:</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our acquisitions in the Americas, Southern Europe, Northern Europe and APME;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7.5% organic constant currency growth (7.4% as reported; 10.6% in constant currency) in our permanent recruitment business;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increase due to the impact on business mix of the changes in currency exchange rates; partially offset by</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unfavorable impact from the decline in our organic staffing/interim margin, due primarily to changes in business mix and direct cost increases, such as complementary health care costs for our staffing/interim associates in France as a result of new legislation.</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1.2% increase in selling and administrative expenses for the six months ended June 30, 2016 (3.5% in constant currency; decrease of -0.8% in organic constant currency) was attributed to:</w:t>
      </w:r>
    </w:p>
    <w:p>
      <w:pPr>
        <w:spacing w:after="0" w:line="162" w:lineRule="exact"/>
        <w:rPr>
          <w:sz w:val="20"/>
          <w:szCs w:val="20"/>
          <w:color w:val="auto"/>
        </w:rPr>
      </w:pPr>
    </w:p>
    <w:p>
      <w:pPr>
        <w:ind w:left="660" w:right="1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the Americas, Southern Europe, Northern Europe and APME; and</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constant currency increase (4.3% as reported) in organic salary expenses primarily due to additional headcount to support the increased demand for our services in certain markets; partially offset by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 constant currency decrease (-5.7% as reported) in organic variable incentive costs due to a decline in profitability in certain markets;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constant currency decrease (-0.4% as reported) in organic non-personnel related costs as a result of a focus on driving productivity and efficiency throughout our businesses;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decrease due to the impact of changes in currency exchange rates.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10 basis points (-0.10%) in the six months ended June 30, 2016 compared to 2015 due to a 30 basis point (-0.30%) favorable impact from better expense leverage as a result of our strong focus on productivity and efficiency, partially offset by a 10 basis point (0.10%) unfavorable impact from acquisitions and a 10 basis point (0.10%) unfavorable impact from business mix changes due to the changes in currency exchange rates.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Interest and other expenses were $23.0 million for the six months ended June 30, 2016 compared to $17.8 million for the six months ended June 30, 2015. Net interest expense increased $2.2 million for the six months ended June 30, 2016 to $17.2 million from $15.0 million for the six months ended June 30, 2015 due to higher debt levels as we issued €400.0 million Notes in September of 2015. Foreign exchange losses were $1.6 million and $0.7 million for the six months ended June 30, 2016 and 2015, respectively. Miscellaneous expenses were $4.2 million in the six months ended June 30, 2016 compared to $2.1 million in the six months ended June 30, 2015. For our Venezuela reporting unit, we use the official exchange rate to convert the Bolivar Fuerte currency (“BsF”) to the functional currency of the United States dollar (“USD”), which was previously set at 6.3 BsF to 1 USD but changed to 10.0 BsF to 1 USD in the first quarter of 2016. We recorded an immaterial foreign exchange loss as a result of the change in the exchange rate. Any further change to the official exchange rate would not have a material impact on our operating results.</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recorded income tax expense at an effective rate of 38.6% for the six months ended June 30, 2016, as compared to an effective rate of 39.6% for the six months ended June 30, 2015. The 2016 rate was favorably impacted by WOTC. The 38.6% effective tax rate for the six months ended June 30, 2016 was higher than the United States Federal statutory rate of 35% due primarily to the French business tax, expected repatriations, valuation allowances and other permanent items.</w:t>
      </w:r>
    </w:p>
    <w:p>
      <w:pPr>
        <w:spacing w:after="0" w:line="180"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$2.57 for the six months ended June 30, 2016 compared to $2.16 for the six months ended June 30, 2015. Foreign currency exchange rates negatively impacted net earnings per share - diluted by approximately $0.05 per share for the six months ended June 30, 2016.</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8.3% to 72.9 million for the six months ended June 30, 2016 from 79.5 million for the six months ended June 30, 2015. This decrease was due to the impact of share repurchases completed since the second quarter of 2015, partially offset by shares issued as a result of exercises and vesting of share-based awards since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64"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Americas, revenues from services decreased 4.4% (increase of 1.3% in constant currency; -1.4% in organic constant currency) in the second quarter of 2016 compared to 2015. In the United States, revenues from services decreased 4.9% in the second quarter of 2016 compared to 2015, primarily driven by a decline in demand for our Manpower staffing services, mainly due to the weak manufacturing sector of the economy, and decrease in our Experis interim services, specifically within the IT sector. This decline was partially offset by solid growth in our MSP and RPO offerings within the ManpowerGroup Solutions business and a 3.4% increase in our permanent recruitment business. In Other Americas, revenues from services decreased 3.3% (increase of 14.2% in constant currency and 7.8% in organic constant currency) in the second quarter of 2016 compared to 2015. We experienced constant currency revenue growth in Mexico, Canada and Argentina of 6.8%, 48.8% and 16.0%, respectively (-9.5%, 42.0% and -26.9%, respectively, as reported; -1.6% in organic constant currency in Canada). The constant currency increase in Argentina was primarily due to inflation.</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Americas, revenues from services decreased 4.0% (increase of 2.7% in constant currency and flat in organic constant currency) in the six months ended June 30, 2016 compared to 2015. In the United States, revenues from services decreased 4.0% in the six months ended June 30, 2016 compared to 2015, primarily driven by a decline in demand for our Manpower staffing services, mainly due to the weak manufacturing sector of the economy, and decrease in our Experis interim services, specifically within the IT sector. This decline was partially offset by a 7.5% increase in our permanent recruitment business and solid growth in our MSP and RPO offerings within the ManpowerGroup Solutions business. In Other Americas, revenues from services decreased 4.0% (increase of 16.4% in constant currency and 10.1% in organic constant currency) in the six months ended June 30, 2016 compared to 2015. We experienced constant currency revenue growth in Mexico, Canada and Argentina of 9.0%, 51.6% and 23.3%, respectively (-8.6%, 41.1% and -24.0%, respectively, as reported; 0.3% in organic constant currency in Canada). The constant currency increase in Argentina was primarily due to inflation.</w:t>
      </w:r>
    </w:p>
    <w:p>
      <w:pPr>
        <w:spacing w:after="0" w:line="18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Gross profit margin was flat in the second quarter of 2016 compared to 2015 as the favorable impact from growth in our permanent recruitment and ManpowerGroup Solutions businesses was offset by decrease in the staffing/interim margins in the United States, due to the change in business mix as our lower-margin business represented a greater percentage of the total staffing/interim revenue mix.</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Gross profit margin increased in first half of 2016 compared to 2015 as a result of improved staffing/interim margins in the United States, due to strong price discipline and effective management of state unemployment taxes, and the favorable impact from growth in our permanent recruitment and ManpowerGroup Solutions businesses. This increase was partially offset by decreases in our staffing/interim margins within some of our markets in Other Americas due to business mix changes and general pricing pressures.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second quarter of 2016, selling and administrative expenses decreased 4.1% (flat in constant currency and -2.3% in organic constant currency). The decrease is due to a decrease in our variable incentive-based costs due to the operating results of our staffing/interim services in the United States and the cost savings resulting from the restructuring actions taken in the fourth quarter of 2015, partially offset by the additional recurring selling and administrative costs incurred as a result of acquisitions.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2016, selling and administrative expenses decreased 3.9% (increase of 0.7% in constant currency; -1.6% in organic constant currency). The constant currency increase is due to the additional recurring selling and administrative costs incurred as a result of acquisitions, partially offset by a decrease in our variable incentive-based costs due to the operating results of our staffing/interim services in the United States and the cost savings resulting from the restructuring actions taken in the fourth quarter of 2015.</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Unit Profit (“OUP”) margin in the Americas was 5.0% for both the second quarter of 2016 and 2015. In the United States, OUP margin was 5.5% in both the second quarter of 2016 and 2015 as the improvement in the gross profit margin was offset by expense deleveraging, as we were not able to decrease expenses at the same rate as the revenue decrease. Other Americas OUP margin was 3.9% for both the second quarter of 2016 and 2015.</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OUP margin in the Americas was 4.1% and 3.9% for the six months ended June 30, 2016 and 2015, respectively. In the United States, OUP margin increased to 4.4% in the six months ended June 30, 2016 from 4.0% in 2015 due to the improvement in the gross profit margin, partially offset by expense deleveraging, as we were not able to decrease expenses at the same rate as the revenue decrease. Other Americas OUP margin decreased to 3.6% in the six months ended June 30, 2016 from 3.7% in 2015 due to a decline in the gross profit margin, partially offset by better operational leverage, because we were able to support a constant currency increase in revenues without a similar increase in expenses.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227"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 Southern Europe, which includes operations in France and Italy, revenues from services increased 3.3% (1.4% in constant currency) in the second quarter of 2016 compared to 2015. In the second quarter of 2016, revenues from services increased 4.1% (2.2% in constant currency) in France, which represents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64.8% of Southern Europe’s revenues. The increase in France was primarily due to the growth in the staffing market, although the revenue trend was uneven throughout the quarter. In the second quarter of 2016, revenues from services decreased 6.1% (-7.8% in constant currency) in Italy, which represents 15.5% of Southern Europe’s revenues. The decrease in Italy was primarily due to decreased demand for our Manpower staffing services primarily due to the end of the Milan Expo in the fourth quarter of 2015, partially offset by a 28.5% increase (26.1% in constant currency) in the permanent recruitment business and the favorable impact of one additional billing day. In Other Southern Europe, revenues from services increased 9.0% (7.4% in constant currency) during the second quarter of 2016 compared to 2015, primarily driven by the 16.0% increase (13.8% in constant currency) in Spain due to strong sales execution, though slightly lower growth than the first quarter of 2016, and the favorable impact of two additional billing days in the second quarter of 2016 compared to 2015.</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from services increased 3.0% (increase of 2.9% in constant currency) in the six months ended June 30, 2016 compared to 2015. In the six months ended June 30, 2016, revenues from services increased 3.9% (3.7% in constant currency ) in France and decreased 4.5% (-4.6% in constant currency) in Italy. The increase in France was primarily due to the growth in the staffing market. The decrease in Italy was primarily due to decreased demand for our Manpower staffing services primarily due to the end of the Milan Expo in the fourth quarter of 2015, partially offset by a 25.9% increase (25.5% in constant currency) in the permanent recruitment business. In Other Southern Europe, revenues from services increased 6.7% (6.6% in constant currency) during the six months ended June 30, 2016 compared to 2015, primarily driven by the 15.6% increase (15.5% in constant currency) in Spain due to strong sales execution, and the favorable impact of two additional billing days in the six months ended June 30, 2016 compared to 2015.</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Gross profit margin increased in the second quarter of 2016 compared to 2015 primarily due to an increase in Italy's staffing/interim margin, partly due to subsidies and improved business mix, and an increase of 28.5% (26.1% in constant currency) in our permanent recruitment business, partially offset by a decrease in France's staffing/interim margin primarily as a result of direct cost increases, such as complementary health care costs for our staffing/interim associates in France as a result of new legislation, partially offset by lower Family Welfare Tax in France related to the Responsibility Pact that was effective April 1, 2016.</w:t>
      </w:r>
    </w:p>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Gross profit margin was flat in the first half of 2016 compared to 2015 as an increase in Italy's staffing/interim margin, due to enhanced pricing, subsidies and improved business mix, and an increase of 25.9% (25.5% in constant currency) in our permanent recruitment business, was offset by the decrease in France's staffing/interim margin as a result of the direct cost increases.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increased 1.6% (decrease of -0.3% in constant currency) during the second quarter of 2016 compared to 2015, and 2.2% (2.2% in constant currency) during the six months ended June 30, 2016 compared to 2015. The increases were primarily due to an increase in salary-related costs because of additional headcount to support the increase in revenues, partially offset by a decrease in marketing expenses related to the Milan Expo in Italy.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OUP margin in Southern Europe was 5.3% for the second quarter of 2016 compared to 5.1% for 2015. In France, the OUP margin decreased to 5.4% for the second quarter of 2016 from 5.6% in 2015, due to the decline in our gross profit margin, partially offset by improved operational leverage, as we were able to support an increase in revenues without a similar increase in expenses. In Italy, the OUP margin increased to 7.6% for the second quarter of 2016 from 6.2% for 2015, due to the increase in our gross profit margin and a decrease in marketing expenses related to the Milan Expo in Italy. Other Southern Europe’s OUP margin increased to 3.2% for the second quarter of 2016 from 2.3% in 2015 due to an increase in the gross profit margin.</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OUP margin in Southern Europe was 4.8% for the six months ended June 30, 2016 and 2015. In France, the OUP margin decreased to 4.9% for the six months ended June 30, 2016 from 5.2% for 2015, due to the decline in our gross profit margin, partially offset by improved operational leverage, as we were able to support an increase in revenues without a similar increase in expenses. In Italy, the OUP margin increased to 6.9% for the six months ended June 30, 2016 from 5.7% for 2015, due to increase in our staffing gross profit margin and a decrease in marketing expenses related to the Milan Expo in Italy. Other Southern Europe’s OUP margin increased to 2.8% for the six months ended June 30, 2016 from 2.4% for 2015 due to an increase in the gross profit margin.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6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2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In Northern Europe, which includes operations in the United Kingdom, Germany, the Nordics, the Netherlands and Belgium (representing 36.5%, 19.2%, 19.7%, 11.2%, and 7.5%, respectively, of Northern Europe’s revenues), revenues from services increased 7.3% (10.0% in constant currency and 2.4% in organic constant currency) in the second quarter of 2016 compared to 2015. We experienced constant currency revenue growth in Germany, the Netherlands and Belgium of 58.0%, 20.2% and 20.4%, respectively (61.1%, 22.5% and 22.7%, respectively, as reported; 8.1% and 14.9% in Germany and Belgium, respectively, in organic constant currency) and constant currency revenue declines in the United Kingdom and the Nordics of 0.9% and 0.1%, respectively (-7.3% and -1.0%, respectively, as reported; -3.1% in organic constant currency in the United Kingdom). The organic constant currency revenue increase of 2.4% is primarily due to growth in our ManpowerGroup Solutions business and a 2.2% organic constant currency increase (9.1% in constant</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currency; 6.0% as reported) in our permanent recruitment business, mostly due to growth in the United Kingdom, an increase in Netherlands' staffing/interim revenues, due to recent client wins and the lower level of growth in the comparable year period as a result of client account losses in early 2015 from strong pricing discipline, an increase in Belgium's Manpower staffing revenues and two additional billing days in the second quarter of 2016 compared to 2015. These increases were partially offset by a decline in our Manpower staffing business, due to lower demand under one of our large client contracts in the United Kingdom, and a decrease in Norway, due to the economy's dependence on the struggling oil and gas industry.</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Revenues from services increased 3.5% (7.0% in constant currency; decrease of -0.6% in organic constant currency) in the six months ended June 30, 2016 compared to 2015. We experienced constant currency revenue growth in Germany, the Netherlands and Belgium of 54.9%, 13.1% and 15.4%, respectively (55.0%, 13.3% and 15.5%, respectively, as reported; 6.0% and 9.9% in Germany and Belgium, respectively, in organic constant currency) and constant currency revenue declines in the United Kingdom and the Nordics of 3.7% and 1.9%, respectively (-9.4% and -4.5%, respectively, as reported; -5.8% in organic constant currency in the United Kingdom). The organic constant currency revenue decrease of -0.6% is primarily due to a decline in our Manpower staffing business, due to lower demand under one of our large client contracts in the United Kingdom, and a decrease in Norway, due to the economy's dependence on the struggling oil and gas industry. These decreases were partially offset by a 2.5% organic constant currency increase (9.2% in constant currency; 5.3% as reported) in our permanent recruitment business, mostly due to growth in the United Kingdom, growth in our ManpowerGroup Solutions business, an increase in Netherlands' staffing/interim revenues, due to recent client wins and the lower level of growth in the comparable year period as a result of client account losses in early 2015 from strong pricing discipline, an increase in Belgium's Manpower staffing revenues and approximately one additional billing day in the six months ended June 30, 2016 compared to 2015.</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profit margin increased in both the second quarter and first half of 2016 compared to 2015 due primarily to the increases in our staffing/interim margin because of the acquisition in Germany in the third quarter of 2015. The organic gross profit margins decreased due to the staffing/interim margin decline, as a result of business mix changes and general pricing pressures in several markets, partially offset by the organic constant currency increase in our permanent recruitment business of 2.2% (9.1% in constant currency; 6.0% as reported) in the second quarter of 2016 and 2.5% (9.2% in constant currency; 5.3% as reported) in the six months ended June 30, 2016.</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increased 9.7% (11.3% in constant currency and 0.5% in organic constant currency) in the second quarter of 2016 compared to 2015 due to the additional recurring selling and administrative costs incurred as a result of the acquisition in Germany. The organic constant currency increase in selling and administrative expenses was due primarily to the increase in organic non-personnel related costs to support the organic constant currency increase in revenues, partially offset by the decrease in organic salary-related costs as a result of the restructuring actions taken in the fourth quarter of 2015.</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increased 5.8% (8.6% in constant currency; decrease of -2.5% in organic constant currency) during the six months ended June 30, 2016 compared to 2015 due to the additional recurring selling and administrative costs incurred as a result of the acquisition in Germany. The organic constant currency decrease in selling and administrative expenses was due primarily to the decrease in organic salary-related costs and non-personnel related costs as a result of the restructuring actions taken in the fourth quarter of 2015.</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OUP margin for Northern Europe was 2.9% and 2.8% for the second quarter of 2016 and 2015, respectively. OUP margin was 2.8% and 2.6% for the six months ended June 30, 2016 and 2015, respectively. The increases in the OUP margin were primarily due to the increase in our gross profit margin, partially offset by the additional recurring selling and administrative costs incurred as a result of the acquisition in Germany.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62"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APME, revenues from services increased 10.4% (9.6% in constant currency and 5.8% in organic constant currency) in the second quarter of 2016 compared to 2015. In Japan and Australia (which represent 34.7% and 22.8% of APME’s revenues, respectively), revenues from services increased 14.0% and 14.4%, respectively (1.4% and 19.6%, respectively, in constant currency; 2.1% in organic constant currency in Australia). The increase in Japan was due to the increase in our Manpower staffing services, partially offset by a decrease in our ManpowerGroup Solutions business. The organic constant currency increase in Australia was due to the stable demand for our Manpower staffing services even though there are still challenges in this commodity-based economy and the additional billing days in the second quarter of 2016 compared to 2015. The revenue increase in the remaining markets in APME is due to an increase in our Manpower staffing service revenues, primarily in Korea, India, Taiwan, and the Philippines and growth in our ManpowerGroup Solutions and permanent recruitment businesses.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from services increased 9.3% (10.8% in constant currency and 6.0% in organic constant currency) in the six months ended June 30, 2016 compared to 2015. In Japan and Australia, revenues from services increased 10.6% and 17.4%, respectively (2.5% and 25.0%, respectively, in constant currency; 2.0% in organic constant currency in Australia). The increase in Japan was due to the increase in our Manpower staffing services, partially offset by a decrease in our ManpowerGroup Solutions business. The organic constant currency increase in Australia was due to the stable demand for our Manpower staffing services even though there are still challenges in this commodity-based economy and the additional billing days in the six months ended June 30, 2016 compared to 2015. The revenue increase in the remaining markets in APME is due to an increase in our Manpower staffing service revenues, primarily in Korea, India, Taiwan and the Philippines, and growth in our ManpowerGroup Solutions and permanent recruitment businesses.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Gross profit margin was flat in the second quarter of 2016 compared to 2015 as the decrease in our staffing/interim margin due to direct cost increases in certain markets and changes in business mix, was offset by an increase of 10.3% in our permanent recruitment business (13.0% in constant currency and 9.8% in organic constant currency) and growth in our higher-margin ManpowerGroup Solutions business.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the first half of 2016 compared to 2015 primarily due to a decrease in our staffing/interim margin as a result of direct cost increases in certain markets and changes in business mix, partially offset by an increase of 4.7% in our permanent recruitment business (9.2% in constant currency and 5.6% in organic constant currency) and growth in our higher-margin ManpowerGroup Solutions business.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increased 7.3% (6.5% in constant currency and 3.4% in organic constant currency) in the second quarter of 2016 compared to 2015. Selling and administrative expenses increased 5.9% (7.4% in constant currency and 3.4% in organic constant currency) in the six months ended June 30, 2016 compared to 2015. The increases were due to the increase in organic salary-related costs because of higher headcount to support the organic constant currency increase in revenues and additional recurring selling and administrative costs incurred as a result of acquisitions, partially offset by the cost savings resulting from the restructuring actions taken in the fourth quarter of 2015.</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OUP margin for APME increased to 3.6% in the second quarter of 2016 from 3.3% in 2015 due to expense management and improved operational leverage, as we were able to support an increase in revenues without a similar increase in expenses.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OUP margin for APME increased to 3.5% in the six months ended June 30, 2016 from 3.4% in 2015 due to expense management and improved operational leverage, as we were able to support an increase in revenues without a similar increase in expenses, partially offset by the decrease in our gross profit margin.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Management</w:t>
      </w:r>
    </w:p>
    <w:p>
      <w:pPr>
        <w:spacing w:after="0" w:line="2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Revenues from services increased 0.9% (2.6% in constant currency) in the second quarter of 2016 compared to 2015. The increase is primarily due to the 8.4% (10.2% in constant currency) increase in our outplacement services, mostly from growth in our Americas markets, primarily driven by strong sales execution in the United States and continued opportunities in the energy sector. Our talent management business decreased 16.4% (-14.8% in constant currency) in the second quarter of 2016 compared to 2015 due to softening demand in all of our markets.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Revenues from services increased 0.2% (2.5% in constant currency) in the six months ended June 30, 2016 compared to 2015. The increase is primarily due to the 7.7% (10.1% in constant currency) increase in our outplacement services, mostly from growth in our Americas markets, primarily driven by strong sales execution in the United States and continued opportunities in the energy sector. Our talent management business decreased 18.8% (-16.8% in constant currency) in the six months ended June 30, 2016 compared to 2015 due to softening demand in all of our markets.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second quarter of 2016 compared to 2015 due to the increase in the outplacement business gross profit margin and the change in business mix as the higher-margin outplacement business represented a greater percentage of the revenue mix.</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362" w:right="279" w:bottom="1440" w:gutter="0" w:footer="0" w:header="0"/>
        </w:sectPr>
      </w:pPr>
    </w:p>
    <w:bookmarkStart w:id="25" w:name="page26"/>
    <w:bookmarkEnd w:id="25"/>
    <w:p>
      <w:pPr>
        <w:ind w:right="10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six months ended June 30, 2016 compared to 2015 due to the change in business mix as the higher-margin outplacement business represented a greater percentage of the revenue mix.</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5.5% (-4.1% in constant currency) in the second quarter of 2016 compared to 2015 and decreased 7.1% (-5.1% in constant currency) in the six months ended June 30, 2016 compared to 2015. The decreases were due to the cost savings from more efficient delivery solutions.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OUP margin for Right Management was 19.8% in the second quarter of 2016 compared to 16.2% in 2015. OUP margin was 17.5% in the six months ended June 30, 2016 compared to 12.7% in 2015. The increases were due to the improvement in our gross profit margin and improved operational leverage.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3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 reconciliation of these Non-GAAP percentage variances to those calculated based on our GAAP financial results is provided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3 Months Ended June 30, 2016 Compared to 2015</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Impact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Constant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Reported</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61"/>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62" w:lineRule="exact"/>
              <w:rPr>
                <w:sz w:val="20"/>
                <w:szCs w:val="20"/>
                <w:color w:val="auto"/>
              </w:rPr>
            </w:pPr>
            <w:r>
              <w:rPr>
                <w:rFonts w:ascii="Times New Roman" w:cs="Times New Roman" w:eastAsia="Times New Roman" w:hAnsi="Times New Roman"/>
                <w:sz w:val="18"/>
                <w:szCs w:val="18"/>
                <w:color w:val="auto"/>
                <w:w w:val="95"/>
              </w:rPr>
              <w:t>Amount</w:t>
            </w:r>
            <w:r>
              <w:rPr>
                <w:rFonts w:ascii="Times New Roman" w:cs="Times New Roman" w:eastAsia="Times New Roman" w:hAnsi="Times New Roman"/>
                <w:sz w:val="25"/>
                <w:szCs w:val="25"/>
                <w:color w:val="auto"/>
                <w:w w:val="95"/>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Variance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Variance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355.7</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1,081.0</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1,252.2</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299.8</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379.4</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1,931.4</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r>
      <w:tr>
        <w:trPr>
          <w:trHeight w:val="264"/>
        </w:trPr>
        <w:tc>
          <w:tcPr>
            <w:tcW w:w="3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1,322.3</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614.6</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5,022.1</w:t>
            </w:r>
          </w:p>
        </w:tc>
        <w:tc>
          <w:tcPr>
            <w:tcW w:w="122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860.7</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664.7</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196.0</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three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7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6 Months Ended June 30, 2016 Compared to 2015</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Impact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Constant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Reported</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61"/>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62" w:lineRule="exact"/>
              <w:rPr>
                <w:sz w:val="20"/>
                <w:szCs w:val="20"/>
                <w:color w:val="auto"/>
              </w:rPr>
            </w:pPr>
            <w:r>
              <w:rPr>
                <w:rFonts w:ascii="Times New Roman" w:cs="Times New Roman" w:eastAsia="Times New Roman" w:hAnsi="Times New Roman"/>
                <w:sz w:val="18"/>
                <w:szCs w:val="18"/>
                <w:color w:val="auto"/>
                <w:w w:val="95"/>
              </w:rPr>
              <w:t>Amount</w:t>
            </w:r>
            <w:r>
              <w:rPr>
                <w:rFonts w:ascii="Times New Roman" w:cs="Times New Roman" w:eastAsia="Times New Roman" w:hAnsi="Times New Roman"/>
                <w:sz w:val="25"/>
                <w:szCs w:val="25"/>
                <w:color w:val="auto"/>
                <w:w w:val="95"/>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Variance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Variance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698.5</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2,331.0</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725.2</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3,619.1</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2,536.2</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1,190.8</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136.8</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9,609.8</w:t>
            </w:r>
          </w:p>
        </w:tc>
        <w:tc>
          <w:tcPr>
            <w:tcW w:w="122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1,634.5</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1,306.8</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327.7</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six months ended June 30,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is also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 As of June 30, 2016, we had $142.3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$262.1 million during the six months ended June 30, 2016 compared to $38.8 million during the six months ended June 30, 2015. Changes in operating assets and liabilities utilized $21.4 million of cash during the six months ended June 30, 2016 compared to $238.7 million during the six months ended June 30, 2015. These changes are primarily attributable to the 2016 sale of $143.1 million of our CICE payroll tax credits (the 2015 sale occurred in the third quarter), partly offset by the timing of collections and payments.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accounts receivable increased to $4,462.3 million as of June 30, 2016 from $4,243.0 million as of December 31, 2015. This increase is mostly due to the increase in revenues and a higher Days Sales Outstanding ("DSO"), which is up 1.3 days from December 31, 2015 due primarily to the timing of month-end collections. At constant exchange rates, the June 30, 2016 balance would have been approximately $34.6 million lower than reported.</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Capital expenditures were $30.8 million in the six months ended June 30, 2016 compared to $20.1 million in the six months ended June 30, 2015. These expenditures were primarily comprised of purchases of computer equipment, office furniture and other costs related to office openings and refurbishments. The increase in 2016 compared to 2015 is primarily due to our investment in recruiting centers.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22" w:right="239" w:bottom="1440" w:gutter="0" w:footer="0" w:header="0"/>
          <w:type w:val="continuous"/>
        </w:sectPr>
      </w:pPr>
    </w:p>
    <w:bookmarkStart w:id="28" w:name="page29"/>
    <w:bookmarkEnd w:id="28"/>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$41.2 million for the six months ended June 30, 2016, the majority of which took place in the Netherlands in the second quarter. The total cash consideration for acquisitions, net of cash acquired, was $30.4 million for the six months ended June 30, 2015.</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debt repayments were $21.0 million in the six months ended June 30, 2016 compared to net borrowings of $3.2 million in the six months ended June 30, 2015.</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€400.0 million notes and €350.0 million notes are due September 2022 and June 2018, respectively. When these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of the notes.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2016, we had letters of credit totaling $0.8 million issued under our $600.0 million revolving credit facility. Additional borrowings of $599.2 million were available to us under the facility as of June 30, 2016.</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$600.0 million revolving credit agreement requires that we comply with a leverage ratio (Debt-to-EBITDA) of not greater than 3.5 to 1 and a fixed charge coverage ratio of not less than 1.5 to 1. As defined in the agreement, we had a Debt-to-EBITDA ratio of 0.87 to 1 and a fixed charge coverage ratio of 4.71 to 1 as of June 30, 2016. Based on our current forecast, we expect to be in compliance with our financial covenants for the next 12 months.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June 30, 2016, such credit lines totaled $285.5 million, and additional borrowings of $260.5 million could have been made under these lines. Under the revolving credit agreement, total subsidiary borrowings cannot exceed $300.0 million in the first, second and fourth quarters, and $600.0 million in the third quarter of each year.</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3, 2016 and April 28, 2015, the Board of Directors declared a semi-annual cash dividend of $0.86 and $0.80 per share, respectively. The 2016 dividends were paid on June 15, 2016 to shareholders of record on June 1, 2016. The 2015 dividends were paid on June 15, 2015 to shareholders of record on June 1, 2015.</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2016, the Board of Directors authorized the repurchase of an additional 6.0 million shares of our common stock, with terms consistent with the previous authorization. This authorization was in addition to the October 2015 authorization to repurchase 6.0 million shares of our common stock and the December 2012 authorization to repurchase 8.0 million shares of our common stock. Share repurchases may be made from time to time through a variety of methods, including open market purchases, block transactions, privately negotiated transactions or similar facilities. During the six months of 2016, we repurchased 3.8 million shares at a cost of $290.5 million under the 2015 authorization. During the six months of 2015, we repurchased 2.0 million shares at a cost of $168.7 million under the 2012 authorization. As of June 30, 2016, there were 1.5 million shares remaining authorized for repurchase under the 2015 authorization and no shares remaining under the 2012 authorization.</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had aggregate commitments related to debt repayments, operating leases, severances and office closure costs, and certain other commitments of $1,766.8 million as of June 30, 2016 compared to $1,796.9 million as of December 31, 2015.</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that total approximately $177.9 million and $190.2 million as of June 30, 2016 and December 31, 2015, respectively, consisting of $131.0 million and $144.7 million for guarantees, respectively, and $46.9 million and $45.5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$0.9 million and $0.7 million for the six months ended June 30, 2016 and 2015, respectively.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2016, we made payments of $6.6 million out of our restructuring reserve that was created in 2013 and 2015. We expect a majority of the remaining $9.8 million reserve will be paid by the end of 2016.</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364"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2015,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2015 Annual Report on Form 10-K contains certain disclosures about market risks affecting us. There have been no material changes to the information provided which would require additional disclosures as of the date of this filing.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ind w:left="43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22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conduct share repurchases from time to time through a variety of methods, including open market purchases, block transactions, privately negotiated transactions or similar facilities. The following table shows the total amount of shares repurchased during the second quarter of 2016, which were made pursuant to the Board of Directors' October 2015 authorization for the repurchase of up to 6.0 million shares of our common stock</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5860" w:type="dxa"/>
            <w:vAlign w:val="bottom"/>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8"/>
        </w:trPr>
        <w:tc>
          <w:tcPr>
            <w:tcW w:w="2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2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2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38"/>
        </w:trPr>
        <w:tc>
          <w:tcPr>
            <w:tcW w:w="2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7"/>
        </w:trPr>
        <w:tc>
          <w:tcPr>
            <w:tcW w:w="25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1- 30, 2016</w:t>
            </w:r>
          </w:p>
        </w:tc>
        <w:tc>
          <w:tcPr>
            <w:tcW w:w="4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3,757,467</w:t>
            </w: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1 - 31, 2016</w:t>
            </w:r>
          </w:p>
        </w:tc>
        <w:tc>
          <w:tcPr>
            <w:tcW w:w="4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1,050,000</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2,707,467</w:t>
            </w:r>
          </w:p>
        </w:tc>
      </w:tr>
      <w:tr>
        <w:trPr>
          <w:trHeight w:val="27"/>
        </w:trPr>
        <w:tc>
          <w:tcPr>
            <w:tcW w:w="2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1 - 30, 2016</w:t>
            </w:r>
          </w:p>
        </w:tc>
        <w:tc>
          <w:tcPr>
            <w:tcW w:w="26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1,170,223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1,170,223</w:t>
            </w: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1,537,244</w:t>
            </w:r>
          </w:p>
        </w:tc>
      </w:tr>
      <w:tr>
        <w:trPr>
          <w:trHeight w:val="257"/>
        </w:trPr>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2,260,223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2,260,223</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1,537,244</w:t>
            </w:r>
          </w:p>
        </w:tc>
      </w:tr>
      <w:tr>
        <w:trPr>
          <w:trHeight w:val="20"/>
        </w:trPr>
        <w:tc>
          <w:tcPr>
            <w:tcW w:w="2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2016, the Board of Directors authorized the repurchase of an additional 6.0 million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2016:</w:t>
      </w:r>
    </w:p>
    <w:p>
      <w:pPr>
        <w:spacing w:after="0" w:line="108" w:lineRule="exact"/>
        <w:rPr>
          <w:sz w:val="20"/>
          <w:szCs w:val="20"/>
          <w:color w:val="auto"/>
        </w:rPr>
      </w:pPr>
    </w:p>
    <w:p>
      <w:pPr>
        <w:ind w:left="500" w:hanging="465"/>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value-added tax;</w:t>
      </w:r>
    </w:p>
    <w:p>
      <w:pPr>
        <w:spacing w:after="0" w:line="238" w:lineRule="exact"/>
        <w:rPr>
          <w:rFonts w:ascii="Times New Roman" w:cs="Times New Roman" w:eastAsia="Times New Roman" w:hAnsi="Times New Roman"/>
          <w:sz w:val="18"/>
          <w:szCs w:val="18"/>
          <w:color w:val="auto"/>
        </w:rPr>
      </w:pPr>
    </w:p>
    <w:p>
      <w:pPr>
        <w:ind w:left="500" w:right="380" w:hanging="465"/>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75"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and certifications where required.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Compensatory Arrangements of Certain Officers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July 28, 2016, ManpowerGroup Inc. (the “Company”) entered into a severance agreement with Darryl Green. This severance agreement replaces a similar agreement scheduled to expire on August 1, 2016. The new severance agreement expires on the first to occur of (1) the date two years after the occurrence of a change of control of the Company or (2) July 28, 2019, if no such change of control occurs before July 28, 2019. Aside from the new term, the severance agreement is in substantially the same form but with an adjustment to the definition of "good reason" and an updated nondisclosure provision.</w:t>
      </w:r>
    </w:p>
    <w:p>
      <w:pPr>
        <w:spacing w:after="0" w:line="19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severance agreement filed herewith as exhibit 10.1, which is incorporated by reference into this report.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10.1</w:t>
        <w:tab/>
        <w:t>Severance Agreement between Darryl Green and the Company dated as of July 28, 2016.</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387" w:lineRule="exact"/>
        <w:rPr>
          <w:sz w:val="20"/>
          <w:szCs w:val="20"/>
          <w:color w:val="auto"/>
        </w:rPr>
      </w:pPr>
    </w:p>
    <w:p>
      <w:pPr>
        <w:ind w:left="600" w:hanging="56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31.2</w:t>
        <w:tab/>
        <w:t>Certification of John T. McGinnis, Executive Vice President and Chief Financial Officer, pursuant to Section 13a-14(a) of the Securities Exchange Act of 1934.</w:t>
      </w:r>
    </w:p>
    <w:p>
      <w:pPr>
        <w:spacing w:after="0" w:line="324"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John T. McGinnis, Executive Vice President and Chief Financial Officer, pursuant to 18 U.S.C. ss. 1350.</w:t>
      </w:r>
    </w:p>
    <w:p>
      <w:pPr>
        <w:spacing w:after="0" w:line="387" w:lineRule="exact"/>
        <w:rPr>
          <w:sz w:val="20"/>
          <w:szCs w:val="20"/>
          <w:color w:val="auto"/>
        </w:rPr>
      </w:pPr>
    </w:p>
    <w:p>
      <w:pPr>
        <w:ind w:left="600" w:hanging="565"/>
        <w:spacing w:after="0" w:line="266"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June 30, 2016,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60"/>
          </w:cols>
          <w:pgMar w:left="240" w:top="364" w:right="499" w:bottom="1440" w:gutter="0" w:footer="0" w:header="0"/>
        </w:sectPr>
      </w:pPr>
    </w:p>
    <w:bookmarkStart w:id="32" w:name="page33"/>
    <w:bookmarkEnd w:id="32"/>
    <w:p>
      <w:pPr>
        <w:ind w:left="5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29, 2016</w:t>
      </w:r>
    </w:p>
    <w:p>
      <w:pPr>
        <w:spacing w:after="0" w:line="36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John T. McGinnis</w:t>
      </w:r>
    </w:p>
    <w:p>
      <w:pPr>
        <w:spacing w:after="0" w:line="6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440" w:right="2520"/>
        <w:spacing w:after="0" w:line="261" w:lineRule="auto"/>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80"/>
          </w:cols>
          <w:pgMar w:left="240" w:top="1225" w:right="37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Severance Agreement between Darryl Green and the Company dated as of July 28, 2016.</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387" w:lineRule="exact"/>
        <w:rPr>
          <w:sz w:val="20"/>
          <w:szCs w:val="20"/>
          <w:color w:val="auto"/>
        </w:rPr>
      </w:pPr>
    </w:p>
    <w:p>
      <w:pPr>
        <w:ind w:left="1140" w:right="220" w:hanging="47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31.2</w:t>
        <w:tab/>
        <w:t>Certification of John T. McGinnis, Executive Vice President and Chief Financial Officer, pursuant to Section 13a-14(a) of the Securities Exchange Act of 1934.</w:t>
      </w:r>
    </w:p>
    <w:p>
      <w:pPr>
        <w:spacing w:after="0" w:line="3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John T. McGinnis, Executive Vice President and Chief Financial Officer, pursuant to 18 U.S.C. ss. 1350.</w:t>
      </w:r>
    </w:p>
    <w:p>
      <w:pPr>
        <w:spacing w:after="0" w:line="387" w:lineRule="exact"/>
        <w:rPr>
          <w:sz w:val="20"/>
          <w:szCs w:val="20"/>
          <w:color w:val="auto"/>
        </w:rPr>
      </w:pPr>
    </w:p>
    <w:p>
      <w:pPr>
        <w:ind w:left="1140" w:hanging="441"/>
        <w:spacing w:after="0" w:line="289"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Quarterly Report on Form 10-Q for the quarter ended June 30, 2016,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400" w:top="360"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28, 2016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Darryl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 53212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Darryl:</w:t>
      </w:r>
    </w:p>
    <w:p>
      <w:pPr>
        <w:spacing w:after="0" w:line="225"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58"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letter:</w:t>
      </w:r>
    </w:p>
    <w:p>
      <w:pPr>
        <w:spacing w:after="0" w:line="225"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“Benefit Plans” means all benefits of employment generally made available to executives of the Corporation from time to time.</w:t>
      </w:r>
    </w:p>
    <w:p>
      <w:pPr>
        <w:spacing w:after="0" w:line="161" w:lineRule="exact"/>
        <w:rPr>
          <w:rFonts w:ascii="Times New Roman" w:cs="Times New Roman" w:eastAsia="Times New Roman" w:hAnsi="Times New Roman"/>
          <w:sz w:val="18"/>
          <w:szCs w:val="18"/>
          <w:color w:val="auto"/>
        </w:rPr>
      </w:pPr>
    </w:p>
    <w:p>
      <w:pPr>
        <w:ind w:left="1300" w:right="40" w:hanging="644"/>
        <w:spacing w:after="0" w:line="25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9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will mean the first to occur of the following:</w:t>
      </w:r>
    </w:p>
    <w:p>
      <w:pPr>
        <w:spacing w:after="0" w:line="225" w:lineRule="exact"/>
        <w:rPr>
          <w:rFonts w:ascii="Times New Roman" w:cs="Times New Roman" w:eastAsia="Times New Roman" w:hAnsi="Times New Roman"/>
          <w:sz w:val="18"/>
          <w:szCs w:val="18"/>
          <w:color w:val="auto"/>
        </w:rPr>
      </w:pPr>
    </w:p>
    <w:p>
      <w:pPr>
        <w:ind w:left="1960" w:hanging="655"/>
        <w:spacing w:after="0" w:line="255" w:lineRule="auto"/>
        <w:tabs>
          <w:tab w:leader="none" w:pos="19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w:t>
      </w:r>
    </w:p>
    <w:p>
      <w:pPr>
        <w:sectPr>
          <w:pgSz w:w="11900" w:h="16838" w:orient="portrait"/>
          <w:cols w:equalWidth="0" w:num="1">
            <w:col w:w="11420"/>
          </w:cols>
          <w:pgMar w:left="240" w:top="576" w:right="239" w:bottom="1440" w:gutter="0" w:footer="0" w:header="0"/>
        </w:sectPr>
      </w:pPr>
    </w:p>
    <w:bookmarkStart w:id="35" w:name="page36"/>
    <w:bookmarkEnd w:id="35"/>
    <w:p>
      <w:pPr>
        <w:ind w:left="1960" w:right="40"/>
        <w:spacing w:after="0" w:line="326" w:lineRule="auto"/>
        <w:rPr>
          <w:sz w:val="20"/>
          <w:szCs w:val="20"/>
          <w:color w:val="auto"/>
        </w:rPr>
      </w:pPr>
      <w:r>
        <w:rPr>
          <w:rFonts w:ascii="Times New Roman" w:cs="Times New Roman" w:eastAsia="Times New Roman" w:hAnsi="Times New Roman"/>
          <w:sz w:val="17"/>
          <w:szCs w:val="17"/>
          <w:color w:val="auto"/>
        </w:rPr>
        <w:t>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44" w:lineRule="exact"/>
        <w:rPr>
          <w:sz w:val="20"/>
          <w:szCs w:val="20"/>
          <w:color w:val="auto"/>
        </w:rPr>
      </w:pPr>
    </w:p>
    <w:p>
      <w:pPr>
        <w:ind w:left="1960" w:right="80" w:hanging="655"/>
        <w:spacing w:after="0" w:line="255" w:lineRule="auto"/>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9"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liquidation or dissolution of the Corporation or a sale or other disposition of all or substantially all of the assets of the Corporation; or</w:t>
      </w:r>
    </w:p>
    <w:p>
      <w:pPr>
        <w:spacing w:after="0" w:line="161" w:lineRule="exact"/>
        <w:rPr>
          <w:rFonts w:ascii="Times New Roman" w:cs="Times New Roman" w:eastAsia="Times New Roman" w:hAnsi="Times New Roman"/>
          <w:sz w:val="18"/>
          <w:szCs w:val="18"/>
          <w:color w:val="auto"/>
        </w:rPr>
      </w:pPr>
    </w:p>
    <w:p>
      <w:pPr>
        <w:ind w:left="1960" w:right="20" w:hanging="655"/>
        <w:spacing w:after="0" w:line="221" w:lineRule="exact"/>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12(c); or</w:t>
      </w:r>
    </w:p>
    <w:p>
      <w:pPr>
        <w:spacing w:after="0" w:line="183" w:lineRule="exact"/>
        <w:rPr>
          <w:rFonts w:ascii="Times New Roman" w:cs="Times New Roman" w:eastAsia="Times New Roman" w:hAnsi="Times New Roman"/>
          <w:sz w:val="18"/>
          <w:szCs w:val="18"/>
          <w:color w:val="auto"/>
        </w:rPr>
      </w:pPr>
    </w:p>
    <w:p>
      <w:pPr>
        <w:ind w:left="1960" w:right="400" w:hanging="655"/>
        <w:spacing w:after="0" w:line="261" w:lineRule="auto"/>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w:t>
      </w:r>
    </w:p>
    <w:p>
      <w:pPr>
        <w:ind w:left="1960" w:right="320"/>
        <w:spacing w:after="0" w:line="250" w:lineRule="auto"/>
        <w:rPr>
          <w:sz w:val="20"/>
          <w:szCs w:val="20"/>
          <w:color w:val="auto"/>
        </w:rPr>
      </w:pPr>
      <w:r>
        <w:rPr>
          <w:rFonts w:ascii="Times New Roman" w:cs="Times New Roman" w:eastAsia="Times New Roman" w:hAnsi="Times New Roman"/>
          <w:sz w:val="18"/>
          <w:szCs w:val="18"/>
          <w:color w:val="auto"/>
        </w:rPr>
        <w:t>power of the outstanding voting securities of the Corporation entitled to vote generally in the election of directors, after giving effect to such transaction.</w:t>
      </w:r>
    </w:p>
    <w:p>
      <w:pPr>
        <w:spacing w:after="0" w:line="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8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“Good Reason” will mean, without your consent, the occurrence of any one or more of the following during the Term:</w:t>
      </w:r>
    </w:p>
    <w:p>
      <w:pPr>
        <w:spacing w:after="0" w:line="225" w:lineRule="exact"/>
        <w:rPr>
          <w:rFonts w:ascii="Times New Roman" w:cs="Times New Roman" w:eastAsia="Times New Roman" w:hAnsi="Times New Roman"/>
          <w:sz w:val="18"/>
          <w:szCs w:val="18"/>
          <w:color w:val="auto"/>
        </w:rPr>
      </w:pPr>
    </w:p>
    <w:p>
      <w:pPr>
        <w:ind w:left="1960" w:right="120" w:hanging="655"/>
        <w:spacing w:after="0" w:line="282"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any material obligation of any member of the Consolidated ManpowerGroup for the payment or provision of compensation or other benefits to you;</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w:t>
      </w:r>
    </w:p>
    <w:p>
      <w:pPr>
        <w:spacing w:after="0" w:line="225" w:lineRule="exact"/>
        <w:rPr>
          <w:rFonts w:ascii="Times New Roman" w:cs="Times New Roman" w:eastAsia="Times New Roman" w:hAnsi="Times New Roman"/>
          <w:sz w:val="18"/>
          <w:szCs w:val="18"/>
          <w:color w:val="auto"/>
        </w:rPr>
      </w:pPr>
    </w:p>
    <w:p>
      <w:pPr>
        <w:ind w:left="1960" w:right="380" w:hanging="655"/>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76" w:lineRule="exact"/>
        <w:rPr>
          <w:rFonts w:ascii="Times New Roman" w:cs="Times New Roman" w:eastAsia="Times New Roman" w:hAnsi="Times New Roman"/>
          <w:sz w:val="18"/>
          <w:szCs w:val="18"/>
          <w:color w:val="auto"/>
        </w:rPr>
      </w:pPr>
    </w:p>
    <w:p>
      <w:pPr>
        <w:ind w:left="1960" w:right="140" w:hanging="655"/>
        <w:spacing w:after="0" w:line="282"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your annual target bonus opportunity for a given fiscal year (as compared to</w:t>
      </w:r>
    </w:p>
    <w:p>
      <w:pPr>
        <w:sectPr>
          <w:pgSz w:w="11900" w:h="16838" w:orient="portrait"/>
          <w:cols w:equalWidth="0" w:num="1">
            <w:col w:w="11380"/>
          </w:cols>
          <w:pgMar w:left="240" w:top="607" w:right="279" w:bottom="1440" w:gutter="0" w:footer="0" w:header="0"/>
        </w:sectPr>
      </w:pPr>
    </w:p>
    <w:bookmarkStart w:id="36" w:name="page37"/>
    <w:bookmarkEnd w:id="36"/>
    <w:p>
      <w:pPr>
        <w:ind w:left="1960" w:right="340"/>
        <w:spacing w:after="0" w:line="329" w:lineRule="auto"/>
        <w:rPr>
          <w:sz w:val="20"/>
          <w:szCs w:val="20"/>
          <w:color w:val="auto"/>
        </w:rPr>
      </w:pPr>
      <w:r>
        <w:rPr>
          <w:rFonts w:ascii="Times New Roman" w:cs="Times New Roman" w:eastAsia="Times New Roman" w:hAnsi="Times New Roman"/>
          <w:sz w:val="18"/>
          <w:szCs w:val="18"/>
          <w:color w:val="auto"/>
        </w:rPr>
        <w:t>the prior fiscal year) which is not accompanied by a material diminution in your authority, duties or responsibilities, but which reduction occurs within two years after the occurrence of a Change of Control; or</w:t>
      </w:r>
    </w:p>
    <w:p>
      <w:pPr>
        <w:spacing w:after="0" w:line="135" w:lineRule="exact"/>
        <w:rPr>
          <w:sz w:val="20"/>
          <w:szCs w:val="20"/>
          <w:color w:val="auto"/>
        </w:rPr>
      </w:pPr>
    </w:p>
    <w:p>
      <w:pPr>
        <w:ind w:left="1960" w:right="260" w:hanging="655"/>
        <w:spacing w:after="0" w:line="282" w:lineRule="auto"/>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89" w:lineRule="exact"/>
        <w:rPr>
          <w:sz w:val="20"/>
          <w:szCs w:val="20"/>
          <w:color w:val="auto"/>
        </w:rPr>
      </w:pPr>
    </w:p>
    <w:p>
      <w:pPr>
        <w:ind w:left="1300" w:right="10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3"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Period</w:t>
      </w:r>
      <w:r>
        <w:rPr>
          <w:rFonts w:ascii="Times New Roman" w:cs="Times New Roman" w:eastAsia="Times New Roman" w:hAnsi="Times New Roman"/>
          <w:sz w:val="18"/>
          <w:szCs w:val="18"/>
          <w:color w:val="auto"/>
        </w:rPr>
        <w:t>. The “Protected Period” shall be a period of time determined in accordance with the following:</w:t>
      </w:r>
    </w:p>
    <w:p>
      <w:pPr>
        <w:spacing w:after="0" w:line="225" w:lineRule="exact"/>
        <w:rPr>
          <w:rFonts w:ascii="Times New Roman" w:cs="Times New Roman" w:eastAsia="Times New Roman" w:hAnsi="Times New Roman"/>
          <w:sz w:val="18"/>
          <w:szCs w:val="18"/>
          <w:color w:val="auto"/>
        </w:rPr>
      </w:pPr>
    </w:p>
    <w:p>
      <w:pPr>
        <w:ind w:left="1960" w:right="20" w:hanging="655"/>
        <w:spacing w:after="0" w:line="261"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80" w:lineRule="exact"/>
        <w:rPr>
          <w:rFonts w:ascii="Times New Roman" w:cs="Times New Roman" w:eastAsia="Times New Roman" w:hAnsi="Times New Roman"/>
          <w:sz w:val="18"/>
          <w:szCs w:val="18"/>
          <w:color w:val="auto"/>
        </w:rPr>
      </w:pPr>
    </w:p>
    <w:p>
      <w:pPr>
        <w:ind w:left="1960" w:hanging="655"/>
        <w:spacing w:after="0" w:line="261"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80" w:lineRule="exact"/>
        <w:rPr>
          <w:rFonts w:ascii="Times New Roman" w:cs="Times New Roman" w:eastAsia="Times New Roman" w:hAnsi="Times New Roman"/>
          <w:sz w:val="18"/>
          <w:szCs w:val="18"/>
          <w:color w:val="auto"/>
        </w:rPr>
      </w:pPr>
    </w:p>
    <w:p>
      <w:pPr>
        <w:ind w:left="1960" w:right="220" w:hanging="655"/>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ectPr>
          <w:pgSz w:w="11900" w:h="16838" w:orient="portrait"/>
          <w:cols w:equalWidth="0" w:num="1">
            <w:col w:w="11400"/>
          </w:cols>
          <w:pgMar w:left="240" w:top="607" w:right="259" w:bottom="1440" w:gutter="0" w:footer="0" w:header="0"/>
        </w:sectPr>
      </w:pPr>
    </w:p>
    <w:bookmarkStart w:id="37" w:name="page38"/>
    <w:bookmarkEnd w:id="37"/>
    <w:p>
      <w:pPr>
        <w:ind w:left="1292" w:right="100" w:hanging="644"/>
        <w:spacing w:after="0" w:line="261" w:lineRule="auto"/>
        <w:tabs>
          <w:tab w:leader="none" w:pos="12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 year anniversary of the date of this letter indicated above if no Change of Control occurs between the date of this letter indicated above and such three year anniversary; or (c) the Date of Termination.</w:t>
      </w:r>
    </w:p>
    <w:p>
      <w:pPr>
        <w:spacing w:after="0" w:line="18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on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right="40" w:hanging="644"/>
        <w:spacing w:after="0" w:line="256" w:lineRule="auto"/>
        <w:tabs>
          <w:tab w:leader="none" w:pos="12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Consolidated ManpowerGroup for Cause or by You Other Than for Good Reason</w:t>
      </w:r>
      <w:r>
        <w:rPr>
          <w:rFonts w:ascii="Times New Roman" w:cs="Times New Roman" w:eastAsia="Times New Roman" w:hAnsi="Times New Roman"/>
          <w:sz w:val="18"/>
          <w:szCs w:val="18"/>
          <w:color w:val="auto"/>
        </w:rPr>
        <w:t>. If your employment with the Consolidated ManpowerGroup is terminated by the Consolidated ManpowerGroup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87" w:lineRule="exact"/>
        <w:rPr>
          <w:rFonts w:ascii="Times New Roman" w:cs="Times New Roman" w:eastAsia="Times New Roman" w:hAnsi="Times New Roman"/>
          <w:sz w:val="18"/>
          <w:szCs w:val="18"/>
          <w:color w:val="auto"/>
        </w:rPr>
      </w:pPr>
    </w:p>
    <w:p>
      <w:pPr>
        <w:ind w:left="1292" w:hanging="644"/>
        <w:spacing w:after="0" w:line="254" w:lineRule="auto"/>
        <w:tabs>
          <w:tab w:leader="none" w:pos="12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 or Death</w:t>
      </w:r>
      <w:r>
        <w:rPr>
          <w:rFonts w:ascii="Times New Roman" w:cs="Times New Roman" w:eastAsia="Times New Roman" w:hAnsi="Times New Roman"/>
          <w:sz w:val="18"/>
          <w:szCs w:val="18"/>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86" w:lineRule="exact"/>
        <w:rPr>
          <w:rFonts w:ascii="Times New Roman" w:cs="Times New Roman" w:eastAsia="Times New Roman" w:hAnsi="Times New Roman"/>
          <w:sz w:val="18"/>
          <w:szCs w:val="18"/>
          <w:color w:val="auto"/>
        </w:rPr>
      </w:pPr>
    </w:p>
    <w:p>
      <w:pPr>
        <w:ind w:left="1292" w:right="40" w:hanging="644"/>
        <w:spacing w:after="0" w:line="266" w:lineRule="auto"/>
        <w:tabs>
          <w:tab w:leader="none" w:pos="12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Any Other Reason - Other than in a Change of Control</w:t>
      </w:r>
      <w:r>
        <w:rPr>
          <w:rFonts w:ascii="Times New Roman" w:cs="Times New Roman" w:eastAsia="Times New Roman" w:hAnsi="Times New Roman"/>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76" w:lineRule="exact"/>
        <w:rPr>
          <w:rFonts w:ascii="Times New Roman" w:cs="Times New Roman" w:eastAsia="Times New Roman" w:hAnsi="Times New Roman"/>
          <w:sz w:val="18"/>
          <w:szCs w:val="18"/>
          <w:color w:val="auto"/>
        </w:rPr>
      </w:pPr>
    </w:p>
    <w:p>
      <w:pPr>
        <w:ind w:left="2592" w:right="440" w:hanging="647"/>
        <w:spacing w:after="0" w:line="282" w:lineRule="auto"/>
        <w:tabs>
          <w:tab w:leader="none" w:pos="25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unpaid bonus, if any, attributable to any complete fiscal year of the Consolidated ManpowerGroup ended before the Date of Termination;</w:t>
      </w:r>
    </w:p>
    <w:p>
      <w:pPr>
        <w:spacing w:after="0" w:line="161" w:lineRule="exact"/>
        <w:rPr>
          <w:rFonts w:ascii="Times New Roman" w:cs="Times New Roman" w:eastAsia="Times New Roman" w:hAnsi="Times New Roman"/>
          <w:sz w:val="18"/>
          <w:szCs w:val="18"/>
          <w:color w:val="auto"/>
        </w:rPr>
      </w:pPr>
    </w:p>
    <w:p>
      <w:pPr>
        <w:ind w:left="2592" w:right="80" w:hanging="647"/>
        <w:spacing w:after="0" w:line="258" w:lineRule="auto"/>
        <w:tabs>
          <w:tab w:leader="none" w:pos="25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3" w:lineRule="exact"/>
        <w:rPr>
          <w:rFonts w:ascii="Times New Roman" w:cs="Times New Roman" w:eastAsia="Times New Roman" w:hAnsi="Times New Roman"/>
          <w:sz w:val="18"/>
          <w:szCs w:val="18"/>
          <w:color w:val="auto"/>
        </w:rPr>
      </w:pPr>
    </w:p>
    <w:p>
      <w:pPr>
        <w:jc w:val="both"/>
        <w:ind w:left="2592" w:right="100" w:hanging="647"/>
        <w:spacing w:after="0" w:line="266" w:lineRule="auto"/>
        <w:tabs>
          <w:tab w:leader="none" w:pos="25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47" w:lineRule="exact"/>
        <w:rPr>
          <w:rFonts w:ascii="Times New Roman" w:cs="Times New Roman" w:eastAsia="Times New Roman" w:hAnsi="Times New Roman"/>
          <w:sz w:val="18"/>
          <w:szCs w:val="18"/>
          <w:color w:val="auto"/>
        </w:rPr>
      </w:pPr>
    </w:p>
    <w:p>
      <w:pPr>
        <w:ind w:left="2592" w:right="80" w:hanging="647"/>
        <w:spacing w:after="0" w:line="224" w:lineRule="exact"/>
        <w:tabs>
          <w:tab w:leader="none" w:pos="25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following your termination, and any such benefits actually received by you or your dependents will be reported to the Corporation; and provided, further that any insurance</w:t>
      </w:r>
    </w:p>
    <w:p>
      <w:pPr>
        <w:sectPr>
          <w:pgSz w:w="11900" w:h="16838" w:orient="portrait"/>
          <w:cols w:equalWidth="0" w:num="1">
            <w:col w:w="11392"/>
          </w:cols>
          <w:pgMar w:left="248" w:top="796" w:right="259" w:bottom="1440" w:gutter="0" w:footer="0" w:header="0"/>
        </w:sectPr>
      </w:pPr>
    </w:p>
    <w:bookmarkStart w:id="38" w:name="page39"/>
    <w:bookmarkEnd w:id="38"/>
    <w:p>
      <w:pPr>
        <w:ind w:left="1944" w:right="160"/>
        <w:spacing w:after="0" w:line="329" w:lineRule="auto"/>
        <w:rPr>
          <w:sz w:val="20"/>
          <w:szCs w:val="20"/>
          <w:color w:val="auto"/>
        </w:rPr>
      </w:pPr>
      <w:r>
        <w:rPr>
          <w:rFonts w:ascii="Times New Roman" w:cs="Times New Roman" w:eastAsia="Times New Roman" w:hAnsi="Times New Roman"/>
          <w:sz w:val="18"/>
          <w:szCs w:val="18"/>
          <w:color w:val="auto"/>
        </w:rPr>
        <w:t>continuation coverage that you may be entitled to receive under COBRA or similar foreign or state laws will commence on the Date of Termination.</w:t>
      </w:r>
    </w:p>
    <w:p>
      <w:pPr>
        <w:spacing w:after="0" w:line="135" w:lineRule="exact"/>
        <w:rPr>
          <w:sz w:val="20"/>
          <w:szCs w:val="20"/>
          <w:color w:val="auto"/>
        </w:rPr>
      </w:pPr>
    </w:p>
    <w:p>
      <w:pPr>
        <w:ind w:left="1944" w:right="40"/>
        <w:spacing w:after="0" w:line="252" w:lineRule="auto"/>
        <w:rPr>
          <w:sz w:val="20"/>
          <w:szCs w:val="20"/>
          <w:color w:val="auto"/>
        </w:rPr>
      </w:pPr>
      <w:r>
        <w:rPr>
          <w:rFonts w:ascii="Times New Roman" w:cs="Times New Roman" w:eastAsia="Times New Roman" w:hAnsi="Times New Roman"/>
          <w:sz w:val="18"/>
          <w:szCs w:val="18"/>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195" w:lineRule="exact"/>
        <w:rPr>
          <w:sz w:val="20"/>
          <w:szCs w:val="20"/>
          <w:color w:val="auto"/>
        </w:rPr>
      </w:pPr>
    </w:p>
    <w:p>
      <w:pPr>
        <w:ind w:left="1944" w:hanging="647"/>
        <w:spacing w:after="0" w:line="255" w:lineRule="auto"/>
        <w:tabs>
          <w:tab w:leader="none" w:pos="194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89" w:lineRule="exact"/>
        <w:rPr>
          <w:rFonts w:ascii="Times New Roman" w:cs="Times New Roman" w:eastAsia="Times New Roman" w:hAnsi="Times New Roman"/>
          <w:sz w:val="18"/>
          <w:szCs w:val="18"/>
          <w:color w:val="auto"/>
        </w:rPr>
      </w:pPr>
    </w:p>
    <w:p>
      <w:pPr>
        <w:ind w:left="644" w:right="40" w:hanging="644"/>
        <w:spacing w:after="0" w:line="266"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Any Other Reason - Change of Control</w:t>
      </w:r>
      <w:r>
        <w:rPr>
          <w:rFonts w:ascii="Times New Roman" w:cs="Times New Roman" w:eastAsia="Times New Roman" w:hAnsi="Times New Roman"/>
          <w:sz w:val="18"/>
          <w:szCs w:val="18"/>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76" w:lineRule="exact"/>
        <w:rPr>
          <w:rFonts w:ascii="Times New Roman" w:cs="Times New Roman" w:eastAsia="Times New Roman" w:hAnsi="Times New Roman"/>
          <w:sz w:val="18"/>
          <w:szCs w:val="18"/>
          <w:color w:val="auto"/>
        </w:rPr>
      </w:pPr>
    </w:p>
    <w:p>
      <w:pPr>
        <w:ind w:left="1944" w:right="440" w:hanging="647"/>
        <w:spacing w:after="0" w:line="282" w:lineRule="auto"/>
        <w:tabs>
          <w:tab w:leader="none" w:pos="19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your unpaid bonus, if any, attributable to any complete fiscal year of the Consolidated ManpowerGroup ended before the Date of Termination;</w:t>
      </w:r>
    </w:p>
    <w:p>
      <w:pPr>
        <w:spacing w:after="0" w:line="162" w:lineRule="exact"/>
        <w:rPr>
          <w:sz w:val="20"/>
          <w:szCs w:val="20"/>
          <w:color w:val="auto"/>
        </w:rPr>
      </w:pPr>
    </w:p>
    <w:p>
      <w:pPr>
        <w:ind w:left="1944" w:right="100" w:hanging="647"/>
        <w:spacing w:after="0" w:line="261"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0" w:lineRule="exact"/>
        <w:rPr>
          <w:rFonts w:ascii="Times New Roman" w:cs="Times New Roman" w:eastAsia="Times New Roman" w:hAnsi="Times New Roman"/>
          <w:sz w:val="18"/>
          <w:szCs w:val="18"/>
          <w:color w:val="auto"/>
        </w:rPr>
      </w:pPr>
    </w:p>
    <w:p>
      <w:pPr>
        <w:ind w:left="1944" w:right="400" w:hanging="647"/>
        <w:spacing w:after="0" w:line="266"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76" w:lineRule="exact"/>
        <w:rPr>
          <w:rFonts w:ascii="Times New Roman" w:cs="Times New Roman" w:eastAsia="Times New Roman" w:hAnsi="Times New Roman"/>
          <w:sz w:val="18"/>
          <w:szCs w:val="18"/>
          <w:color w:val="auto"/>
        </w:rPr>
      </w:pPr>
    </w:p>
    <w:p>
      <w:pPr>
        <w:ind w:left="1944" w:hanging="647"/>
        <w:spacing w:after="0" w:line="266"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an eighteen-month period after the Date of Termination, the Corporation will arrange to provide you and your eligible dependents, at the Consolidated ManpowerGroup’s expense, with Health Insurance Continuation (defined below), or</w:t>
      </w:r>
    </w:p>
    <w:p>
      <w:pPr>
        <w:sectPr>
          <w:pgSz w:w="11900" w:h="16838" w:orient="portrait"/>
          <w:cols w:equalWidth="0" w:num="1">
            <w:col w:w="10744"/>
          </w:cols>
          <w:pgMar w:left="896" w:top="607" w:right="259" w:bottom="1440" w:gutter="0" w:footer="0" w:header="0"/>
        </w:sectPr>
      </w:pPr>
    </w:p>
    <w:bookmarkStart w:id="39" w:name="page40"/>
    <w:bookmarkEnd w:id="39"/>
    <w:p>
      <w:pPr>
        <w:jc w:val="both"/>
        <w:ind w:left="1944" w:right="40"/>
        <w:spacing w:after="0" w:line="302" w:lineRule="auto"/>
        <w:rPr>
          <w:sz w:val="20"/>
          <w:szCs w:val="20"/>
          <w:color w:val="auto"/>
        </w:rPr>
      </w:pPr>
      <w:r>
        <w:rPr>
          <w:rFonts w:ascii="Times New Roman" w:cs="Times New Roman" w:eastAsia="Times New Roman" w:hAnsi="Times New Roman"/>
          <w:sz w:val="18"/>
          <w:szCs w:val="18"/>
          <w:color w:val="auto"/>
        </w:rPr>
        <w:t>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62" w:lineRule="exact"/>
        <w:rPr>
          <w:sz w:val="20"/>
          <w:szCs w:val="20"/>
          <w:color w:val="auto"/>
        </w:rPr>
      </w:pPr>
    </w:p>
    <w:p>
      <w:pPr>
        <w:ind w:left="1944"/>
        <w:spacing w:after="0" w:line="252" w:lineRule="auto"/>
        <w:rPr>
          <w:sz w:val="20"/>
          <w:szCs w:val="20"/>
          <w:color w:val="auto"/>
        </w:rPr>
      </w:pPr>
      <w:r>
        <w:rPr>
          <w:rFonts w:ascii="Times New Roman" w:cs="Times New Roman" w:eastAsia="Times New Roman" w:hAnsi="Times New Roman"/>
          <w:sz w:val="18"/>
          <w:szCs w:val="18"/>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96" w:lineRule="exact"/>
        <w:rPr>
          <w:sz w:val="20"/>
          <w:szCs w:val="20"/>
          <w:color w:val="auto"/>
        </w:rPr>
      </w:pPr>
    </w:p>
    <w:p>
      <w:pPr>
        <w:ind w:left="1944" w:right="20" w:hanging="647"/>
        <w:spacing w:after="0" w:line="255" w:lineRule="auto"/>
        <w:tabs>
          <w:tab w:leader="none" w:pos="19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89" w:lineRule="exact"/>
        <w:rPr>
          <w:rFonts w:ascii="Times New Roman" w:cs="Times New Roman" w:eastAsia="Times New Roman" w:hAnsi="Times New Roman"/>
          <w:sz w:val="18"/>
          <w:szCs w:val="18"/>
          <w:color w:val="auto"/>
        </w:rPr>
      </w:pPr>
    </w:p>
    <w:p>
      <w:pPr>
        <w:ind w:left="644" w:right="40" w:hanging="644"/>
        <w:spacing w:after="0" w:line="253"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Benefits</w:t>
      </w:r>
      <w:r>
        <w:rPr>
          <w:rFonts w:ascii="Times New Roman" w:cs="Times New Roman" w:eastAsia="Times New Roman" w:hAnsi="Times New Roman"/>
          <w:sz w:val="18"/>
          <w:szCs w:val="18"/>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w:t>
      </w:r>
    </w:p>
    <w:p>
      <w:pPr>
        <w:sectPr>
          <w:pgSz w:w="11900" w:h="16838" w:orient="portrait"/>
          <w:cols w:equalWidth="0" w:num="1">
            <w:col w:w="10764"/>
          </w:cols>
          <w:pgMar w:left="896" w:top="607" w:right="239" w:bottom="1440" w:gutter="0" w:footer="0" w:header="0"/>
        </w:sectPr>
      </w:pPr>
    </w:p>
    <w:bookmarkStart w:id="40" w:name="page41"/>
    <w:bookmarkEnd w:id="40"/>
    <w:p>
      <w:pPr>
        <w:ind w:left="1292" w:right="120"/>
        <w:spacing w:after="0" w:line="329" w:lineRule="auto"/>
        <w:rPr>
          <w:sz w:val="20"/>
          <w:szCs w:val="20"/>
          <w:color w:val="auto"/>
        </w:rPr>
      </w:pPr>
      <w:r>
        <w:rPr>
          <w:rFonts w:ascii="Times New Roman" w:cs="Times New Roman" w:eastAsia="Times New Roman" w:hAnsi="Times New Roman"/>
          <w:sz w:val="18"/>
          <w:szCs w:val="18"/>
          <w:color w:val="auto"/>
        </w:rPr>
        <w:t>the amount otherwise payable to you pursuant to Subsection 2(d)(iii) would result in a greater after-tax amount to you, the amount payable to you pursuant to Subsection 2(d)(iii) shall not be reduced.</w:t>
      </w:r>
    </w:p>
    <w:p>
      <w:pPr>
        <w:spacing w:after="0" w:line="135" w:lineRule="exact"/>
        <w:rPr>
          <w:sz w:val="20"/>
          <w:szCs w:val="20"/>
          <w:color w:val="auto"/>
        </w:rPr>
      </w:pPr>
    </w:p>
    <w:p>
      <w:pPr>
        <w:ind w:left="1292" w:hanging="644"/>
        <w:spacing w:after="0" w:line="245" w:lineRule="auto"/>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Midwest edition (or, if not so reported, as reported in such other similar source(s) as the Corporation shall select).</w:t>
      </w:r>
    </w:p>
    <w:p>
      <w:pPr>
        <w:spacing w:after="0" w:line="200" w:lineRule="exact"/>
        <w:rPr>
          <w:rFonts w:ascii="Times New Roman" w:cs="Times New Roman" w:eastAsia="Times New Roman" w:hAnsi="Times New Roman"/>
          <w:sz w:val="18"/>
          <w:szCs w:val="18"/>
          <w:color w:val="auto"/>
        </w:rPr>
      </w:pPr>
    </w:p>
    <w:p>
      <w:pPr>
        <w:ind w:left="1292" w:right="80" w:hanging="644"/>
        <w:spacing w:after="0" w:line="255" w:lineRule="auto"/>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Notwithstanding the foregoing, you will have no right to receive any payment or benefit described in Subsections 2(c) (ii)-(v)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after the Date of Termination.</w:t>
      </w:r>
    </w:p>
    <w:p>
      <w:pPr>
        <w:spacing w:after="0" w:line="92" w:lineRule="exact"/>
        <w:rPr>
          <w:rFonts w:ascii="Times New Roman" w:cs="Times New Roman" w:eastAsia="Times New Roman" w:hAnsi="Times New Roman"/>
          <w:sz w:val="18"/>
          <w:szCs w:val="18"/>
          <w:color w:val="auto"/>
        </w:rPr>
      </w:pPr>
    </w:p>
    <w:p>
      <w:pPr>
        <w:ind w:left="1292" w:right="240" w:hanging="644"/>
        <w:spacing w:after="0" w:line="261" w:lineRule="auto"/>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0"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p>
    <w:p>
      <w:pPr>
        <w:spacing w:after="0" w:line="225" w:lineRule="exact"/>
        <w:rPr>
          <w:rFonts w:ascii="Times New Roman" w:cs="Times New Roman" w:eastAsia="Times New Roman" w:hAnsi="Times New Roman"/>
          <w:sz w:val="18"/>
          <w:szCs w:val="18"/>
          <w:color w:val="auto"/>
        </w:rPr>
      </w:pPr>
    </w:p>
    <w:p>
      <w:pPr>
        <w:ind w:left="1292" w:hanging="644"/>
        <w:spacing w:after="0" w:line="253"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w:t>
      </w:r>
    </w:p>
    <w:p>
      <w:pPr>
        <w:sectPr>
          <w:pgSz w:w="11900" w:h="16838" w:orient="portrait"/>
          <w:cols w:equalWidth="0" w:num="1">
            <w:col w:w="11392"/>
          </w:cols>
          <w:pgMar w:left="248" w:top="607" w:right="259" w:bottom="1440" w:gutter="0" w:footer="0" w:header="0"/>
        </w:sectPr>
      </w:pPr>
    </w:p>
    <w:bookmarkStart w:id="41" w:name="page42"/>
    <w:bookmarkEnd w:id="41"/>
    <w:p>
      <w:pPr>
        <w:ind w:left="1292"/>
        <w:spacing w:after="0"/>
        <w:rPr>
          <w:sz w:val="20"/>
          <w:szCs w:val="20"/>
          <w:color w:val="auto"/>
        </w:rPr>
      </w:pPr>
      <w:r>
        <w:rPr>
          <w:rFonts w:ascii="Times New Roman" w:cs="Times New Roman" w:eastAsia="Times New Roman" w:hAnsi="Times New Roman"/>
          <w:sz w:val="18"/>
          <w:szCs w:val="18"/>
          <w:color w:val="auto"/>
        </w:rPr>
        <w:t>under applicable trade secrets law. This obligation will survive the termination of your employment for a period of two years.</w:t>
      </w:r>
    </w:p>
    <w:p>
      <w:pPr>
        <w:spacing w:after="0" w:line="27" w:lineRule="exact"/>
        <w:rPr>
          <w:sz w:val="20"/>
          <w:szCs w:val="20"/>
          <w:color w:val="auto"/>
        </w:rPr>
      </w:pPr>
    </w:p>
    <w:p>
      <w:pPr>
        <w:ind w:left="1292" w:right="60" w:hanging="644"/>
        <w:spacing w:after="0" w:line="257" w:lineRule="auto"/>
        <w:tabs>
          <w:tab w:leader="none" w:pos="12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at any time during the term of your employment with the Consolidated Manpower Group, or any time thereafter use or disclose any Trade Secret of the Consolidated ManpowerGroup. The term “Trade Secret” shall have the meaning afforded under applicable law. Nothing in this Agreement shall limit or supersede any common law, statutory or other protections of trade secrets or privileged information where such protections provide the Consolidated ManpowerGroup with greater rights or protections for a longer duration than provided in this Agreement.</w:t>
      </w:r>
    </w:p>
    <w:p>
      <w:pPr>
        <w:spacing w:after="0" w:line="183" w:lineRule="exact"/>
        <w:rPr>
          <w:rFonts w:ascii="Times New Roman" w:cs="Times New Roman" w:eastAsia="Times New Roman" w:hAnsi="Times New Roman"/>
          <w:sz w:val="18"/>
          <w:szCs w:val="18"/>
          <w:color w:val="auto"/>
        </w:rPr>
      </w:pPr>
    </w:p>
    <w:p>
      <w:pPr>
        <w:ind w:left="1292" w:right="200" w:hanging="644"/>
        <w:spacing w:after="0" w:line="253" w:lineRule="auto"/>
        <w:tabs>
          <w:tab w:leader="none" w:pos="12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disclosure of a Trade Secret and in accordance with 18 U.S.C.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 w:lineRule="exact"/>
        <w:rPr>
          <w:rFonts w:ascii="Times New Roman" w:cs="Times New Roman" w:eastAsia="Times New Roman" w:hAnsi="Times New Roman"/>
          <w:sz w:val="18"/>
          <w:szCs w:val="18"/>
          <w:color w:val="auto"/>
        </w:rPr>
      </w:pPr>
    </w:p>
    <w:p>
      <w:pPr>
        <w:ind w:left="1292" w:right="60" w:hanging="644"/>
        <w:spacing w:after="0" w:line="254" w:lineRule="auto"/>
        <w:tabs>
          <w:tab w:leader="none" w:pos="12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85" w:lineRule="exact"/>
        <w:rPr>
          <w:rFonts w:ascii="Times New Roman" w:cs="Times New Roman" w:eastAsia="Times New Roman" w:hAnsi="Times New Roman"/>
          <w:sz w:val="18"/>
          <w:szCs w:val="18"/>
          <w:color w:val="auto"/>
        </w:rPr>
      </w:pPr>
    </w:p>
    <w:p>
      <w:pPr>
        <w:ind w:left="652" w:right="80" w:hanging="652"/>
        <w:spacing w:after="0" w:line="255"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189" w:lineRule="exact"/>
        <w:rPr>
          <w:rFonts w:ascii="Times New Roman" w:cs="Times New Roman" w:eastAsia="Times New Roman" w:hAnsi="Times New Roman"/>
          <w:sz w:val="18"/>
          <w:szCs w:val="18"/>
          <w:color w:val="auto"/>
        </w:rPr>
      </w:pPr>
    </w:p>
    <w:p>
      <w:pPr>
        <w:ind w:left="652" w:hanging="652"/>
        <w:spacing w:after="0" w:line="266"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During Employment</w:t>
      </w:r>
      <w:r>
        <w:rPr>
          <w:rFonts w:ascii="Times New Roman" w:cs="Times New Roman" w:eastAsia="Times New Roman" w:hAnsi="Times New Roman"/>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176" w:lineRule="exact"/>
        <w:rPr>
          <w:rFonts w:ascii="Times New Roman" w:cs="Times New Roman" w:eastAsia="Times New Roman" w:hAnsi="Times New Roman"/>
          <w:sz w:val="18"/>
          <w:szCs w:val="18"/>
          <w:color w:val="auto"/>
        </w:rPr>
      </w:pPr>
    </w:p>
    <w:p>
      <w:pPr>
        <w:ind w:left="652" w:right="80" w:hanging="652"/>
        <w:spacing w:after="0" w:line="282"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Agreement</w:t>
      </w:r>
      <w:r>
        <w:rPr>
          <w:rFonts w:ascii="Times New Roman" w:cs="Times New Roman" w:eastAsia="Times New Roman" w:hAnsi="Times New Roman"/>
          <w:sz w:val="18"/>
          <w:szCs w:val="18"/>
          <w:color w:val="auto"/>
        </w:rPr>
        <w:t>. During the one-year period which immediately follows the termination, for whatever reason, of your employment with the Corporation:</w:t>
      </w:r>
    </w:p>
    <w:p>
      <w:pPr>
        <w:spacing w:after="0" w:line="161" w:lineRule="exact"/>
        <w:rPr>
          <w:rFonts w:ascii="Times New Roman" w:cs="Times New Roman" w:eastAsia="Times New Roman" w:hAnsi="Times New Roman"/>
          <w:sz w:val="18"/>
          <w:szCs w:val="18"/>
          <w:color w:val="auto"/>
        </w:rPr>
      </w:pPr>
    </w:p>
    <w:p>
      <w:pPr>
        <w:ind w:left="1292" w:right="120" w:hanging="644"/>
        <w:spacing w:after="0" w:line="220" w:lineRule="exact"/>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01" w:lineRule="exact"/>
        <w:rPr>
          <w:rFonts w:ascii="Times New Roman" w:cs="Times New Roman" w:eastAsia="Times New Roman" w:hAnsi="Times New Roman"/>
          <w:sz w:val="18"/>
          <w:szCs w:val="18"/>
          <w:color w:val="auto"/>
        </w:rPr>
      </w:pPr>
    </w:p>
    <w:p>
      <w:pPr>
        <w:ind w:left="1292" w:right="20" w:hanging="644"/>
        <w:spacing w:after="0" w:line="255" w:lineRule="auto"/>
        <w:tabs>
          <w:tab w:leader="none" w:pos="12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w:t>
      </w:r>
    </w:p>
    <w:p>
      <w:pPr>
        <w:sectPr>
          <w:pgSz w:w="11900" w:h="16838" w:orient="portrait"/>
          <w:cols w:equalWidth="0" w:num="1">
            <w:col w:w="11392"/>
          </w:cols>
          <w:pgMar w:left="248" w:top="607" w:right="259" w:bottom="1440" w:gutter="0" w:footer="0" w:header="0"/>
        </w:sectPr>
      </w:pPr>
    </w:p>
    <w:bookmarkStart w:id="42" w:name="page43"/>
    <w:bookmarkEnd w:id="42"/>
    <w:p>
      <w:pPr>
        <w:ind w:left="1292" w:right="120"/>
        <w:spacing w:after="0" w:line="252" w:lineRule="exact"/>
        <w:rPr>
          <w:sz w:val="20"/>
          <w:szCs w:val="20"/>
          <w:color w:val="auto"/>
        </w:rPr>
      </w:pPr>
      <w:r>
        <w:rPr>
          <w:rFonts w:ascii="Times New Roman" w:cs="Times New Roman" w:eastAsia="Times New Roman" w:hAnsi="Times New Roman"/>
          <w:sz w:val="18"/>
          <w:szCs w:val="18"/>
          <w:color w:val="auto"/>
        </w:rPr>
        <w:t>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13" w:lineRule="exact"/>
        <w:rPr>
          <w:sz w:val="20"/>
          <w:szCs w:val="20"/>
          <w:color w:val="auto"/>
        </w:rPr>
      </w:pPr>
    </w:p>
    <w:p>
      <w:pPr>
        <w:ind w:left="312" w:hanging="312"/>
        <w:spacing w:after="0"/>
        <w:tabs>
          <w:tab w:leader="none" w:pos="3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and Other Interim Measures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4"/>
        <w:spacing w:after="0" w:line="255" w:lineRule="auto"/>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89" w:lineRule="exact"/>
        <w:rPr>
          <w:rFonts w:ascii="Times New Roman" w:cs="Times New Roman" w:eastAsia="Times New Roman" w:hAnsi="Times New Roman"/>
          <w:sz w:val="18"/>
          <w:szCs w:val="18"/>
          <w:color w:val="auto"/>
        </w:rPr>
      </w:pPr>
    </w:p>
    <w:p>
      <w:pPr>
        <w:ind w:left="1292" w:right="140" w:hanging="644"/>
        <w:spacing w:after="0" w:line="282" w:lineRule="auto"/>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Extension</w:t>
      </w:r>
      <w:r>
        <w:rPr>
          <w:rFonts w:ascii="Times New Roman" w:cs="Times New Roman" w:eastAsia="Times New Roman" w:hAnsi="Times New Roman"/>
          <w:sz w:val="18"/>
          <w:szCs w:val="18"/>
          <w:color w:val="auto"/>
        </w:rPr>
        <w:t>. The duration of any restriction in Section 3-6, above, will be extended by any period during which such restriction is violated by you.</w:t>
      </w:r>
    </w:p>
    <w:p>
      <w:pPr>
        <w:spacing w:after="0" w:line="161" w:lineRule="exact"/>
        <w:rPr>
          <w:rFonts w:ascii="Times New Roman" w:cs="Times New Roman" w:eastAsia="Times New Roman" w:hAnsi="Times New Roman"/>
          <w:sz w:val="18"/>
          <w:szCs w:val="18"/>
          <w:color w:val="auto"/>
        </w:rPr>
      </w:pPr>
    </w:p>
    <w:p>
      <w:pPr>
        <w:jc w:val="both"/>
        <w:ind w:left="1292" w:right="80" w:hanging="644"/>
        <w:spacing w:after="0" w:line="266" w:lineRule="auto"/>
        <w:tabs>
          <w:tab w:leader="none" w:pos="12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Nonapplication</w:t>
      </w:r>
      <w:r>
        <w:rPr>
          <w:rFonts w:ascii="Times New Roman" w:cs="Times New Roman" w:eastAsia="Times New Roman" w:hAnsi="Times New Roman"/>
          <w:sz w:val="18"/>
          <w:szCs w:val="18"/>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176" w:lineRule="exact"/>
        <w:rPr>
          <w:rFonts w:ascii="Times New Roman" w:cs="Times New Roman" w:eastAsia="Times New Roman" w:hAnsi="Times New Roman"/>
          <w:sz w:val="18"/>
          <w:szCs w:val="18"/>
          <w:color w:val="auto"/>
        </w:rPr>
      </w:pPr>
    </w:p>
    <w:p>
      <w:pPr>
        <w:ind w:left="652" w:right="60" w:hanging="652"/>
        <w:spacing w:after="0" w:line="220" w:lineRule="exact"/>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Unemployment Compensation</w:t>
      </w:r>
      <w:r>
        <w:rPr>
          <w:rFonts w:ascii="Times New Roman" w:cs="Times New Roman" w:eastAsia="Times New Roman" w:hAnsi="Times New Roman"/>
          <w:sz w:val="18"/>
          <w:szCs w:val="18"/>
          <w:color w:val="auto"/>
        </w:rPr>
        <w:t>. The severance benefits provided for in Subsection 2(c)(iii) will be assigned for unemployment compensation benefit purposes to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Date of Termination, and you will be ineligible to receive, and you agree not to apply for, unemployment compensation during such periods.</w:t>
      </w:r>
    </w:p>
    <w:p>
      <w:pPr>
        <w:spacing w:after="0" w:line="200" w:lineRule="exact"/>
        <w:rPr>
          <w:rFonts w:ascii="Times New Roman" w:cs="Times New Roman" w:eastAsia="Times New Roman" w:hAnsi="Times New Roman"/>
          <w:sz w:val="18"/>
          <w:szCs w:val="18"/>
          <w:color w:val="auto"/>
        </w:rPr>
      </w:pPr>
    </w:p>
    <w:p>
      <w:pPr>
        <w:ind w:left="652" w:right="100" w:hanging="652"/>
        <w:spacing w:after="0" w:line="254"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89" w:lineRule="exact"/>
        <w:rPr>
          <w:rFonts w:ascii="Times New Roman" w:cs="Times New Roman" w:eastAsia="Times New Roman" w:hAnsi="Times New Roman"/>
          <w:sz w:val="18"/>
          <w:szCs w:val="18"/>
          <w:color w:val="auto"/>
        </w:rPr>
      </w:pPr>
    </w:p>
    <w:p>
      <w:pPr>
        <w:ind w:left="652" w:right="200" w:hanging="652"/>
        <w:spacing w:after="0" w:line="282"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This letter agreement will be binding on the Corporation and its successors and will inure to the benefit of and be enforceable by your personal or legal representatives, heirs and successors.</w:t>
      </w:r>
    </w:p>
    <w:p>
      <w:pPr>
        <w:spacing w:after="0" w:line="161" w:lineRule="exact"/>
        <w:rPr>
          <w:rFonts w:ascii="Times New Roman" w:cs="Times New Roman" w:eastAsia="Times New Roman" w:hAnsi="Times New Roman"/>
          <w:sz w:val="18"/>
          <w:szCs w:val="18"/>
          <w:color w:val="auto"/>
        </w:rPr>
      </w:pPr>
    </w:p>
    <w:p>
      <w:pPr>
        <w:ind w:left="652" w:right="20" w:hanging="652"/>
        <w:spacing w:after="0" w:line="266"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76" w:lineRule="exact"/>
        <w:rPr>
          <w:rFonts w:ascii="Times New Roman" w:cs="Times New Roman" w:eastAsia="Times New Roman" w:hAnsi="Times New Roman"/>
          <w:sz w:val="18"/>
          <w:szCs w:val="18"/>
          <w:color w:val="auto"/>
        </w:rPr>
      </w:pPr>
    </w:p>
    <w:p>
      <w:pPr>
        <w:ind w:left="652" w:right="420" w:hanging="652"/>
        <w:spacing w:after="0" w:line="261"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Employed</w:t>
      </w:r>
      <w:r>
        <w:rPr>
          <w:rFonts w:ascii="Times New Roman" w:cs="Times New Roman" w:eastAsia="Times New Roman" w:hAnsi="Times New Roman"/>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0"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provision of this letter may be modified, waived or discharged unless such waiver, modification or discharge is agreed to in writing by you and the Corporation.</w:t>
      </w:r>
    </w:p>
    <w:p>
      <w:pPr>
        <w:sectPr>
          <w:pgSz w:w="11900" w:h="16838" w:orient="portrait"/>
          <w:cols w:equalWidth="0" w:num="1">
            <w:col w:w="11392"/>
          </w:cols>
          <w:pgMar w:left="248" w:top="607" w:right="259" w:bottom="1440" w:gutter="0" w:footer="0" w:header="0"/>
        </w:sectPr>
      </w:pPr>
    </w:p>
    <w:bookmarkStart w:id="43" w:name="page44"/>
    <w:bookmarkEnd w:id="43"/>
    <w:p>
      <w:pPr>
        <w:ind w:left="652" w:hanging="65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61" w:lineRule="exact"/>
        <w:rPr>
          <w:rFonts w:ascii="Times New Roman" w:cs="Times New Roman" w:eastAsia="Times New Roman" w:hAnsi="Times New Roman"/>
          <w:sz w:val="18"/>
          <w:szCs w:val="18"/>
          <w:color w:val="auto"/>
        </w:rPr>
      </w:pPr>
    </w:p>
    <w:p>
      <w:pPr>
        <w:ind w:left="652" w:right="540" w:hanging="65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interpreted in accordance with the laws of the State of New York, United States of America, without regard to its conflict of law provisions.</w:t>
      </w:r>
    </w:p>
    <w:p>
      <w:pPr>
        <w:spacing w:after="0" w:line="159" w:lineRule="exact"/>
        <w:rPr>
          <w:rFonts w:ascii="Times New Roman" w:cs="Times New Roman" w:eastAsia="Times New Roman" w:hAnsi="Times New Roman"/>
          <w:sz w:val="18"/>
          <w:szCs w:val="18"/>
          <w:color w:val="auto"/>
        </w:rPr>
      </w:pPr>
    </w:p>
    <w:p>
      <w:pPr>
        <w:ind w:left="652" w:right="100" w:hanging="652"/>
        <w:spacing w:after="0" w:line="259"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Amounts Due Under Law</w:t>
      </w:r>
      <w:r>
        <w:rPr>
          <w:rFonts w:ascii="Times New Roman" w:cs="Times New Roman" w:eastAsia="Times New Roman" w:hAnsi="Times New Roman"/>
          <w:sz w:val="18"/>
          <w:szCs w:val="18"/>
          <w:color w:val="auto"/>
        </w:rPr>
        <w:t>. You agree that any severance payment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81" w:lineRule="exact"/>
        <w:rPr>
          <w:rFonts w:ascii="Times New Roman" w:cs="Times New Roman" w:eastAsia="Times New Roman" w:hAnsi="Times New Roman"/>
          <w:sz w:val="18"/>
          <w:szCs w:val="18"/>
          <w:color w:val="auto"/>
        </w:rPr>
      </w:pPr>
    </w:p>
    <w:p>
      <w:pPr>
        <w:ind w:left="652" w:right="40" w:hanging="652"/>
        <w:spacing w:after="0" w:line="258"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Previous Agreements</w:t>
      </w:r>
      <w:r>
        <w:rPr>
          <w:rFonts w:ascii="Times New Roman" w:cs="Times New Roman" w:eastAsia="Times New Roman" w:hAnsi="Times New Roman"/>
          <w:sz w:val="18"/>
          <w:szCs w:val="18"/>
          <w:color w:val="auto"/>
        </w:rPr>
        <w:t>. This letter, upon acceptance by you, expressly supersedes any and all previous agreements or understandings relating to your employment by the Corporation or the Consolidated ManpowerGroup, except for the letter from the Corporation to you dated April 4, 2007, as amended from time to time regarding the Corporation’s offer of employment to you (provided this letter will supersede the sections of that prior letter concerning severance protection and restrictive covenants) or the termination of such employment, and any such agreements or understandings shall, as of the date of your acceptance, have no further force or effect.</w:t>
      </w:r>
    </w:p>
    <w:p>
      <w:pPr>
        <w:spacing w:after="0" w:line="183" w:lineRule="exact"/>
        <w:rPr>
          <w:rFonts w:ascii="Times New Roman" w:cs="Times New Roman" w:eastAsia="Times New Roman" w:hAnsi="Times New Roman"/>
          <w:sz w:val="18"/>
          <w:szCs w:val="18"/>
          <w:color w:val="auto"/>
        </w:rPr>
      </w:pPr>
    </w:p>
    <w:p>
      <w:pPr>
        <w:ind w:left="652" w:right="60" w:hanging="652"/>
        <w:spacing w:after="0" w:line="258"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83" w:lineRule="exact"/>
        <w:rPr>
          <w:rFonts w:ascii="Times New Roman" w:cs="Times New Roman" w:eastAsia="Times New Roman" w:hAnsi="Times New Roman"/>
          <w:sz w:val="18"/>
          <w:szCs w:val="18"/>
          <w:color w:val="auto"/>
        </w:rPr>
      </w:pPr>
    </w:p>
    <w:p>
      <w:pPr>
        <w:ind w:left="1292" w:hanging="644"/>
        <w:spacing w:after="0" w:line="253" w:lineRule="auto"/>
        <w:tabs>
          <w:tab w:leader="none" w:pos="12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0" w:lineRule="exact"/>
        <w:rPr>
          <w:rFonts w:ascii="Times New Roman" w:cs="Times New Roman" w:eastAsia="Times New Roman" w:hAnsi="Times New Roman"/>
          <w:sz w:val="18"/>
          <w:szCs w:val="18"/>
          <w:color w:val="auto"/>
        </w:rPr>
      </w:pPr>
    </w:p>
    <w:p>
      <w:pPr>
        <w:ind w:left="1292" w:right="40" w:hanging="644"/>
        <w:spacing w:after="0" w:line="253" w:lineRule="auto"/>
        <w:tabs>
          <w:tab w:leader="none" w:pos="12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w:t>
      </w:r>
    </w:p>
    <w:p>
      <w:pPr>
        <w:sectPr>
          <w:pgSz w:w="11900" w:h="16838" w:orient="portrait"/>
          <w:cols w:equalWidth="0" w:num="1">
            <w:col w:w="11392"/>
          </w:cols>
          <w:pgMar w:left="248" w:top="797" w:right="259" w:bottom="1440" w:gutter="0" w:footer="0" w:header="0"/>
        </w:sectPr>
      </w:pPr>
    </w:p>
    <w:bookmarkStart w:id="44" w:name="page45"/>
    <w:bookmarkEnd w:id="44"/>
    <w:p>
      <w:pPr>
        <w:ind w:left="1300" w:right="160"/>
        <w:spacing w:after="0" w:line="329" w:lineRule="auto"/>
        <w:rPr>
          <w:sz w:val="20"/>
          <w:szCs w:val="20"/>
          <w:color w:val="auto"/>
        </w:rPr>
      </w:pPr>
      <w:r>
        <w:rPr>
          <w:rFonts w:ascii="Times New Roman" w:cs="Times New Roman" w:eastAsia="Times New Roman" w:hAnsi="Times New Roman"/>
          <w:sz w:val="18"/>
          <w:szCs w:val="18"/>
          <w:color w:val="auto"/>
        </w:rPr>
        <w:t>submit, or to any other court that otherwise has jurisdiction over the parties, for provisional or interim measures, including, but not limited to, temporary or permanent injunctive relief.</w:t>
      </w:r>
    </w:p>
    <w:p>
      <w:pPr>
        <w:spacing w:after="0" w:line="135" w:lineRule="exact"/>
        <w:rPr>
          <w:sz w:val="20"/>
          <w:szCs w:val="20"/>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you are in agreement with the foregoing, please sign and return one copy of this letter which will constitute our agreement with respect to the subject matter of this letter.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Sincerely,</w:t>
      </w:r>
    </w:p>
    <w:p>
      <w:pPr>
        <w:spacing w:after="0" w:line="38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38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Jonas Prising</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Jonas Prising,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as of the 28th day of July,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Darryl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Darryl Green</w:t>
      </w:r>
    </w:p>
    <w:p>
      <w:pPr>
        <w:sectPr>
          <w:pgSz w:w="11900" w:h="16838" w:orient="portrait"/>
          <w:cols w:equalWidth="0" w:num="1">
            <w:col w:w="11420"/>
          </w:cols>
          <w:pgMar w:left="240" w:top="60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304.7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351.4</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479.9</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620" w:right="220" w:hanging="329"/>
        <w:spacing w:after="0" w:line="266"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620" w:right="280" w:hanging="329"/>
        <w:spacing w:after="0" w:line="266"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80" w:hanging="329"/>
        <w:spacing w:after="0" w:line="313" w:lineRule="auto"/>
        <w:tabs>
          <w:tab w:leader="none" w:pos="16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620" w:right="100" w:hanging="329"/>
        <w:spacing w:after="0" w:line="266"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20" w:hanging="329"/>
        <w:spacing w:after="0" w:line="282"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29"/>
        <w:spacing w:after="0" w:line="282"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2016</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72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Jonas Prising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20" w:hanging="317"/>
        <w:spacing w:after="0" w:line="266"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80" w:hanging="317"/>
        <w:spacing w:after="0" w:line="282"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2016</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62" w:lineRule="exact"/>
        <w:rPr>
          <w:sz w:val="20"/>
          <w:szCs w:val="20"/>
          <w:color w:val="auto"/>
        </w:rPr>
      </w:pPr>
    </w:p>
    <w:p>
      <w:pPr>
        <w:ind w:left="660" w:right="1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2016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2016</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Jonas Prising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62" w:lineRule="exact"/>
        <w:rPr>
          <w:sz w:val="20"/>
          <w:szCs w:val="20"/>
          <w:color w:val="auto"/>
        </w:rPr>
      </w:pPr>
    </w:p>
    <w:p>
      <w:pPr>
        <w:ind w:left="660" w:right="1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2016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2016</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41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3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1)"/>
      <w:numFmt w:val="decimal"/>
      <w:start w:val="12"/>
    </w:lvl>
  </w:abstractNum>
  <w:abstractNum w:abstractNumId="15">
    <w:nsid w:val="22221A70"/>
    <w:multiLevelType w:val="hybridMultilevel"/>
    <w:lvl w:ilvl="0">
      <w:lvlJc w:val="left"/>
      <w:lvlText w:val="(%1)"/>
      <w:numFmt w:val="decimal"/>
      <w:start w:val="13"/>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decimal"/>
      <w:start w:val="101"/>
    </w:lvl>
  </w:abstractNum>
  <w:abstractNum w:abstractNumId="25">
    <w:nsid w:val="7724C67E"/>
    <w:multiLevelType w:val="hybridMultilevel"/>
    <w:lvl w:ilvl="0">
      <w:lvlJc w:val="left"/>
      <w:lvlText w:val="%1"/>
      <w:numFmt w:val="decimal"/>
      <w:start w:val="101"/>
    </w:lvl>
  </w:abstractNum>
  <w:abstractNum w:abstractNumId="2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2463B9EA"/>
    <w:multiLevelType w:val="hybridMultilevel"/>
    <w:lvl w:ilvl="0">
      <w:lvlJc w:val="left"/>
      <w:lvlText w:val="(%1)"/>
      <w:numFmt w:val="lowerRoman"/>
      <w:start w:val="2"/>
    </w:lvl>
  </w:abstractNum>
  <w:abstractNum w:abstractNumId="28">
    <w:nsid w:val="5E884ADC"/>
    <w:multiLevelType w:val="hybridMultilevel"/>
    <w:lvl w:ilvl="0">
      <w:lvlJc w:val="left"/>
      <w:lvlText w:val="(%1)"/>
      <w:numFmt w:val="lowerLetter"/>
      <w:start w:val="4"/>
    </w:lvl>
    <w:lvl w:ilvl="1">
      <w:lvlJc w:val="left"/>
      <w:lvlText w:val="(%2)"/>
      <w:numFmt w:val="lowerRoman"/>
      <w:start w:val="1"/>
    </w:lvl>
  </w:abstractNum>
  <w:abstractNum w:abstractNumId="29">
    <w:nsid w:val="51EAD36B"/>
    <w:multiLevelType w:val="hybridMultilevel"/>
    <w:lvl w:ilvl="0">
      <w:lvlJc w:val="left"/>
      <w:lvlText w:val="(%1)"/>
      <w:numFmt w:val="lowerRoman"/>
      <w:start w:val="6"/>
    </w:lvl>
  </w:abstractNum>
  <w:abstractNum w:abstractNumId="30">
    <w:nsid w:val="2D517796"/>
    <w:multiLevelType w:val="hybridMultilevel"/>
    <w:lvl w:ilvl="0">
      <w:lvlJc w:val="left"/>
      <w:lvlText w:val="(%1)"/>
      <w:numFmt w:val="lowerLetter"/>
      <w:start w:val="5"/>
    </w:lvl>
    <w:lvl w:ilvl="1">
      <w:lvlJc w:val="left"/>
      <w:lvlText w:val="(%2)"/>
      <w:numFmt w:val="lowerRoman"/>
      <w:start w:val="1"/>
    </w:lvl>
  </w:abstractNum>
  <w:abstractNum w:abstractNumId="31">
    <w:nsid w:val="580BD78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2">
    <w:nsid w:val="153EA43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
    <w:nsid w:val="3855585C"/>
    <w:multiLevelType w:val="hybridMultilevel"/>
    <w:lvl w:ilvl="0">
      <w:lvlJc w:val="left"/>
      <w:lvlText w:val="%1"/>
      <w:numFmt w:val="lowerLetter"/>
      <w:start w:val="1"/>
    </w:lvl>
    <w:lvl w:ilvl="1">
      <w:lvlJc w:val="left"/>
      <w:lvlText w:val="(%2)"/>
      <w:numFmt w:val="lowerLetter"/>
      <w:start w:val="22"/>
    </w:lvl>
  </w:abstractNum>
  <w:abstractNum w:abstractNumId="34">
    <w:nsid w:val="70A64E2A"/>
    <w:multiLevelType w:val="hybridMultilevel"/>
    <w:lvl w:ilvl="0">
      <w:lvlJc w:val="left"/>
      <w:lvlText w:val="(%1)"/>
      <w:numFmt w:val="lowerLetter"/>
      <w:start w:val="4"/>
    </w:lvl>
    <w:lvl w:ilvl="1">
      <w:lvlJc w:val="left"/>
      <w:lvlText w:val="(%2)"/>
      <w:numFmt w:val="lowerLetter"/>
      <w:start w:val="9"/>
    </w:lvl>
  </w:abstractNum>
  <w:abstractNum w:abstractNumId="35">
    <w:nsid w:val="6A2342EC"/>
    <w:multiLevelType w:val="hybridMultilevel"/>
    <w:lvl w:ilvl="0">
      <w:lvlJc w:val="left"/>
      <w:lvlText w:val="(%1)"/>
      <w:numFmt w:val="lowerRoman"/>
      <w:start w:val="2"/>
    </w:lvl>
  </w:abstractNum>
  <w:abstractNum w:abstractNumId="36">
    <w:nsid w:val="2A487CB0"/>
    <w:multiLevelType w:val="hybridMultilevel"/>
    <w:lvl w:ilvl="0">
      <w:lvlJc w:val="left"/>
      <w:lvlText w:val="%1"/>
      <w:numFmt w:val="lowerLetter"/>
      <w:start w:val="1"/>
    </w:lvl>
    <w:lvl w:ilvl="1">
      <w:lvlJc w:val="left"/>
      <w:lvlText w:val="(%2)"/>
      <w:numFmt w:val="lowerLetter"/>
      <w:start w:val="22"/>
    </w:lvl>
  </w:abstractNum>
  <w:abstractNum w:abstractNumId="37">
    <w:nsid w:val="1D4ED43B"/>
    <w:multiLevelType w:val="hybridMultilevel"/>
    <w:lvl w:ilvl="0">
      <w:lvlJc w:val="left"/>
      <w:lvlText w:val="(%1)"/>
      <w:numFmt w:val="lowerLetter"/>
      <w:start w:val="5"/>
    </w:lvl>
    <w:lvl w:ilvl="1">
      <w:lvlJc w:val="left"/>
      <w:lvlText w:val="%2"/>
      <w:numFmt w:val="lowerLetter"/>
      <w:start w:val="1"/>
    </w:lvl>
  </w:abstractNum>
  <w:abstractNum w:abstractNumId="38">
    <w:nsid w:val="725A06FB"/>
    <w:multiLevelType w:val="hybridMultilevel"/>
    <w:lvl w:ilvl="0">
      <w:lvlJc w:val="left"/>
      <w:lvlText w:val="%1"/>
      <w:numFmt w:val="decimal"/>
      <w:start w:val="1"/>
    </w:lvl>
    <w:lvl w:ilvl="1">
      <w:lvlJc w:val="left"/>
      <w:lvlText w:val="(%2)"/>
      <w:numFmt w:val="lowerLetter"/>
      <w:start w:val="6"/>
    </w:lvl>
  </w:abstractNum>
  <w:abstractNum w:abstractNumId="39">
    <w:nsid w:val="2CD89A32"/>
    <w:multiLevelType w:val="hybridMultilevel"/>
    <w:lvl w:ilvl="0">
      <w:lvlJc w:val="left"/>
      <w:lvlText w:val="%1."/>
      <w:numFmt w:val="decimal"/>
      <w:start w:val="3"/>
    </w:lvl>
    <w:lvl w:ilvl="1">
      <w:lvlJc w:val="left"/>
      <w:lvlText w:val="(%2)"/>
      <w:numFmt w:val="lowerLetter"/>
      <w:start w:val="1"/>
    </w:lvl>
  </w:abstractNum>
  <w:abstractNum w:abstractNumId="40">
    <w:nsid w:val="57E4CCAF"/>
    <w:multiLevelType w:val="hybridMultilevel"/>
    <w:lvl w:ilvl="0">
      <w:lvlJc w:val="left"/>
      <w:lvlText w:val="%1"/>
      <w:numFmt w:val="decimal"/>
      <w:start w:val="1"/>
    </w:lvl>
    <w:lvl w:ilvl="1">
      <w:lvlJc w:val="left"/>
      <w:lvlText w:val="(%2)"/>
      <w:numFmt w:val="lowerLetter"/>
      <w:start w:val="2"/>
    </w:lvl>
  </w:abstractNum>
  <w:abstractNum w:abstractNumId="41">
    <w:nsid w:val="7A6D8D3C"/>
    <w:multiLevelType w:val="hybridMultilevel"/>
    <w:lvl w:ilvl="0">
      <w:lvlJc w:val="left"/>
      <w:lvlText w:val="%1."/>
      <w:numFmt w:val="decimal"/>
      <w:start w:val="4"/>
    </w:lvl>
    <w:lvl w:ilvl="1">
      <w:lvlJc w:val="left"/>
      <w:lvlText w:val="(%2)"/>
      <w:numFmt w:val="lowerLetter"/>
      <w:start w:val="1"/>
    </w:lvl>
  </w:abstractNum>
  <w:abstractNum w:abstractNumId="42">
    <w:nsid w:val="4B588F54"/>
    <w:multiLevelType w:val="hybridMultilevel"/>
    <w:lvl w:ilvl="0">
      <w:lvlJc w:val="left"/>
      <w:lvlText w:val="%1."/>
      <w:numFmt w:val="decimal"/>
      <w:start w:val="7"/>
    </w:lvl>
    <w:lvl w:ilvl="1">
      <w:lvlJc w:val="left"/>
      <w:lvlText w:val="(%2)"/>
      <w:numFmt w:val="lowerLetter"/>
      <w:start w:val="1"/>
    </w:lvl>
  </w:abstractNum>
  <w:abstractNum w:abstractNumId="43">
    <w:nsid w:val="542289EC"/>
    <w:multiLevelType w:val="hybridMultilevel"/>
    <w:lvl w:ilvl="0">
      <w:lvlJc w:val="left"/>
      <w:lvlText w:val="%1."/>
      <w:numFmt w:val="decimal"/>
      <w:start w:val="14"/>
    </w:lvl>
    <w:lvl w:ilvl="1">
      <w:lvlJc w:val="left"/>
      <w:lvlText w:val="(%2)"/>
      <w:numFmt w:val="lowerLetter"/>
      <w:start w:val="1"/>
    </w:lvl>
  </w:abstractNum>
  <w:abstractNum w:abstractNumId="44">
    <w:nsid w:val="6DE91B18"/>
    <w:multiLevelType w:val="hybridMultilevel"/>
    <w:lvl w:ilvl="0">
      <w:lvlJc w:val="left"/>
      <w:lvlText w:val="%1."/>
      <w:numFmt w:val="decimal"/>
      <w:start w:val="19"/>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2019-12-29T11:21:03Z</dcterms:created>
  <dcterms:modified xsi:type="dcterms:W3CDTF">2019-12-29T11:21:03Z</dcterms:modified>
</cp:coreProperties>
</file>