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2520"/>
        <w:spacing w:after="0"/>
        <w:rPr>
          <w:sz w:val="20"/>
          <w:szCs w:val="20"/>
          <w:color w:val="auto"/>
        </w:rPr>
      </w:pPr>
      <w:r>
        <w:rPr>
          <w:rFonts w:ascii="Courier New" w:cs="Courier New" w:eastAsia="Courier New" w:hAnsi="Courier New"/>
          <w:sz w:val="18"/>
          <w:szCs w:val="18"/>
          <w:color w:val="auto"/>
        </w:rPr>
        <w:t>OMB APPROVAL</w:t>
      </w:r>
    </w:p>
    <w:p>
      <w:pPr>
        <w:jc w:val="right"/>
        <w:ind w:right="1879"/>
        <w:spacing w:after="0"/>
        <w:tabs>
          <w:tab w:leader="none" w:pos="94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spacing w:after="0" w:line="5" w:lineRule="exact"/>
        <w:rPr>
          <w:sz w:val="24"/>
          <w:szCs w:val="24"/>
          <w:color w:val="auto"/>
        </w:rPr>
      </w:pPr>
    </w:p>
    <w:p>
      <w:pPr>
        <w:ind w:left="5600"/>
        <w:spacing w:after="0"/>
        <w:rPr>
          <w:sz w:val="20"/>
          <w:szCs w:val="20"/>
          <w:color w:val="auto"/>
        </w:rPr>
      </w:pPr>
      <w:r>
        <w:rPr>
          <w:rFonts w:ascii="Courier New" w:cs="Courier New" w:eastAsia="Courier New" w:hAnsi="Courier New"/>
          <w:sz w:val="16"/>
          <w:szCs w:val="16"/>
          <w:color w:val="auto"/>
        </w:rPr>
        <w:t>Expires: December 31, 1997</w:t>
      </w:r>
    </w:p>
    <w:p>
      <w:pPr>
        <w:spacing w:after="0" w:line="16" w:lineRule="exact"/>
        <w:rPr>
          <w:sz w:val="24"/>
          <w:szCs w:val="24"/>
          <w:color w:val="auto"/>
        </w:rPr>
      </w:pPr>
    </w:p>
    <w:p>
      <w:pPr>
        <w:ind w:left="5600"/>
        <w:spacing w:after="0"/>
        <w:rPr>
          <w:sz w:val="20"/>
          <w:szCs w:val="20"/>
          <w:color w:val="auto"/>
        </w:rPr>
      </w:pPr>
      <w:r>
        <w:rPr>
          <w:rFonts w:ascii="Courier New" w:cs="Courier New" w:eastAsia="Courier New" w:hAnsi="Courier New"/>
          <w:sz w:val="18"/>
          <w:szCs w:val="18"/>
          <w:color w:val="auto"/>
        </w:rPr>
        <w:t>Estimated average burden</w:t>
      </w:r>
    </w:p>
    <w:p>
      <w:pPr>
        <w:spacing w:after="0" w:line="4" w:lineRule="exact"/>
        <w:rPr>
          <w:sz w:val="24"/>
          <w:szCs w:val="24"/>
          <w:color w:val="auto"/>
        </w:rPr>
      </w:pPr>
    </w:p>
    <w:p>
      <w:pPr>
        <w:ind w:left="5600"/>
        <w:spacing w:after="0"/>
        <w:rPr>
          <w:sz w:val="20"/>
          <w:szCs w:val="20"/>
          <w:color w:val="auto"/>
        </w:rPr>
      </w:pPr>
      <w:r>
        <w:rPr>
          <w:rFonts w:ascii="Courier New" w:cs="Courier New" w:eastAsia="Courier New" w:hAnsi="Courier New"/>
          <w:sz w:val="16"/>
          <w:szCs w:val="16"/>
          <w:color w:val="auto"/>
        </w:rPr>
        <w:t>hours per response...14.90</w:t>
      </w:r>
    </w:p>
    <w:p>
      <w:pPr>
        <w:spacing w:after="0" w:line="200" w:lineRule="exact"/>
        <w:rPr>
          <w:sz w:val="24"/>
          <w:szCs w:val="24"/>
          <w:color w:val="auto"/>
        </w:rPr>
      </w:pPr>
    </w:p>
    <w:p>
      <w:pPr>
        <w:spacing w:after="0" w:line="22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Under the Securities Exchange Act of 1934</w:t>
      </w:r>
    </w:p>
    <w:p>
      <w:pPr>
        <w:ind w:left="2740"/>
        <w:spacing w:after="0"/>
        <w:tabs>
          <w:tab w:leader="none" w:pos="49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ind w:left="4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Manpower Inc.</w:t>
      </w:r>
    </w:p>
    <w:p>
      <w:pPr>
        <w:jc w:val="center"/>
        <w:ind w:right="2199"/>
        <w:spacing w:after="0" w:line="238" w:lineRule="auto"/>
        <w:rPr>
          <w:sz w:val="20"/>
          <w:szCs w:val="20"/>
          <w:color w:val="auto"/>
        </w:rPr>
      </w:pPr>
      <w:r>
        <w:rPr>
          <w:rFonts w:ascii="Courier New" w:cs="Courier New" w:eastAsia="Courier New" w:hAnsi="Courier New"/>
          <w:sz w:val="18"/>
          <w:szCs w:val="18"/>
          <w:color w:val="auto"/>
        </w:rPr>
        <w:t>----------------------------------</w:t>
      </w:r>
    </w:p>
    <w:p>
      <w:pPr>
        <w:jc w:val="center"/>
        <w:ind w:right="219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56418H100</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6" w:lineRule="exact"/>
        <w:rPr>
          <w:sz w:val="24"/>
          <w:szCs w:val="24"/>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4" w:lineRule="exact"/>
        <w:rPr>
          <w:sz w:val="24"/>
          <w:szCs w:val="24"/>
          <w:color w:val="auto"/>
        </w:rPr>
      </w:pPr>
    </w:p>
    <w:p>
      <w:pPr>
        <w:ind w:left="3160"/>
        <w:spacing w:after="0"/>
        <w:tabs>
          <w:tab w:leader="none" w:pos="4300" w:val="left"/>
          <w:tab w:leader="none" w:pos="4620" w:val="left"/>
        </w:tabs>
        <w:rPr>
          <w:sz w:val="20"/>
          <w:szCs w:val="20"/>
          <w:color w:val="auto"/>
        </w:rPr>
      </w:pPr>
      <w:r>
        <w:rPr>
          <w:rFonts w:ascii="Courier New" w:cs="Courier New" w:eastAsia="Courier New" w:hAnsi="Courier New"/>
          <w:sz w:val="18"/>
          <w:szCs w:val="18"/>
          <w:color w:val="auto"/>
        </w:rPr>
        <w:t>Page 1 of</w:t>
        <w:tab/>
        <w:t>3</w:t>
      </w:r>
      <w:r>
        <w:rPr>
          <w:sz w:val="20"/>
          <w:szCs w:val="20"/>
          <w:color w:val="auto"/>
        </w:rPr>
        <w:tab/>
      </w:r>
      <w:r>
        <w:rPr>
          <w:rFonts w:ascii="Courier New" w:cs="Courier New" w:eastAsia="Courier New" w:hAnsi="Courier New"/>
          <w:sz w:val="16"/>
          <w:szCs w:val="16"/>
          <w:color w:val="auto"/>
        </w:rPr>
        <w:t>Pages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82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020" w:type="dxa"/>
            <w:vAlign w:val="bottom"/>
          </w:tcPr>
          <w:p>
            <w:pPr>
              <w:jc w:val="right"/>
              <w:ind w:right="932"/>
              <w:spacing w:after="0"/>
              <w:rPr>
                <w:sz w:val="20"/>
                <w:szCs w:val="20"/>
                <w:color w:val="auto"/>
              </w:rPr>
            </w:pPr>
            <w:r>
              <w:rPr>
                <w:rFonts w:ascii="Courier New" w:cs="Courier New" w:eastAsia="Courier New" w:hAnsi="Courier New"/>
                <w:sz w:val="18"/>
                <w:szCs w:val="18"/>
                <w:color w:val="auto"/>
                <w:w w:val="96"/>
              </w:rPr>
              <w:t>CUSIP No. 56418H100</w:t>
            </w:r>
          </w:p>
        </w:tc>
        <w:tc>
          <w:tcPr>
            <w:tcW w:w="1880" w:type="dxa"/>
            <w:vAlign w:val="bottom"/>
          </w:tcPr>
          <w:p>
            <w:pPr>
              <w:ind w:left="1000"/>
              <w:spacing w:after="0"/>
              <w:rPr>
                <w:sz w:val="20"/>
                <w:szCs w:val="20"/>
                <w:color w:val="auto"/>
              </w:rPr>
            </w:pPr>
            <w:r>
              <w:rPr>
                <w:rFonts w:ascii="Courier New" w:cs="Courier New" w:eastAsia="Courier New" w:hAnsi="Courier New"/>
                <w:sz w:val="18"/>
                <w:szCs w:val="18"/>
                <w:color w:val="auto"/>
              </w:rPr>
              <w:t>13G</w:t>
            </w:r>
          </w:p>
        </w:tc>
        <w:tc>
          <w:tcPr>
            <w:tcW w:w="2380" w:type="dxa"/>
            <w:vAlign w:val="bottom"/>
          </w:tcPr>
          <w:p>
            <w:pPr>
              <w:ind w:left="580"/>
              <w:spacing w:after="0"/>
              <w:rPr>
                <w:sz w:val="20"/>
                <w:szCs w:val="20"/>
                <w:color w:val="auto"/>
              </w:rPr>
            </w:pPr>
            <w:r>
              <w:rPr>
                <w:rFonts w:ascii="Courier New" w:cs="Courier New" w:eastAsia="Courier New" w:hAnsi="Courier New"/>
                <w:sz w:val="18"/>
                <w:szCs w:val="18"/>
                <w:color w:val="auto"/>
                <w:w w:val="96"/>
              </w:rPr>
              <w:t>Page 2 of 3 Pages</w:t>
            </w:r>
          </w:p>
        </w:tc>
      </w:tr>
      <w:tr>
        <w:trPr>
          <w:trHeight w:val="203"/>
        </w:trPr>
        <w:tc>
          <w:tcPr>
            <w:tcW w:w="3020" w:type="dxa"/>
            <w:vAlign w:val="bottom"/>
          </w:tcPr>
          <w:p>
            <w:pPr>
              <w:jc w:val="right"/>
              <w:ind w:right="9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spacing w:after="0"/>
              <w:rPr>
                <w:sz w:val="17"/>
                <w:szCs w:val="17"/>
                <w:color w:val="auto"/>
              </w:rPr>
            </w:pPr>
          </w:p>
        </w:tc>
        <w:tc>
          <w:tcPr>
            <w:tcW w:w="2380" w:type="dxa"/>
            <w:vAlign w:val="bottom"/>
          </w:tcPr>
          <w:p>
            <w:pPr>
              <w:spacing w:after="0"/>
              <w:rPr>
                <w:sz w:val="17"/>
                <w:szCs w:val="17"/>
                <w:color w:val="auto"/>
              </w:rPr>
            </w:pPr>
          </w:p>
        </w:tc>
      </w:tr>
    </w:tbl>
    <w:p>
      <w:pPr>
        <w:spacing w:after="0" w:line="207"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2099" w:hanging="427"/>
        <w:spacing w:after="0" w:line="235" w:lineRule="auto"/>
        <w:tabs>
          <w:tab w:leader="none" w:pos="5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S.S. or I.R.S. Identification Nos. of Above Persons</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PRIMECAP Management Company</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95-3868081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540" w:right="4419" w:hanging="419"/>
        <w:spacing w:after="0" w:line="268" w:lineRule="auto"/>
        <w:tabs>
          <w:tab w:leader="none" w:pos="520" w:val="left"/>
        </w:tabs>
        <w:rPr>
          <w:sz w:val="20"/>
          <w:szCs w:val="20"/>
          <w:color w:val="auto"/>
        </w:rPr>
      </w:pPr>
      <w:r>
        <w:rPr>
          <w:rFonts w:ascii="Courier New" w:cs="Courier New" w:eastAsia="Courier New" w:hAnsi="Courier New"/>
          <w:sz w:val="16"/>
          <w:szCs w:val="16"/>
          <w:color w:val="auto"/>
        </w:rPr>
        <w:t>(2)</w:t>
        <w:tab/>
        <w:t>Check the Appropriate Box if a Member     (a)  / / of a Group*                               (b)  / /</w:t>
      </w: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800"/>
        <w:spacing w:after="0"/>
        <w:rPr>
          <w:sz w:val="20"/>
          <w:szCs w:val="20"/>
          <w:color w:val="auto"/>
        </w:rPr>
      </w:pPr>
      <w:r>
        <w:rPr>
          <w:rFonts w:ascii="Courier New" w:cs="Courier New" w:eastAsia="Courier New" w:hAnsi="Courier New"/>
          <w:sz w:val="18"/>
          <w:szCs w:val="18"/>
          <w:color w:val="auto"/>
        </w:rPr>
        <w:t>225 So. Lake Avenue #400, Pasadena, Ca 91101-3005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200" w:type="dxa"/>
            <w:vAlign w:val="bottom"/>
          </w:tcPr>
          <w:p>
            <w:pPr>
              <w:jc w:val="right"/>
              <w:ind w:right="17"/>
              <w:spacing w:after="0"/>
              <w:rPr>
                <w:sz w:val="20"/>
                <w:szCs w:val="20"/>
                <w:color w:val="auto"/>
              </w:rPr>
            </w:pPr>
            <w:r>
              <w:rPr>
                <w:rFonts w:ascii="Courier New" w:cs="Courier New" w:eastAsia="Courier New" w:hAnsi="Courier New"/>
                <w:sz w:val="18"/>
                <w:szCs w:val="18"/>
                <w:color w:val="auto"/>
              </w:rPr>
              <w:t>(5)</w:t>
            </w:r>
          </w:p>
        </w:tc>
        <w:tc>
          <w:tcPr>
            <w:tcW w:w="1900" w:type="dxa"/>
            <w:vAlign w:val="bottom"/>
          </w:tcPr>
          <w:p>
            <w:pPr>
              <w:spacing w:after="0"/>
              <w:rPr>
                <w:sz w:val="20"/>
                <w:szCs w:val="20"/>
                <w:color w:val="auto"/>
              </w:rPr>
            </w:pPr>
            <w:r>
              <w:rPr>
                <w:rFonts w:ascii="Courier New" w:cs="Courier New" w:eastAsia="Courier New" w:hAnsi="Courier New"/>
                <w:sz w:val="18"/>
                <w:szCs w:val="18"/>
                <w:color w:val="auto"/>
              </w:rPr>
              <w:t>Sole Voting</w:t>
            </w:r>
          </w:p>
        </w:tc>
        <w:tc>
          <w:tcPr>
            <w:tcW w:w="286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Beneficially</w:t>
            </w:r>
          </w:p>
        </w:tc>
        <w:tc>
          <w:tcPr>
            <w:tcW w:w="1200" w:type="dxa"/>
            <w:vAlign w:val="bottom"/>
          </w:tcPr>
          <w:p>
            <w:pPr>
              <w:spacing w:after="0"/>
              <w:rPr>
                <w:sz w:val="17"/>
                <w:szCs w:val="17"/>
                <w:color w:val="auto"/>
              </w:rPr>
            </w:pPr>
          </w:p>
        </w:tc>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Power</w:t>
            </w:r>
          </w:p>
        </w:tc>
        <w:tc>
          <w:tcPr>
            <w:tcW w:w="286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w w:val="96"/>
              </w:rPr>
              <w:t>1,350,300</w:t>
            </w: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by</w:t>
            </w:r>
          </w:p>
        </w:tc>
        <w:tc>
          <w:tcPr>
            <w:tcW w:w="3100" w:type="dxa"/>
            <w:vAlign w:val="bottom"/>
            <w:gridSpan w:val="2"/>
          </w:tcPr>
          <w:p>
            <w:pPr>
              <w:ind w:left="680"/>
              <w:spacing w:after="0"/>
              <w:rPr>
                <w:sz w:val="20"/>
                <w:szCs w:val="20"/>
                <w:color w:val="auto"/>
              </w:rPr>
            </w:pPr>
            <w:r>
              <w:rPr>
                <w:rFonts w:ascii="Courier New" w:cs="Courier New" w:eastAsia="Courier New" w:hAnsi="Courier New"/>
                <w:sz w:val="11"/>
                <w:szCs w:val="11"/>
                <w:color w:val="auto"/>
                <w:w w:val="72"/>
              </w:rPr>
              <w:t>--------------------------------------------------</w:t>
            </w:r>
          </w:p>
        </w:tc>
        <w:tc>
          <w:tcPr>
            <w:tcW w:w="286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Each Reporting</w:t>
            </w:r>
          </w:p>
        </w:tc>
        <w:tc>
          <w:tcPr>
            <w:tcW w:w="1200" w:type="dxa"/>
            <w:vAlign w:val="bottom"/>
          </w:tcPr>
          <w:p>
            <w:pPr>
              <w:jc w:val="right"/>
              <w:ind w:right="17"/>
              <w:spacing w:after="0" w:line="203" w:lineRule="exact"/>
              <w:rPr>
                <w:sz w:val="20"/>
                <w:szCs w:val="20"/>
                <w:color w:val="auto"/>
              </w:rPr>
            </w:pPr>
            <w:r>
              <w:rPr>
                <w:rFonts w:ascii="Courier New" w:cs="Courier New" w:eastAsia="Courier New" w:hAnsi="Courier New"/>
                <w:sz w:val="18"/>
                <w:szCs w:val="18"/>
                <w:color w:val="auto"/>
              </w:rPr>
              <w:t>(6)</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w:t>
            </w:r>
          </w:p>
        </w:tc>
        <w:tc>
          <w:tcPr>
            <w:tcW w:w="286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1200" w:type="dxa"/>
            <w:vAlign w:val="bottom"/>
          </w:tcPr>
          <w:p>
            <w:pPr>
              <w:spacing w:after="0"/>
              <w:rPr>
                <w:sz w:val="17"/>
                <w:szCs w:val="17"/>
                <w:color w:val="auto"/>
              </w:rPr>
            </w:pPr>
          </w:p>
        </w:tc>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Power</w:t>
            </w:r>
          </w:p>
        </w:tc>
        <w:tc>
          <w:tcPr>
            <w:tcW w:w="2860" w:type="dxa"/>
            <w:vAlign w:val="bottom"/>
          </w:tcPr>
          <w:p>
            <w:pPr>
              <w:jc w:val="right"/>
              <w:ind w:right="23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rPr>
                <w:sz w:val="17"/>
                <w:szCs w:val="17"/>
                <w:color w:val="auto"/>
              </w:rPr>
            </w:pPr>
          </w:p>
        </w:tc>
        <w:tc>
          <w:tcPr>
            <w:tcW w:w="596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80" w:type="dxa"/>
            <w:vAlign w:val="bottom"/>
          </w:tcPr>
          <w:p>
            <w:pPr>
              <w:spacing w:after="0"/>
              <w:rPr>
                <w:sz w:val="17"/>
                <w:szCs w:val="17"/>
                <w:color w:val="auto"/>
              </w:rPr>
            </w:pPr>
          </w:p>
        </w:tc>
        <w:tc>
          <w:tcPr>
            <w:tcW w:w="1200" w:type="dxa"/>
            <w:vAlign w:val="bottom"/>
          </w:tcPr>
          <w:p>
            <w:pPr>
              <w:jc w:val="right"/>
              <w:ind w:right="17"/>
              <w:spacing w:after="0" w:line="203" w:lineRule="exact"/>
              <w:rPr>
                <w:sz w:val="20"/>
                <w:szCs w:val="20"/>
                <w:color w:val="auto"/>
              </w:rPr>
            </w:pPr>
            <w:r>
              <w:rPr>
                <w:rFonts w:ascii="Courier New" w:cs="Courier New" w:eastAsia="Courier New" w:hAnsi="Courier New"/>
                <w:sz w:val="18"/>
                <w:szCs w:val="18"/>
                <w:color w:val="auto"/>
              </w:rPr>
              <w:t>(7)</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w:t>
            </w:r>
          </w:p>
        </w:tc>
        <w:tc>
          <w:tcPr>
            <w:tcW w:w="286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Power</w:t>
            </w:r>
          </w:p>
        </w:tc>
        <w:tc>
          <w:tcPr>
            <w:tcW w:w="286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w w:val="96"/>
              </w:rPr>
              <w:t>1,350,300</w:t>
            </w:r>
          </w:p>
        </w:tc>
      </w:tr>
      <w:tr>
        <w:trPr>
          <w:trHeight w:val="203"/>
        </w:trPr>
        <w:tc>
          <w:tcPr>
            <w:tcW w:w="2380" w:type="dxa"/>
            <w:vAlign w:val="bottom"/>
          </w:tcPr>
          <w:p>
            <w:pPr>
              <w:spacing w:after="0"/>
              <w:rPr>
                <w:sz w:val="17"/>
                <w:szCs w:val="17"/>
                <w:color w:val="auto"/>
              </w:rPr>
            </w:pPr>
          </w:p>
        </w:tc>
        <w:tc>
          <w:tcPr>
            <w:tcW w:w="596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80" w:type="dxa"/>
            <w:vAlign w:val="bottom"/>
          </w:tcPr>
          <w:p>
            <w:pPr>
              <w:spacing w:after="0"/>
              <w:rPr>
                <w:sz w:val="17"/>
                <w:szCs w:val="17"/>
                <w:color w:val="auto"/>
              </w:rPr>
            </w:pPr>
          </w:p>
        </w:tc>
        <w:tc>
          <w:tcPr>
            <w:tcW w:w="1200" w:type="dxa"/>
            <w:vAlign w:val="bottom"/>
          </w:tcPr>
          <w:p>
            <w:pPr>
              <w:jc w:val="right"/>
              <w:ind w:right="17"/>
              <w:spacing w:after="0" w:line="203" w:lineRule="exact"/>
              <w:rPr>
                <w:sz w:val="20"/>
                <w:szCs w:val="20"/>
                <w:color w:val="auto"/>
              </w:rPr>
            </w:pPr>
            <w:r>
              <w:rPr>
                <w:rFonts w:ascii="Courier New" w:cs="Courier New" w:eastAsia="Courier New" w:hAnsi="Courier New"/>
                <w:sz w:val="18"/>
                <w:szCs w:val="18"/>
                <w:color w:val="auto"/>
              </w:rPr>
              <w:t>(8)</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w:t>
            </w:r>
          </w:p>
        </w:tc>
        <w:tc>
          <w:tcPr>
            <w:tcW w:w="286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Power</w:t>
            </w:r>
          </w:p>
        </w:tc>
        <w:tc>
          <w:tcPr>
            <w:tcW w:w="286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w w:val="96"/>
              </w:rPr>
              <w:t>2,770,000</w:t>
            </w:r>
          </w:p>
        </w:tc>
      </w:tr>
    </w:tbl>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2440"/>
        <w:spacing w:after="0"/>
        <w:rPr>
          <w:sz w:val="20"/>
          <w:szCs w:val="20"/>
          <w:color w:val="auto"/>
        </w:rPr>
      </w:pPr>
      <w:r>
        <w:rPr>
          <w:rFonts w:ascii="Courier New" w:cs="Courier New" w:eastAsia="Courier New" w:hAnsi="Courier New"/>
          <w:sz w:val="18"/>
          <w:szCs w:val="18"/>
          <w:color w:val="auto"/>
        </w:rPr>
        <w:t>4,120,300</w:t>
      </w:r>
    </w:p>
    <w:p>
      <w:pPr>
        <w:spacing w:after="0" w:line="3"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ind w:left="2740"/>
        <w:spacing w:after="0"/>
        <w:rPr>
          <w:sz w:val="20"/>
          <w:szCs w:val="20"/>
          <w:color w:val="auto"/>
        </w:rPr>
      </w:pPr>
      <w:r>
        <w:rPr>
          <w:rFonts w:ascii="Courier New" w:cs="Courier New" w:eastAsia="Courier New" w:hAnsi="Courier New"/>
          <w:sz w:val="18"/>
          <w:szCs w:val="18"/>
          <w:color w:val="auto"/>
        </w:rPr>
        <w:t>5.21%</w:t>
      </w:r>
    </w:p>
    <w:p>
      <w:pPr>
        <w:spacing w:after="0" w:line="3"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pacing w:after="0" w:line="202" w:lineRule="exact"/>
        <w:rPr>
          <w:sz w:val="20"/>
          <w:szCs w:val="20"/>
          <w:color w:val="auto"/>
        </w:rPr>
      </w:pPr>
    </w:p>
    <w:p>
      <w:pPr>
        <w:ind w:left="3060"/>
        <w:spacing w:after="0"/>
        <w:tabs>
          <w:tab w:leader="none" w:pos="3680" w:val="left"/>
          <w:tab w:leader="none" w:pos="4000" w:val="left"/>
          <w:tab w:leader="none" w:pos="4420" w:val="left"/>
          <w:tab w:leader="none" w:pos="4720" w:val="left"/>
        </w:tabs>
        <w:rPr>
          <w:sz w:val="20"/>
          <w:szCs w:val="20"/>
          <w:color w:val="auto"/>
        </w:rPr>
      </w:pPr>
      <w:r>
        <w:rPr>
          <w:rFonts w:ascii="Courier New" w:cs="Courier New" w:eastAsia="Courier New" w:hAnsi="Courier New"/>
          <w:sz w:val="18"/>
          <w:szCs w:val="18"/>
          <w:color w:val="auto"/>
        </w:rPr>
        <w:t>Page</w:t>
        <w:tab/>
        <w:t>2</w:t>
        <w:tab/>
        <w:t>of</w:t>
        <w:tab/>
        <w:t>3</w:t>
        <w:tab/>
        <w:t>Pages</w:t>
      </w:r>
    </w:p>
    <w:p>
      <w:pPr>
        <w:ind w:left="35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bookmarkStart w:id="2" w:name="page3"/>
    <w:bookmarkEnd w:id="2"/>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380" w:hanging="635"/>
        <w:spacing w:after="0" w:line="238" w:lineRule="auto"/>
        <w:tabs>
          <w:tab w:leader="none" w:pos="13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380" w:hanging="740"/>
        <w:spacing w:after="0" w:line="238" w:lineRule="auto"/>
        <w:tabs>
          <w:tab w:leader="none" w:pos="13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380" w:hanging="635"/>
        <w:spacing w:after="0" w:line="238" w:lineRule="auto"/>
        <w:tabs>
          <w:tab w:leader="none" w:pos="13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INSTRUCTION: For computations regarding securities which represent a right to</w:t>
      </w:r>
    </w:p>
    <w:p>
      <w:pPr>
        <w:spacing w:after="0" w:line="1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acquire an underlying security see Rule 13d-3(d)(1).</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ind w:left="960" w:right="231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70" w:lineRule="exact"/>
        <w:rPr>
          <w:sz w:val="20"/>
          <w:szCs w:val="20"/>
          <w:color w:val="auto"/>
        </w:rPr>
      </w:pPr>
    </w:p>
    <w:p>
      <w:pPr>
        <w:ind w:right="2319" w:firstLine="421"/>
        <w:spacing w:after="0" w:line="273" w:lineRule="auto"/>
        <w:rPr>
          <w:sz w:val="20"/>
          <w:szCs w:val="20"/>
          <w:color w:val="auto"/>
        </w:rPr>
      </w:pPr>
      <w:r>
        <w:rPr>
          <w:rFonts w:ascii="Courier New" w:cs="Courier New" w:eastAsia="Courier New" w:hAnsi="Courier New"/>
          <w:sz w:val="16"/>
          <w:szCs w:val="16"/>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attach an exhibit stating the identification of the relevant subsidiary.</w:t>
      </w:r>
    </w:p>
    <w:p>
      <w:pPr>
        <w:spacing w:after="0" w:line="1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If a group has filed this schedule pursuant to Rule 13d-(b)(ii)(H), so indicate under Item 3(h) and attach an exhibit stating the identity and Item 3 classification of each member of the group. If a group has filed this schedule pursuant to Rule 13d-1(c), attach an exhibit stating the identity of each member of the group.</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7" w:lineRule="exact"/>
        <w:rPr>
          <w:sz w:val="20"/>
          <w:szCs w:val="20"/>
          <w:color w:val="auto"/>
        </w:rPr>
      </w:pPr>
    </w:p>
    <w:p>
      <w:pPr>
        <w:ind w:right="2419" w:firstLine="316"/>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7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419" w:firstLine="316"/>
        <w:spacing w:after="0" w:line="235" w:lineRule="auto"/>
        <w:rPr>
          <w:sz w:val="20"/>
          <w:szCs w:val="20"/>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6"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jc w:val="center"/>
        <w:ind w:left="1040"/>
        <w:spacing w:after="0"/>
        <w:rPr>
          <w:sz w:val="20"/>
          <w:szCs w:val="20"/>
          <w:color w:val="auto"/>
        </w:rPr>
      </w:pPr>
      <w:r>
        <w:rPr>
          <w:rFonts w:ascii="Courier New" w:cs="Courier New" w:eastAsia="Courier New" w:hAnsi="Courier New"/>
          <w:sz w:val="18"/>
          <w:szCs w:val="18"/>
          <w:color w:val="auto"/>
        </w:rPr>
        <w:t>January 31, 1999</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THEO KOLOKOTRONES</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717" w:right="1440" w:bottom="0" w:gutter="0" w:footer="0" w:header="0"/>
        </w:sectPr>
      </w:pPr>
    </w:p>
    <w:bookmarkStart w:id="3" w:name="page4"/>
    <w:bookmarkEnd w:id="3"/>
    <w:p>
      <w:pPr>
        <w:ind w:left="3440"/>
        <w:spacing w:after="0"/>
        <w:rPr>
          <w:sz w:val="20"/>
          <w:szCs w:val="20"/>
          <w:color w:val="auto"/>
        </w:rPr>
      </w:pPr>
      <w:r>
        <w:rPr>
          <w:rFonts w:ascii="Courier New" w:cs="Courier New" w:eastAsia="Courier New" w:hAnsi="Courier New"/>
          <w:sz w:val="18"/>
          <w:szCs w:val="18"/>
          <w:color w:val="auto"/>
        </w:rPr>
        <w:t>Theo A. Kolokotrones, President</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00"/>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9019"/>
      </w:cols>
      <w:pgMar w:left="14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2)"/>
      <w:numFmt w:val="decimal"/>
      <w:start w:val="1"/>
    </w:lvl>
  </w:abstractNum>
  <w:abstractNum w:abstractNumId="1">
    <w:nsid w:val="46E87CCD"/>
    <w:multiLevelType w:val="hybridMultilevel"/>
    <w:lvl w:ilvl="0">
      <w:lvlJc w:val="left"/>
      <w:lvlText w:val="-"/>
      <w:numFmt w:val="bullet"/>
      <w:start w:val="1"/>
    </w:lvl>
    <w:lvl w:ilvl="1">
      <w:lvlJc w:val="left"/>
      <w:lvlText w:val="(%2)"/>
      <w:numFmt w:val="decimal"/>
      <w:start w:val="3"/>
    </w:lvl>
  </w:abstractNum>
  <w:abstractNum w:abstractNumId="2">
    <w:nsid w:val="3D1B58BA"/>
    <w:multiLevelType w:val="hybridMultilevel"/>
    <w:lvl w:ilvl="0">
      <w:lvlJc w:val="left"/>
      <w:lvlText w:val="-"/>
      <w:numFmt w:val="bullet"/>
      <w:start w:val="1"/>
    </w:lvl>
    <w:lvl w:ilvl="1">
      <w:lvlJc w:val="left"/>
      <w:lvlText w:val="(%2)"/>
      <w:numFmt w:val="decimal"/>
      <w:start w:val="4"/>
    </w:lvl>
  </w:abstractNum>
  <w:abstractNum w:abstractNumId="3">
    <w:nsid w:val="507ED7AB"/>
    <w:multiLevelType w:val="hybridMultilevel"/>
    <w:lvl w:ilvl="0">
      <w:lvlJc w:val="left"/>
      <w:lvlText w:val="-"/>
      <w:numFmt w:val="bullet"/>
      <w:start w:val="1"/>
    </w:lvl>
    <w:lvl w:ilvl="1">
      <w:lvlJc w:val="left"/>
      <w:lvlText w:val="(%2)"/>
      <w:numFmt w:val="decimal"/>
      <w:start w:val="9"/>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2019-12-20T13:58:30Z</dcterms:created>
  <dcterms:modified xsi:type="dcterms:W3CDTF">2019-12-20T13:58:30Z</dcterms:modified>
</cp:coreProperties>
</file>