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15,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MANPOWERGROUP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684" w:type="dxa"/>
        <w:tblCellMar>
          <w:top w:w="0" w:type="dxa"/>
          <w:left w:w="0" w:type="dxa"/>
          <w:bottom w:w="0" w:type="dxa"/>
          <w:right w:w="0" w:type="dxa"/>
        </w:tblCellMar>
      </w:tblPr>
      <w:tr>
        <w:trPr>
          <w:trHeight w:val="214"/>
        </w:trPr>
        <w:tc>
          <w:tcPr>
            <w:tcW w:w="3460" w:type="dxa"/>
            <w:vAlign w:val="bottom"/>
          </w:tcPr>
          <w:p>
            <w:pPr>
              <w:jc w:val="center"/>
              <w:ind w:right="999"/>
              <w:spacing w:after="0"/>
              <w:rPr>
                <w:sz w:val="20"/>
                <w:szCs w:val="20"/>
                <w:color w:val="auto"/>
              </w:rPr>
            </w:pPr>
            <w:r>
              <w:rPr>
                <w:rFonts w:ascii="Times New Roman" w:cs="Times New Roman" w:eastAsia="Times New Roman" w:hAnsi="Times New Roman"/>
                <w:sz w:val="18"/>
                <w:szCs w:val="18"/>
                <w:b w:val="1"/>
                <w:bCs w:val="1"/>
                <w:color w:val="auto"/>
                <w:w w:val="98"/>
              </w:rPr>
              <w:t>Wisconsin</w:t>
            </w:r>
          </w:p>
        </w:tc>
        <w:tc>
          <w:tcPr>
            <w:tcW w:w="3220" w:type="dxa"/>
            <w:vAlign w:val="bottom"/>
          </w:tcPr>
          <w:p>
            <w:pPr>
              <w:jc w:val="center"/>
              <w:ind w:right="182"/>
              <w:spacing w:after="0"/>
              <w:rPr>
                <w:sz w:val="20"/>
                <w:szCs w:val="20"/>
                <w:color w:val="auto"/>
              </w:rPr>
            </w:pPr>
            <w:r>
              <w:rPr>
                <w:rFonts w:ascii="Times New Roman" w:cs="Times New Roman" w:eastAsia="Times New Roman" w:hAnsi="Times New Roman"/>
                <w:sz w:val="18"/>
                <w:szCs w:val="18"/>
                <w:b w:val="1"/>
                <w:bCs w:val="1"/>
                <w:color w:val="auto"/>
                <w:w w:val="99"/>
              </w:rPr>
              <w:t>1-10686</w:t>
            </w:r>
          </w:p>
        </w:tc>
        <w:tc>
          <w:tcPr>
            <w:tcW w:w="24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39-1672779</w:t>
            </w:r>
          </w:p>
        </w:tc>
      </w:tr>
      <w:tr>
        <w:trPr>
          <w:trHeight w:val="148"/>
        </w:trPr>
        <w:tc>
          <w:tcPr>
            <w:tcW w:w="3460" w:type="dxa"/>
            <w:vAlign w:val="bottom"/>
          </w:tcPr>
          <w:p>
            <w:pPr>
              <w:jc w:val="center"/>
              <w:ind w:right="10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220" w:type="dxa"/>
            <w:vAlign w:val="bottom"/>
          </w:tcPr>
          <w:p>
            <w:pPr>
              <w:jc w:val="center"/>
              <w:ind w:right="182"/>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460" w:type="dxa"/>
            <w:vAlign w:val="bottom"/>
          </w:tcPr>
          <w:p>
            <w:pPr>
              <w:jc w:val="center"/>
              <w:ind w:right="9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220" w:type="dxa"/>
            <w:vAlign w:val="bottom"/>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460" w:type="dxa"/>
            <w:vAlign w:val="bottom"/>
          </w:tcPr>
          <w:p>
            <w:pPr>
              <w:jc w:val="center"/>
              <w:ind w:right="999"/>
              <w:spacing w:after="0"/>
              <w:rPr>
                <w:sz w:val="20"/>
                <w:szCs w:val="20"/>
                <w:color w:val="auto"/>
              </w:rPr>
            </w:pPr>
            <w:r>
              <w:rPr>
                <w:rFonts w:ascii="Times New Roman" w:cs="Times New Roman" w:eastAsia="Times New Roman" w:hAnsi="Times New Roman"/>
                <w:sz w:val="18"/>
                <w:szCs w:val="18"/>
                <w:b w:val="1"/>
                <w:bCs w:val="1"/>
                <w:color w:val="auto"/>
              </w:rPr>
              <w:t>100 Manpower Place</w:t>
            </w:r>
          </w:p>
        </w:tc>
        <w:tc>
          <w:tcPr>
            <w:tcW w:w="322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14"/>
        </w:trPr>
        <w:tc>
          <w:tcPr>
            <w:tcW w:w="3460" w:type="dxa"/>
            <w:vAlign w:val="bottom"/>
          </w:tcPr>
          <w:p>
            <w:pPr>
              <w:jc w:val="center"/>
              <w:ind w:right="1019"/>
              <w:spacing w:after="0"/>
              <w:rPr>
                <w:sz w:val="20"/>
                <w:szCs w:val="20"/>
                <w:color w:val="auto"/>
              </w:rPr>
            </w:pPr>
            <w:r>
              <w:rPr>
                <w:rFonts w:ascii="Times New Roman" w:cs="Times New Roman" w:eastAsia="Times New Roman" w:hAnsi="Times New Roman"/>
                <w:sz w:val="18"/>
                <w:szCs w:val="18"/>
                <w:b w:val="1"/>
                <w:bCs w:val="1"/>
                <w:color w:val="auto"/>
                <w:w w:val="99"/>
              </w:rPr>
              <w:t>Milwaukee, Wisconsin</w:t>
            </w:r>
          </w:p>
        </w:tc>
        <w:tc>
          <w:tcPr>
            <w:tcW w:w="3220" w:type="dxa"/>
            <w:vAlign w:val="bottom"/>
          </w:tcPr>
          <w:p>
            <w:pPr>
              <w:spacing w:after="0"/>
              <w:rPr>
                <w:sz w:val="18"/>
                <w:szCs w:val="18"/>
                <w:color w:val="auto"/>
              </w:rPr>
            </w:pPr>
          </w:p>
        </w:tc>
        <w:tc>
          <w:tcPr>
            <w:tcW w:w="24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53212</w:t>
            </w:r>
          </w:p>
        </w:tc>
      </w:tr>
      <w:tr>
        <w:trPr>
          <w:trHeight w:val="190"/>
        </w:trPr>
        <w:tc>
          <w:tcPr>
            <w:tcW w:w="3460" w:type="dxa"/>
            <w:vAlign w:val="bottom"/>
          </w:tcPr>
          <w:p>
            <w:pPr>
              <w:jc w:val="center"/>
              <w:ind w:right="9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22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0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(414) 961-1000</w:t>
      </w:r>
    </w:p>
    <w:p>
      <w:pPr>
        <w:spacing w:after="0" w:line="30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170815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9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1"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MAN</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On December 15, 2025, ManpowerGroup Inc. (the “Company”) entered into a Credit Agreement (the “Credit Agreement”) with a syndicate of lenders and JPMorgan Chase Bank, N.A., as Administrative Agent. This Credit Agreement replaces the Company’s previous $600 million revolving credit facility.</w:t>
      </w:r>
    </w:p>
    <w:p>
      <w:pPr>
        <w:spacing w:after="0" w:line="176"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The Credit Agreement provides for a $600 million five-year revolving credit facility and includes increased allowances for restructuring and related charges added-back to earnings for covenant calculations and other terms generally consistent with the Company’s previous revolving credit facility. The Company may request an increase in revolving credit commitments under the facility of up to $300 million in certain circumstances.</w:t>
      </w:r>
    </w:p>
    <w:p>
      <w:pPr>
        <w:spacing w:after="0" w:line="176"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Credit Agreement contains customary restrictive covenants pertaining to our management and operations, including limitations on restricted payments, the amount of subsidiary debt that the Company may incur and limitations on our ability to pledge assets, as well as financial covenants requiring, among other things, that the Company comply with a leverage ratio and a fixed charge coverage ratio. The Credit Agreement also contains customary events of default, including, among others, payment defaults, material inaccuracy of representations and warranties, covenant defaults, bankruptcy or involuntary proceedings, certain monetary and non-monetary judgments, change of control and customary ERISA defaults.</w:t>
      </w:r>
    </w:p>
    <w:p>
      <w:pPr>
        <w:spacing w:after="0" w:line="18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Credit Agreement does not purport to be complete and is qualified in its entirety by reference to the agreement filed herewith as exhibit 10.1, which is incorporated by reference into this Item 1.01.</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Item1.02</w:t>
      </w:r>
      <w:r>
        <w:rPr>
          <w:sz w:val="20"/>
          <w:szCs w:val="20"/>
          <w:color w:val="auto"/>
        </w:rPr>
        <w:tab/>
      </w:r>
      <w:r>
        <w:rPr>
          <w:rFonts w:ascii="Times New Roman" w:cs="Times New Roman" w:eastAsia="Times New Roman" w:hAnsi="Times New Roman"/>
          <w:sz w:val="18"/>
          <w:szCs w:val="18"/>
          <w:b w:val="1"/>
          <w:bCs w:val="1"/>
          <w:color w:val="auto"/>
        </w:rPr>
        <w:t>Termination of Material Definitive Agreement</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connection with its entry into the Credit Agreement, the Credit Agreement dated as of May 27, 2022 among the Company, a syndicate of lenders and JPMorgan Chase Bank, N.A., as Administrative Agent, as amended, was terminated as of December 15, 2025. The Company incurred no early termination penalties in connection with the termination of this agreement.</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8"/>
          <w:szCs w:val="18"/>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On December 15, 2025, the Company offered and sold €500 million aggregate principal amount of the Company’s 3.750% notes due December 13, 2030 (the “Notes”). The net proceeds to the Company from the offering of the Notes were approximately €497.395 million, and will be used by the Company to redeem its €500 million 1.750% notes due June 22, 2026 (the “1.750% Notes”).</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Notes were offered at an issue price of 99.839% of the aggregate principal amount. Interest on the Notes is payable in arrears on December 13th of each year. The Notes are the senior unsecured obligations of the Company and will rank equally with all of the Company’s existing and future senior unsecured debt and other liabilities. The Notes were issued under a Fiscal and Paying Agency Agreement (the “Agreement”) between the Company and Citibank, N.A., London Branch, as Fiscal and Principal Paying Agent, Transfer Agent and Registrar, dated as of December 15, 2025.</w:t>
      </w:r>
    </w:p>
    <w:p>
      <w:pPr>
        <w:spacing w:after="0" w:line="180"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The Company may redeem the Notes, in whole or in part, at the Company’s option at any time prior to October 13, 2030 (two months prior to the maturity date of the Notes) at a redemption price equal to the greater of (1) 100% of the principal amount of the Notes, or (2) as determined by the Quotation Agent (as defined in the Notes), the sum of the present values of the remaining scheduled payments of principal and interest thereon (not including any portion of such payments of interest accrued as of the date of redemption) discounted to the redemption date on an annual basis using a discount rate equal to the average of the four quotations of the average midmarket annual yield to maturity on an Actual/Actual (ICMA) basis of the DBR 2.400% due 15 November 2030 (or if that security is no longer outstanding, a similar security), plus 0.250%, plus in each case, accrued interest thereon to the date of redemption.</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the Notes will be redeemable at the Company’s option, in whole or in part, at any time on or after October 13, 2030 (two months prior to the maturity date of the Notes) at a redemption price equal to 100% of the principal amount of the Notes to be redeemed, plus accrued and unpaid interest thereon at the date of the redemption.</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Notes are listed on the Official List of the Irish Stock Exchange plc trading as Euronext Dublin. The Notes have not been registered under the Securities Act of 1933, as amended, and may not be offered or sold in the United States absent registration or an applicable exemption from registration requirements.</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Agreement is qualified in its entirety by reference to the agreement filed herewith as exhibit 4.1, which is incorporated by reference into this Item 2.03.</w:t>
      </w:r>
    </w:p>
    <w:p>
      <w:pPr>
        <w:sectPr>
          <w:pgSz w:w="11900" w:h="16838" w:orient="portrait"/>
          <w:cols w:equalWidth="0" w:num="1">
            <w:col w:w="10980"/>
          </w:cols>
          <w:pgMar w:left="440" w:top="293" w:right="479" w:bottom="1440" w:gutter="0" w:footer="0" w:header="0"/>
        </w:sectPr>
      </w:pPr>
    </w:p>
    <w:bookmarkStart w:id="2" w:name="page3"/>
    <w:bookmarkEnd w:id="2"/>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left="4"/>
        <w:spacing w:after="0" w:line="255" w:lineRule="auto"/>
        <w:rPr>
          <w:sz w:val="20"/>
          <w:szCs w:val="20"/>
          <w:color w:val="auto"/>
        </w:rPr>
      </w:pPr>
      <w:r>
        <w:rPr>
          <w:rFonts w:ascii="Times New Roman" w:cs="Times New Roman" w:eastAsia="Times New Roman" w:hAnsi="Times New Roman"/>
          <w:sz w:val="18"/>
          <w:szCs w:val="18"/>
          <w:color w:val="auto"/>
        </w:rPr>
        <w:t>On December 15, 2025, the Company issued a notice of redemption for the 1.750% Notes. In accordance with the terms of the notice, the 1.750% Notes will be redeemed on January 14, 2026 at a redemption price equal to the greater of (a) 100% of the principal amount of the 1.750% Notes or (b) as determined by the Quotation Agent (as defined in the 1.750% Notes), the sum of the present values of the remaining scheduled payments of principal and interest thereon (not including any portion of such payments of interest accrued as of the date of redemption) discounted to the redemption date on an annual basis using a discount rate equal to the average of the three quotations of the average midmarket annual yield to maturity on an Actual/Actual (ICMA) basis of the DBR 0.500% due 15 February 2026 or, if that security is no longer outstanding, a similar security, plus 0.25%, plus accrued interest thereon to the date of redemption.</w:t>
      </w:r>
    </w:p>
    <w:p>
      <w:pPr>
        <w:spacing w:after="0" w:line="333"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53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67"/>
        </w:trPr>
        <w:tc>
          <w:tcPr>
            <w:tcW w:w="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620" w:type="dxa"/>
            <w:vAlign w:val="bottom"/>
          </w:tcPr>
          <w:p>
            <w:pPr>
              <w:spacing w:after="0"/>
              <w:rPr>
                <w:sz w:val="24"/>
                <w:szCs w:val="24"/>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4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50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884" w:right="140" w:hanging="884"/>
        <w:spacing w:after="0" w:line="282" w:lineRule="auto"/>
        <w:tabs>
          <w:tab w:leader="none" w:pos="9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w:t>
      </w:r>
      <w:r>
        <w:rPr>
          <w:rFonts w:ascii="Times New Roman" w:cs="Times New Roman" w:eastAsia="Times New Roman" w:hAnsi="Times New Roman"/>
          <w:sz w:val="18"/>
          <w:szCs w:val="18"/>
          <w:u w:val="single" w:color="auto"/>
          <w:color w:val="0000EE"/>
        </w:rPr>
        <w:t>Fiscal and Paying Agency Agreement between the Company and Citibank, N.A., London Branch, as Fiscal Agent, Principal Paying Agent and Registrar and Transfer Agent, dated as of December 15, 2025 (including the form of Note attached thereto as Schedule I).</w:t>
      </w:r>
    </w:p>
    <w:p>
      <w:pPr>
        <w:spacing w:after="0" w:line="54" w:lineRule="exact"/>
        <w:rPr>
          <w:sz w:val="20"/>
          <w:szCs w:val="20"/>
          <w:color w:val="auto"/>
        </w:rPr>
      </w:pPr>
    </w:p>
    <w:p>
      <w:pPr>
        <w:ind w:left="884" w:right="660" w:hanging="876"/>
        <w:spacing w:after="0" w:line="282" w:lineRule="auto"/>
        <w:tabs>
          <w:tab w:leader="none" w:pos="864"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u w:val="single" w:color="auto"/>
          <w:color w:val="0000EE"/>
        </w:rPr>
        <w:t>Credit Agreement dated as of December 15, 2025 among the Company, a syndicate of lenders and JPMorgan Chase Bank, N.A., as Administrative Agent.</w:t>
      </w:r>
    </w:p>
    <w:p>
      <w:pPr>
        <w:spacing w:after="0" w:line="54"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984"/>
          </w:cols>
          <w:pgMar w:left="436" w:top="293" w:right="4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730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MANPOWERGROUP INC.</w:t>
            </w:r>
          </w:p>
        </w:tc>
      </w:tr>
      <w:tr>
        <w:trPr>
          <w:trHeight w:val="432"/>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Dated: December 15, 2025</w:t>
            </w:r>
          </w:p>
        </w:tc>
        <w:tc>
          <w:tcPr>
            <w:tcW w:w="244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T. McGinnis</w:t>
            </w:r>
          </w:p>
        </w:tc>
      </w:tr>
      <w:tr>
        <w:trPr>
          <w:trHeight w:val="205"/>
        </w:trPr>
        <w:tc>
          <w:tcPr>
            <w:tcW w:w="3720" w:type="dxa"/>
            <w:vAlign w:val="bottom"/>
          </w:tcPr>
          <w:p>
            <w:pPr>
              <w:spacing w:after="0"/>
              <w:rPr>
                <w:sz w:val="17"/>
                <w:szCs w:val="17"/>
                <w:color w:val="auto"/>
              </w:rPr>
            </w:pPr>
          </w:p>
        </w:tc>
        <w:tc>
          <w:tcPr>
            <w:tcW w:w="2440" w:type="dxa"/>
            <w:vAlign w:val="bottom"/>
          </w:tcPr>
          <w:p>
            <w:pPr>
              <w:ind w:left="180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John T. McGinnis</w:t>
            </w:r>
          </w:p>
        </w:tc>
      </w:tr>
      <w:tr>
        <w:trPr>
          <w:trHeight w:val="234"/>
        </w:trPr>
        <w:tc>
          <w:tcPr>
            <w:tcW w:w="3720" w:type="dxa"/>
            <w:vAlign w:val="bottom"/>
          </w:tcPr>
          <w:p>
            <w:pPr>
              <w:spacing w:after="0"/>
              <w:rPr>
                <w:sz w:val="20"/>
                <w:szCs w:val="20"/>
                <w:color w:val="auto"/>
              </w:rPr>
            </w:pPr>
          </w:p>
        </w:tc>
        <w:tc>
          <w:tcPr>
            <w:tcW w:w="244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r>
    </w:tbl>
    <w:p>
      <w:pPr>
        <w:sectPr>
          <w:pgSz w:w="11900" w:h="16838" w:orient="portrait"/>
          <w:cols w:equalWidth="0" w:num="1">
            <w:col w:w="11020"/>
          </w:cols>
          <w:pgMar w:left="440" w:top="293"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b w:val="1"/>
          <w:bCs w:val="1"/>
          <w:color w:val="auto"/>
        </w:rPr>
        <w:t>FISCAL AND PAYING AGENCY AGREEMENT</w:t>
      </w:r>
    </w:p>
    <w:p>
      <w:pPr>
        <w:spacing w:after="0" w:line="23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DECEMBER 15, 2025</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225"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MANPOWERGROUP INC.</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CITIBANK, N.A., LONDON BRANCH</w:t>
      </w:r>
    </w:p>
    <w:p>
      <w:pPr>
        <w:spacing w:after="0" w:line="3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as Fiscal Agent, Principal Paying Agent,</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Registrar and Transfer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323215</wp:posOffset>
            </wp:positionV>
            <wp:extent cx="1945640" cy="162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45640"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Allen Overy Shearman Sterling LLP</w:t>
      </w:r>
    </w:p>
    <w:p>
      <w:pPr>
        <w:sectPr>
          <w:pgSz w:w="11900" w:h="16838" w:orient="portrait"/>
          <w:cols w:equalWidth="0" w:num="1">
            <w:col w:w="10020"/>
          </w:cols>
          <w:pgMar w:left="1440" w:top="117" w:right="439" w:bottom="1440" w:gutter="0" w:footer="0" w:header="0"/>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Clause</w:t>
            </w:r>
          </w:p>
        </w:tc>
        <w:tc>
          <w:tcPr>
            <w:tcW w:w="7960" w:type="dxa"/>
            <w:vAlign w:val="bottom"/>
          </w:tcPr>
          <w:p>
            <w:pPr>
              <w:spacing w:after="0"/>
              <w:rPr>
                <w:sz w:val="16"/>
                <w:szCs w:val="16"/>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89"/>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7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7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Appointment of the Fiscal Agent, Registrar, Transfer Agent and Paying Agent</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7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Amount; Additional Notes; Execution</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7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Authorized Representatives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7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Form of the Notes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7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Book-Entry Provisions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7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Transfer and Exchange</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7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Definitive Notes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7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Reliance on Instructions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7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Company’s Representations and Warranties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7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Payment of Note Principal and Interest; Interest Payment Dates; Record Dates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7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Duties of the Fiscal Agent</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7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Liability</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7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Indemnification by Company</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15.</w:t>
            </w:r>
          </w:p>
        </w:tc>
        <w:tc>
          <w:tcPr>
            <w:tcW w:w="7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Indemnification by the Agents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16.</w:t>
            </w:r>
          </w:p>
        </w:tc>
        <w:tc>
          <w:tcPr>
            <w:tcW w:w="7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Compensation of the Agents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17.</w:t>
            </w:r>
          </w:p>
        </w:tc>
        <w:tc>
          <w:tcPr>
            <w:tcW w:w="7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Meetings of the Noteholders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18.</w:t>
            </w:r>
          </w:p>
        </w:tc>
        <w:tc>
          <w:tcPr>
            <w:tcW w:w="7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Notices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19.</w:t>
            </w:r>
          </w:p>
        </w:tc>
        <w:tc>
          <w:tcPr>
            <w:tcW w:w="7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Resignation or Removal of the Agents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20.</w:t>
            </w:r>
          </w:p>
        </w:tc>
        <w:tc>
          <w:tcPr>
            <w:tcW w:w="7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Benefit of Agreement</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7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Notes held by a Paying Agent</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7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Change of Control</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7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Counterparts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7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Contractual Recognition of Bail-In Powers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25.</w:t>
            </w:r>
          </w:p>
        </w:tc>
        <w:tc>
          <w:tcPr>
            <w:tcW w:w="7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Governing Law</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26.</w:t>
            </w:r>
          </w:p>
        </w:tc>
        <w:tc>
          <w:tcPr>
            <w:tcW w:w="7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Submission to New York Jurisdiction</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27.</w:t>
            </w:r>
          </w:p>
        </w:tc>
        <w:tc>
          <w:tcPr>
            <w:tcW w:w="7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Modification of Agreement and Notes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28.</w:t>
            </w:r>
          </w:p>
        </w:tc>
        <w:tc>
          <w:tcPr>
            <w:tcW w:w="7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Entire Agreement</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24"/>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w:t>
            </w:r>
          </w:p>
        </w:tc>
        <w:tc>
          <w:tcPr>
            <w:tcW w:w="2540" w:type="dxa"/>
            <w:vAlign w:val="bottom"/>
          </w:tcPr>
          <w:p>
            <w:pPr>
              <w:spacing w:after="0"/>
              <w:rPr>
                <w:sz w:val="24"/>
                <w:szCs w:val="24"/>
                <w:color w:val="auto"/>
              </w:rPr>
            </w:pPr>
          </w:p>
        </w:tc>
      </w:tr>
      <w:tr>
        <w:trPr>
          <w:trHeight w:val="30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7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Form of Note</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7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Provisions for Meetings of the Noteholders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Signatories</w:t>
      </w:r>
    </w:p>
    <w:p>
      <w:pPr>
        <w:sectPr>
          <w:pgSz w:w="11900" w:h="16838" w:orient="portrait"/>
          <w:cols w:equalWidth="0" w:num="1">
            <w:col w:w="10960"/>
          </w:cols>
          <w:pgMar w:left="440" w:top="266" w:right="499" w:bottom="1440" w:gutter="0" w:footer="0" w:header="0"/>
        </w:sectPr>
      </w:pPr>
    </w:p>
    <w:bookmarkStart w:id="6" w:name="page7"/>
    <w:bookmarkEnd w:id="6"/>
    <w:p>
      <w:pPr>
        <w:ind w:left="4" w:right="40"/>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FISCAL AND PAYING AGENCY AGREEMENT </w:t>
      </w:r>
      <w:r>
        <w:rPr>
          <w:rFonts w:ascii="Times New Roman" w:cs="Times New Roman" w:eastAsia="Times New Roman" w:hAnsi="Times New Roman"/>
          <w:sz w:val="18"/>
          <w:szCs w:val="18"/>
          <w:color w:val="auto"/>
        </w:rPr>
        <w:t>dated as of December 15, 2025 (the</w:t>
      </w:r>
      <w:r>
        <w:rPr>
          <w:rFonts w:ascii="Times New Roman" w:cs="Times New Roman" w:eastAsia="Times New Roman" w:hAnsi="Times New Roman"/>
          <w:sz w:val="18"/>
          <w:szCs w:val="18"/>
          <w:b w:val="1"/>
          <w:bCs w:val="1"/>
          <w:color w:val="auto"/>
        </w:rPr>
        <w:t xml:space="preserve"> Agreement</w:t>
      </w:r>
      <w:r>
        <w:rPr>
          <w:rFonts w:ascii="Times New Roman" w:cs="Times New Roman" w:eastAsia="Times New Roman" w:hAnsi="Times New Roman"/>
          <w:sz w:val="18"/>
          <w:szCs w:val="18"/>
          <w:color w:val="auto"/>
        </w:rPr>
        <w:t>) among</w:t>
      </w:r>
      <w:r>
        <w:rPr>
          <w:rFonts w:ascii="Times New Roman" w:cs="Times New Roman" w:eastAsia="Times New Roman" w:hAnsi="Times New Roman"/>
          <w:sz w:val="18"/>
          <w:szCs w:val="18"/>
          <w:b w:val="1"/>
          <w:bCs w:val="1"/>
          <w:color w:val="auto"/>
        </w:rPr>
        <w:t xml:space="preserve"> MANPOWERGROUP INC.</w:t>
      </w:r>
      <w:r>
        <w:rPr>
          <w:rFonts w:ascii="Times New Roman" w:cs="Times New Roman" w:eastAsia="Times New Roman" w:hAnsi="Times New Roman"/>
          <w:sz w:val="18"/>
          <w:szCs w:val="18"/>
          <w:color w:val="auto"/>
        </w:rPr>
        <w: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corporation organized under the laws of the State of Wisconsin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CITIBANK, N.A., LONDON BRANCH</w:t>
      </w:r>
      <w:r>
        <w:rPr>
          <w:rFonts w:ascii="Times New Roman" w:cs="Times New Roman" w:eastAsia="Times New Roman" w:hAnsi="Times New Roman"/>
          <w:sz w:val="18"/>
          <w:szCs w:val="18"/>
          <w:color w:val="auto"/>
        </w:rPr>
        <w:t xml:space="preserve">, acting through its office at Citigroup Centre, 25 Canada Square, Canary Wharf, London E14 5LB, United Kingdom, as fiscal and principal paying agent, (Citibank, N.A., London Branch or any successor or additional person acting as fiscal or principal paying agent, as applicable, appointed hereunder being called the </w:t>
      </w:r>
      <w:r>
        <w:rPr>
          <w:rFonts w:ascii="Times New Roman" w:cs="Times New Roman" w:eastAsia="Times New Roman" w:hAnsi="Times New Roman"/>
          <w:sz w:val="18"/>
          <w:szCs w:val="18"/>
          <w:b w:val="1"/>
          <w:bCs w:val="1"/>
          <w:color w:val="auto"/>
        </w:rPr>
        <w:t xml:space="preserve">Fiscal Agent </w:t>
      </w:r>
      <w:r>
        <w:rPr>
          <w:rFonts w:ascii="Times New Roman" w:cs="Times New Roman" w:eastAsia="Times New Roman" w:hAnsi="Times New Roman"/>
          <w:sz w:val="18"/>
          <w:szCs w:val="18"/>
          <w:color w:val="auto"/>
        </w:rPr>
        <w:t>and the</w:t>
      </w:r>
      <w:r>
        <w:rPr>
          <w:rFonts w:ascii="Times New Roman" w:cs="Times New Roman" w:eastAsia="Times New Roman" w:hAnsi="Times New Roman"/>
          <w:sz w:val="18"/>
          <w:szCs w:val="18"/>
          <w:b w:val="1"/>
          <w:bCs w:val="1"/>
          <w:color w:val="auto"/>
        </w:rPr>
        <w:t xml:space="preserve"> Paying Agent</w:t>
      </w:r>
      <w:r>
        <w:rPr>
          <w:rFonts w:ascii="Times New Roman" w:cs="Times New Roman" w:eastAsia="Times New Roman" w:hAnsi="Times New Roman"/>
          <w:sz w:val="18"/>
          <w:szCs w:val="18"/>
          <w:color w:val="auto"/>
        </w:rPr>
        <w:t>, respectively).</w:t>
      </w:r>
    </w:p>
    <w:p>
      <w:pPr>
        <w:spacing w:after="0" w:line="1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WITNESSETH</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117" w:lineRule="exact"/>
        <w:rPr>
          <w:rFonts w:ascii="Times New Roman" w:cs="Times New Roman" w:eastAsia="Times New Roman" w:hAnsi="Times New Roman"/>
          <w:sz w:val="18"/>
          <w:szCs w:val="18"/>
          <w:b w:val="1"/>
          <w:bCs w:val="1"/>
          <w:color w:val="auto"/>
        </w:rPr>
      </w:pPr>
    </w:p>
    <w:p>
      <w:pPr>
        <w:ind w:left="444" w:right="12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Company has authorized the creation and issue of €500,000,000 3.750% notes due 13 December 2030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The Notes will be senior to all of the Company’s unsecured subordinated indebtedness, effectively junior to all of the Company’s secured indebtedness to the extent of the value of the collateral, and effectively junior to all indebtedness and other obligations, including trade payables, of all of the Company’s Subsidiaries.</w:t>
      </w:r>
    </w:p>
    <w:p>
      <w:pPr>
        <w:spacing w:after="0" w:line="324"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APPOINTMENT OF THE FISCAL AGENT, REGISTRAR, TRANSFER AGENT AND PAYING AGENT</w:t>
      </w:r>
    </w:p>
    <w:p>
      <w:pPr>
        <w:spacing w:after="0" w:line="135" w:lineRule="exact"/>
        <w:rPr>
          <w:sz w:val="20"/>
          <w:szCs w:val="20"/>
          <w:color w:val="auto"/>
        </w:rPr>
      </w:pPr>
    </w:p>
    <w:p>
      <w:pPr>
        <w:ind w:left="424" w:right="40" w:hanging="431"/>
        <w:spacing w:after="0" w:line="254" w:lineRule="auto"/>
        <w:tabs>
          <w:tab w:leader="none" w:pos="404" w:val="left"/>
        </w:tabs>
        <w:rPr>
          <w:sz w:val="20"/>
          <w:szCs w:val="20"/>
          <w:color w:val="auto"/>
        </w:rPr>
      </w:pPr>
      <w:r>
        <w:rPr>
          <w:rFonts w:ascii="Times New Roman" w:cs="Times New Roman" w:eastAsia="Times New Roman" w:hAnsi="Times New Roman"/>
          <w:sz w:val="18"/>
          <w:szCs w:val="18"/>
          <w:color w:val="auto"/>
        </w:rPr>
        <w:t>2.1</w:t>
        <w:tab/>
        <w:t xml:space="preserve">The Company hereby appoints the Fiscal Agent to act, and the Fiscal Agent hereby accepts such appointment, on the terms and conditions specified herein and in the Notes, as fiscal and principal paying agent for the Notes. The Company shall maintain an office or agency in London where Notes may be presented for registration (the </w:t>
      </w:r>
      <w:r>
        <w:rPr>
          <w:rFonts w:ascii="Times New Roman" w:cs="Times New Roman" w:eastAsia="Times New Roman" w:hAnsi="Times New Roman"/>
          <w:sz w:val="18"/>
          <w:szCs w:val="18"/>
          <w:b w:val="1"/>
          <w:bCs w:val="1"/>
          <w:color w:val="auto"/>
        </w:rPr>
        <w:t>Registrar</w:t>
      </w:r>
      <w:r>
        <w:rPr>
          <w:rFonts w:ascii="Times New Roman" w:cs="Times New Roman" w:eastAsia="Times New Roman" w:hAnsi="Times New Roman"/>
          <w:sz w:val="18"/>
          <w:szCs w:val="18"/>
          <w:color w:val="auto"/>
        </w:rPr>
        <w:t xml:space="preserve">) and an office or agency in London where Notes may be presented for transfer or exchange or for payment (the </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xml:space="preserve">). The Registrar shall keep a register of the Notes and of their transfer and exchange. The Company may have one or more co-registrars and one or more additional transfer and paying agents. The terms </w:t>
      </w:r>
      <w:r>
        <w:rPr>
          <w:rFonts w:ascii="Times New Roman" w:cs="Times New Roman" w:eastAsia="Times New Roman" w:hAnsi="Times New Roman"/>
          <w:sz w:val="18"/>
          <w:szCs w:val="18"/>
          <w:b w:val="1"/>
          <w:bCs w:val="1"/>
          <w:color w:val="auto"/>
        </w:rPr>
        <w:t>Paying Agents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xml:space="preserve"> include any additional paying agent or transfer agent, as applicable, and the term </w:t>
      </w:r>
      <w:r>
        <w:rPr>
          <w:rFonts w:ascii="Times New Roman" w:cs="Times New Roman" w:eastAsia="Times New Roman" w:hAnsi="Times New Roman"/>
          <w:sz w:val="18"/>
          <w:szCs w:val="18"/>
          <w:b w:val="1"/>
          <w:bCs w:val="1"/>
          <w:color w:val="auto"/>
        </w:rPr>
        <w:t>Registrar</w:t>
      </w:r>
      <w:r>
        <w:rPr>
          <w:rFonts w:ascii="Times New Roman" w:cs="Times New Roman" w:eastAsia="Times New Roman" w:hAnsi="Times New Roman"/>
          <w:sz w:val="18"/>
          <w:szCs w:val="18"/>
          <w:color w:val="auto"/>
        </w:rPr>
        <w:t xml:space="preserve"> includes any co-registrars. The Company initially appoints Citibank, N.A., London Branch, who accepts such appointment, as Registrar and Transfer Agent. The Fiscal Agent, the Paying Agents, the Transfer Agent and the Registrar will be referred to collectively as </w:t>
      </w:r>
      <w:r>
        <w:rPr>
          <w:rFonts w:ascii="Times New Roman" w:cs="Times New Roman" w:eastAsia="Times New Roman" w:hAnsi="Times New Roman"/>
          <w:sz w:val="18"/>
          <w:szCs w:val="18"/>
          <w:b w:val="1"/>
          <w:bCs w:val="1"/>
          <w:color w:val="auto"/>
        </w:rPr>
        <w:t>Agents</w:t>
      </w:r>
      <w:r>
        <w:rPr>
          <w:rFonts w:ascii="Times New Roman" w:cs="Times New Roman" w:eastAsia="Times New Roman" w:hAnsi="Times New Roman"/>
          <w:sz w:val="18"/>
          <w:szCs w:val="18"/>
          <w:color w:val="auto"/>
        </w:rPr>
        <w:t>.</w:t>
      </w:r>
    </w:p>
    <w:p>
      <w:pPr>
        <w:spacing w:after="0" w:line="97" w:lineRule="exact"/>
        <w:rPr>
          <w:sz w:val="20"/>
          <w:szCs w:val="20"/>
          <w:color w:val="auto"/>
        </w:rPr>
      </w:pPr>
    </w:p>
    <w:p>
      <w:pPr>
        <w:ind w:left="424" w:right="20" w:hanging="431"/>
        <w:spacing w:after="0" w:line="261" w:lineRule="auto"/>
        <w:tabs>
          <w:tab w:leader="none" w:pos="404" w:val="left"/>
        </w:tabs>
        <w:rPr>
          <w:sz w:val="20"/>
          <w:szCs w:val="20"/>
          <w:color w:val="auto"/>
        </w:rPr>
      </w:pPr>
      <w:r>
        <w:rPr>
          <w:rFonts w:ascii="Times New Roman" w:cs="Times New Roman" w:eastAsia="Times New Roman" w:hAnsi="Times New Roman"/>
          <w:sz w:val="18"/>
          <w:szCs w:val="18"/>
          <w:color w:val="auto"/>
        </w:rPr>
        <w:t>2.2</w:t>
        <w:tab/>
        <w:t>The Company shall enter into an appropriate agency agreement with any registrar, transfer agent or paying agent not a party to this Agreement, which shall implement the provisions of this Agreement that relate to such agent. The Company shall notify the Fiscal Agent of the name and address of any such agent. If the Company fails to maintain a Registrar, Transfer Agent or Paying Agent, the Fiscal Agent shall be entitled, but not obliged, to act as such and shall be entitled to appropriate compensation therefor pursuant to Clause 16 hereof.</w:t>
      </w:r>
    </w:p>
    <w:p>
      <w:pPr>
        <w:spacing w:after="0" w:line="85" w:lineRule="exact"/>
        <w:rPr>
          <w:sz w:val="20"/>
          <w:szCs w:val="20"/>
          <w:color w:val="auto"/>
        </w:rPr>
      </w:pPr>
    </w:p>
    <w:p>
      <w:pPr>
        <w:ind w:left="424" w:right="180" w:hanging="431"/>
        <w:spacing w:after="0" w:line="312" w:lineRule="auto"/>
        <w:tabs>
          <w:tab w:leader="none" w:pos="404"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color w:val="auto"/>
        </w:rPr>
        <w:t>Except as specifically provided in this Agreement, any Registrar, Transfer Agent, Fiscal Agent or Paying Agent will act solely as agents of the Company and will not assume any fiduciary duty, obligation or relationship of agency or trust to or with the holders of the Notes (</w:t>
      </w:r>
      <w:r>
        <w:rPr>
          <w:rFonts w:ascii="Times New Roman" w:cs="Times New Roman" w:eastAsia="Times New Roman" w:hAnsi="Times New Roman"/>
          <w:sz w:val="17"/>
          <w:szCs w:val="17"/>
          <w:b w:val="1"/>
          <w:bCs w:val="1"/>
          <w:color w:val="auto"/>
        </w:rPr>
        <w:t>Noteholders</w:t>
      </w:r>
      <w:r>
        <w:rPr>
          <w:rFonts w:ascii="Times New Roman" w:cs="Times New Roman" w:eastAsia="Times New Roman" w:hAnsi="Times New Roman"/>
          <w:sz w:val="17"/>
          <w:szCs w:val="17"/>
          <w:color w:val="auto"/>
        </w:rPr>
        <w:t>).</w:t>
      </w:r>
    </w:p>
    <w:p>
      <w:pPr>
        <w:spacing w:after="0" w:line="45"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2.4</w:t>
        <w:tab/>
        <w:t>The obligations of the Agents under this Agreement shall be several and not joint.</w:t>
      </w:r>
    </w:p>
    <w:p>
      <w:pPr>
        <w:spacing w:after="0" w:line="370" w:lineRule="exact"/>
        <w:rPr>
          <w:sz w:val="20"/>
          <w:szCs w:val="20"/>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AMOUNT; ADDITIONAL NOTES; EXECUTION</w:t>
      </w:r>
    </w:p>
    <w:p>
      <w:pPr>
        <w:spacing w:after="0" w:line="135" w:lineRule="exact"/>
        <w:rPr>
          <w:sz w:val="20"/>
          <w:szCs w:val="20"/>
          <w:color w:val="auto"/>
        </w:rPr>
      </w:pPr>
    </w:p>
    <w:p>
      <w:pPr>
        <w:ind w:left="424" w:hanging="431"/>
        <w:spacing w:after="0" w:line="312" w:lineRule="auto"/>
        <w:tabs>
          <w:tab w:leader="none" w:pos="404"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color w:val="auto"/>
        </w:rPr>
        <w:t>The aggregate principal amount of Notes which may be initially issued hereunder is €500,000,000. Additional Notes may be issued from time to time under this Agreement, and if issued, they may form the same series and will be governed by the same Agreement as the Notes offered hereby.</w:t>
      </w:r>
    </w:p>
    <w:p>
      <w:pPr>
        <w:spacing w:after="0" w:line="7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4"/>
          </w:cols>
          <w:pgMar w:left="436" w:top="266" w:right="459" w:bottom="1440" w:gutter="0" w:footer="0" w:header="0"/>
        </w:sectPr>
      </w:pPr>
    </w:p>
    <w:bookmarkStart w:id="7" w:name="page8"/>
    <w:bookmarkEnd w:id="7"/>
    <w:p>
      <w:pPr>
        <w:ind w:left="424" w:right="80" w:hanging="431"/>
        <w:spacing w:after="0" w:line="268" w:lineRule="auto"/>
        <w:tabs>
          <w:tab w:leader="none" w:pos="40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3.2</w:t>
        <w:tab/>
        <w:t xml:space="preserve">The Global Note (as defined in Clause 5 below) and any certificated security (the </w:t>
      </w:r>
      <w:r>
        <w:rPr>
          <w:rFonts w:ascii="Times New Roman" w:cs="Times New Roman" w:eastAsia="Times New Roman" w:hAnsi="Times New Roman"/>
          <w:sz w:val="18"/>
          <w:szCs w:val="18"/>
          <w:b w:val="1"/>
          <w:bCs w:val="1"/>
          <w:color w:val="auto"/>
        </w:rPr>
        <w:t>Definitive Notes</w:t>
      </w:r>
      <w:r>
        <w:rPr>
          <w:rFonts w:ascii="Times New Roman" w:cs="Times New Roman" w:eastAsia="Times New Roman" w:hAnsi="Times New Roman"/>
          <w:sz w:val="18"/>
          <w:szCs w:val="18"/>
          <w:color w:val="auto"/>
        </w:rPr>
        <w:t>) shall be executed by or on behalf of the Company by the manual or facsimile signature of an Authorized Representative (as defined in Clause 4 below) of the Company and authenticated manually by or on behalf of the Fiscal Agent.</w:t>
      </w:r>
    </w:p>
    <w:p>
      <w:pPr>
        <w:spacing w:after="0" w:line="319" w:lineRule="exact"/>
        <w:rPr>
          <w:sz w:val="20"/>
          <w:szCs w:val="20"/>
          <w:color w:val="auto"/>
        </w:rPr>
      </w:pPr>
    </w:p>
    <w:p>
      <w:pPr>
        <w:ind w:left="424" w:hanging="424"/>
        <w:spacing w:after="0"/>
        <w:tabs>
          <w:tab w:leader="none" w:pos="424"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AUTHORIZED REPRESENTATIVES</w:t>
      </w:r>
    </w:p>
    <w:p>
      <w:pPr>
        <w:spacing w:after="0" w:line="121" w:lineRule="exact"/>
        <w:rPr>
          <w:rFonts w:ascii="Times New Roman" w:cs="Times New Roman" w:eastAsia="Times New Roman" w:hAnsi="Times New Roman"/>
          <w:sz w:val="18"/>
          <w:szCs w:val="18"/>
          <w:b w:val="1"/>
          <w:bCs w:val="1"/>
          <w:color w:val="auto"/>
        </w:rPr>
      </w:pPr>
    </w:p>
    <w:p>
      <w:pPr>
        <w:ind w:left="444" w:right="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From time to time the Company will furnish the Fiscal Agent with a certificate of the Company certifying the incumbency and specimen signatures of officers authorized to execute Notes on behalf of the Company (each an </w:t>
      </w:r>
      <w:r>
        <w:rPr>
          <w:rFonts w:ascii="Times New Roman" w:cs="Times New Roman" w:eastAsia="Times New Roman" w:hAnsi="Times New Roman"/>
          <w:sz w:val="18"/>
          <w:szCs w:val="18"/>
          <w:b w:val="1"/>
          <w:bCs w:val="1"/>
          <w:color w:val="auto"/>
        </w:rPr>
        <w:t>Authorized Representative</w:t>
      </w:r>
      <w:r>
        <w:rPr>
          <w:rFonts w:ascii="Times New Roman" w:cs="Times New Roman" w:eastAsia="Times New Roman" w:hAnsi="Times New Roman"/>
          <w:sz w:val="18"/>
          <w:szCs w:val="18"/>
          <w:color w:val="auto"/>
        </w:rPr>
        <w:t>). Until the Fiscal Agent receives a subsequent incumbency certificate of the Company, the Fiscal Agent shall be entitled to rely on the last such certificate delivered to it for purposes of determining the Authorized Representatives. The Fiscal Agent shall have no responsibility to the Company to determine by whom or by what means a facsimile signature may have been affixed on the Notes or to determine whether any facsimile or manual signature is genuine, if such facsimile or manual signature resembles the specimen signatures filed with the Fiscal Agent by a duly authorized officer of the Company. Any Note bearing the manual or facsimile signature of a person who is an Authorized Representative on the date such signature is affixed shall bind the Company after the authentication and registration thereof by the Fiscal Agent, notwithstanding that such person shall have ceased to hold office on the date such Note is authenticated and delivered by the Fiscal Agent.</w:t>
      </w:r>
    </w:p>
    <w:p>
      <w:pPr>
        <w:spacing w:after="0" w:line="332"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FORM OF THE NOTES</w:t>
      </w:r>
    </w:p>
    <w:p>
      <w:pPr>
        <w:spacing w:after="0" w:line="121"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 regard to the issuance of Notes:</w:t>
      </w:r>
    </w:p>
    <w:p>
      <w:pPr>
        <w:spacing w:after="0" w:line="130" w:lineRule="exact"/>
        <w:rPr>
          <w:rFonts w:ascii="Times New Roman" w:cs="Times New Roman" w:eastAsia="Times New Roman" w:hAnsi="Times New Roman"/>
          <w:sz w:val="18"/>
          <w:szCs w:val="18"/>
          <w:b w:val="1"/>
          <w:bCs w:val="1"/>
          <w:color w:val="auto"/>
        </w:rPr>
      </w:pPr>
    </w:p>
    <w:p>
      <w:pPr>
        <w:ind w:left="964" w:hanging="532"/>
        <w:spacing w:after="0" w:line="254" w:lineRule="auto"/>
        <w:tabs>
          <w:tab w:leader="none" w:pos="9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Notes will be offered and sold by the Company pursuant to a Subscription Agreement. The Notes will be resold initially only to persons other than U.S. persons (as defined in Regulation S under the United States Securities Act of 1933, as amended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outside the United States in offshore transactions in reliance on Regulation S. The Notes shall be issued in the form of one permanent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global note in fully registered form substantially in the form of Schedule 1 attached hereto (the </w:t>
      </w:r>
      <w:r>
        <w:rPr>
          <w:rFonts w:ascii="Times New Roman" w:cs="Times New Roman" w:eastAsia="Times New Roman" w:hAnsi="Times New Roman"/>
          <w:sz w:val="18"/>
          <w:szCs w:val="18"/>
          <w:b w:val="1"/>
          <w:bCs w:val="1"/>
          <w:color w:val="auto"/>
        </w:rPr>
        <w:t>Global Note</w:t>
      </w:r>
      <w:r>
        <w:rPr>
          <w:rFonts w:ascii="Times New Roman" w:cs="Times New Roman" w:eastAsia="Times New Roman" w:hAnsi="Times New Roman"/>
          <w:sz w:val="18"/>
          <w:szCs w:val="18"/>
          <w:color w:val="auto"/>
        </w:rPr>
        <w:t xml:space="preserve">), without interest coupons and with the global securities legend and the applicable restricted securities legends, which shall be deposited with Citibank Europe plc as common depositary (the </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for Euroclear Bank SA/NV (</w:t>
      </w:r>
      <w:r>
        <w:rPr>
          <w:rFonts w:ascii="Times New Roman" w:cs="Times New Roman" w:eastAsia="Times New Roman" w:hAnsi="Times New Roman"/>
          <w:sz w:val="18"/>
          <w:szCs w:val="18"/>
          <w:b w:val="1"/>
          <w:bCs w:val="1"/>
          <w:color w:val="auto"/>
        </w:rPr>
        <w:t>Euroclear</w:t>
      </w:r>
      <w:r>
        <w:rPr>
          <w:rFonts w:ascii="Times New Roman" w:cs="Times New Roman" w:eastAsia="Times New Roman" w:hAnsi="Times New Roman"/>
          <w:sz w:val="18"/>
          <w:szCs w:val="18"/>
          <w:color w:val="auto"/>
        </w:rPr>
        <w:t>) and Clearstream Banking, S.A. (</w:t>
      </w:r>
      <w:r>
        <w:rPr>
          <w:rFonts w:ascii="Times New Roman" w:cs="Times New Roman" w:eastAsia="Times New Roman" w:hAnsi="Times New Roman"/>
          <w:sz w:val="18"/>
          <w:szCs w:val="18"/>
          <w:b w:val="1"/>
          <w:bCs w:val="1"/>
          <w:color w:val="auto"/>
        </w:rPr>
        <w:t>Clearstream</w:t>
      </w:r>
      <w:r>
        <w:rPr>
          <w:rFonts w:ascii="Times New Roman" w:cs="Times New Roman" w:eastAsia="Times New Roman" w:hAnsi="Times New Roman"/>
          <w:sz w:val="18"/>
          <w:szCs w:val="18"/>
          <w:color w:val="auto"/>
        </w:rPr>
        <w:t>) and registered in the nominee name for such Depositary, and shall be duly executed by the Company and authenticated by the Fiscal Agent as provided in this Agreement. The terms of the Notes set forth in Schedule 1 and the provisions for the meetings of the Noteholders set forth in Schedule 2 are hereby expressly incorporated in and made part of the terms of this Agreement.</w:t>
      </w:r>
    </w:p>
    <w:p>
      <w:pPr>
        <w:spacing w:after="0" w:line="93" w:lineRule="exact"/>
        <w:rPr>
          <w:rFonts w:ascii="Times New Roman" w:cs="Times New Roman" w:eastAsia="Times New Roman" w:hAnsi="Times New Roman"/>
          <w:sz w:val="18"/>
          <w:szCs w:val="18"/>
          <w:color w:val="auto"/>
        </w:rPr>
      </w:pPr>
    </w:p>
    <w:p>
      <w:pPr>
        <w:ind w:left="964" w:right="40" w:hanging="532"/>
        <w:spacing w:after="0" w:line="261" w:lineRule="auto"/>
        <w:tabs>
          <w:tab w:leader="none" w:pos="9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and including the date which is 40 days after the later of (i) the day on which the Notes are first offered to persons other than distributors (as defined in Regulation S under the Securities Act) in reliance on Regulation S, and (ii) the date of the closing of the offering (the </w:t>
      </w:r>
      <w:r>
        <w:rPr>
          <w:rFonts w:ascii="Times New Roman" w:cs="Times New Roman" w:eastAsia="Times New Roman" w:hAnsi="Times New Roman"/>
          <w:sz w:val="18"/>
          <w:szCs w:val="18"/>
          <w:b w:val="1"/>
          <w:bCs w:val="1"/>
          <w:color w:val="auto"/>
        </w:rPr>
        <w:t>Distribution Compliance Period</w:t>
      </w:r>
      <w:r>
        <w:rPr>
          <w:rFonts w:ascii="Times New Roman" w:cs="Times New Roman" w:eastAsia="Times New Roman" w:hAnsi="Times New Roman"/>
          <w:sz w:val="18"/>
          <w:szCs w:val="18"/>
          <w:color w:val="auto"/>
        </w:rPr>
        <w:t>), beneficial interests in the Global Note may not be transferred to a U.S. person or for the account or benefit of a U.S. person.</w:t>
      </w:r>
    </w:p>
    <w:p>
      <w:pPr>
        <w:spacing w:after="0" w:line="85" w:lineRule="exact"/>
        <w:rPr>
          <w:rFonts w:ascii="Times New Roman" w:cs="Times New Roman" w:eastAsia="Times New Roman" w:hAnsi="Times New Roman"/>
          <w:sz w:val="18"/>
          <w:szCs w:val="18"/>
          <w:color w:val="auto"/>
        </w:rPr>
      </w:pPr>
    </w:p>
    <w:p>
      <w:pPr>
        <w:ind w:left="964" w:right="100" w:hanging="532"/>
        <w:spacing w:after="0" w:line="282" w:lineRule="auto"/>
        <w:tabs>
          <w:tab w:leader="none" w:pos="9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the Global Notes may from time to time be increased or decreased by adjustments made on the records of the Registrar and the Depositary or its nominee as hereinafter provided.</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66" w:right="459" w:bottom="1440" w:gutter="0" w:footer="0" w:header="0"/>
        </w:sectPr>
      </w:pPr>
    </w:p>
    <w:bookmarkStart w:id="8" w:name="page9"/>
    <w:bookmarkEnd w:id="8"/>
    <w:p>
      <w:pPr>
        <w:ind w:left="424" w:hanging="424"/>
        <w:spacing w:after="0"/>
        <w:tabs>
          <w:tab w:leader="none" w:pos="424"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BOOK-ENTRY PROVISIONS</w:t>
      </w:r>
    </w:p>
    <w:p>
      <w:pPr>
        <w:spacing w:after="0" w:line="134" w:lineRule="exact"/>
        <w:rPr>
          <w:rFonts w:ascii="Times New Roman" w:cs="Times New Roman" w:eastAsia="Times New Roman" w:hAnsi="Times New Roman"/>
          <w:sz w:val="18"/>
          <w:szCs w:val="18"/>
          <w:b w:val="1"/>
          <w:bCs w:val="1"/>
          <w:color w:val="auto"/>
        </w:rPr>
      </w:pPr>
    </w:p>
    <w:p>
      <w:pPr>
        <w:ind w:left="964" w:right="40" w:hanging="532"/>
        <w:spacing w:after="0" w:line="276" w:lineRule="auto"/>
        <w:tabs>
          <w:tab w:leader="none" w:pos="964"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Clause 6 shall apply only to a Global Note deposited with or on behalf of, and registered in the name of a nominee of, the Depositary. The Company shall execute and the Fiscal Agent shall, in accordance with this Clause 6, authenticate and deliver the Global Note, which</w:t>
      </w:r>
    </w:p>
    <w:p>
      <w:pPr>
        <w:ind w:left="964" w:right="20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shall be registered in the nominee name of the Depositary for such Global Note and (ii) shall be delivered by the Fiscal Agent to such Depositary or pursuant to such Depositary’s instructions or held by a security custodian appointed by the Depositary.</w:t>
      </w:r>
    </w:p>
    <w:p>
      <w:pPr>
        <w:spacing w:after="0" w:line="82" w:lineRule="exact"/>
        <w:rPr>
          <w:rFonts w:ascii="Times New Roman" w:cs="Times New Roman" w:eastAsia="Times New Roman" w:hAnsi="Times New Roman"/>
          <w:sz w:val="17"/>
          <w:szCs w:val="17"/>
          <w:color w:val="auto"/>
        </w:rPr>
      </w:pPr>
    </w:p>
    <w:p>
      <w:pPr>
        <w:ind w:left="964" w:hanging="532"/>
        <w:spacing w:after="0" w:line="255" w:lineRule="auto"/>
        <w:tabs>
          <w:tab w:leader="none" w:pos="96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of, or participants in, Euroclear and/or Clearstream (</w:t>
      </w:r>
      <w:r>
        <w:rPr>
          <w:rFonts w:ascii="Times New Roman" w:cs="Times New Roman" w:eastAsia="Times New Roman" w:hAnsi="Times New Roman"/>
          <w:sz w:val="18"/>
          <w:szCs w:val="18"/>
          <w:b w:val="1"/>
          <w:bCs w:val="1"/>
          <w:color w:val="auto"/>
        </w:rPr>
        <w:t>Agent Members</w:t>
      </w:r>
      <w:r>
        <w:rPr>
          <w:rFonts w:ascii="Times New Roman" w:cs="Times New Roman" w:eastAsia="Times New Roman" w:hAnsi="Times New Roman"/>
          <w:sz w:val="18"/>
          <w:szCs w:val="18"/>
          <w:color w:val="auto"/>
        </w:rPr>
        <w:t xml:space="preserve">) shall have no rights under this Agreement with respect to any Global Note held on behalf of Euroclear and Clearstream (the </w:t>
      </w:r>
      <w:r>
        <w:rPr>
          <w:rFonts w:ascii="Times New Roman" w:cs="Times New Roman" w:eastAsia="Times New Roman" w:hAnsi="Times New Roman"/>
          <w:sz w:val="18"/>
          <w:szCs w:val="18"/>
          <w:b w:val="1"/>
          <w:bCs w:val="1"/>
          <w:color w:val="auto"/>
        </w:rPr>
        <w:t>Clearing Systems</w:t>
      </w:r>
      <w:r>
        <w:rPr>
          <w:rFonts w:ascii="Times New Roman" w:cs="Times New Roman" w:eastAsia="Times New Roman" w:hAnsi="Times New Roman"/>
          <w:sz w:val="18"/>
          <w:szCs w:val="18"/>
          <w:color w:val="auto"/>
        </w:rPr>
        <w:t>) by the Depositary or by its custodian or under such Global Note, and the Company, the Fiscal Agent and any agent of the Company or the Fiscal Agent shall be entitled to treat the Depositary or its nominee as the absolute owner of such Global Note for all purposes whatsoever. Notwithstanding the foregoing, nothing herein shall prevent the Company, the Fiscal Agent or any agent of the Company or the Fiscal Agent from giving effect to any written certification, proxy or other authorization furnished by the Depositary or impair, as between the Clearing Systems and their Agent Members, the operation of customary practices of such Depositary governing the exercise of the rights of a holder of a beneficial interest in any Global Note.</w:t>
      </w:r>
    </w:p>
    <w:p>
      <w:pPr>
        <w:spacing w:after="0" w:line="33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 AND EXCHANGE</w:t>
      </w:r>
    </w:p>
    <w:p>
      <w:pPr>
        <w:spacing w:after="0" w:line="135"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7"/>
          <w:szCs w:val="17"/>
          <w:color w:val="auto"/>
        </w:rPr>
        <w:t>Transfer and Exchange of Definitive Notes</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When Definitive Notes are presented to the Registrar with a request:</w:t>
      </w:r>
    </w:p>
    <w:p>
      <w:pPr>
        <w:spacing w:after="0" w:line="131" w:lineRule="exact"/>
        <w:rPr>
          <w:sz w:val="20"/>
          <w:szCs w:val="20"/>
          <w:color w:val="auto"/>
        </w:rPr>
      </w:pPr>
    </w:p>
    <w:p>
      <w:pPr>
        <w:ind w:left="964" w:hanging="532"/>
        <w:spacing w:after="0"/>
        <w:tabs>
          <w:tab w:leader="none" w:pos="9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register the transfer of such Definitive Notes; or</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exchange such Definitive Notes for an equal principal amount of Definitive Notes of other authorized denominations,</w:t>
      </w:r>
    </w:p>
    <w:p>
      <w:pPr>
        <w:spacing w:after="0" w:line="113" w:lineRule="exact"/>
        <w:rPr>
          <w:sz w:val="20"/>
          <w:szCs w:val="20"/>
          <w:color w:val="auto"/>
        </w:rPr>
      </w:pPr>
    </w:p>
    <w:p>
      <w:pPr>
        <w:ind w:left="444" w:right="200"/>
        <w:spacing w:after="0" w:line="286" w:lineRule="auto"/>
        <w:rPr>
          <w:sz w:val="20"/>
          <w:szCs w:val="20"/>
          <w:color w:val="auto"/>
        </w:rPr>
      </w:pPr>
      <w:r>
        <w:rPr>
          <w:rFonts w:ascii="Times New Roman" w:cs="Times New Roman" w:eastAsia="Times New Roman" w:hAnsi="Times New Roman"/>
          <w:sz w:val="18"/>
          <w:szCs w:val="18"/>
          <w:color w:val="auto"/>
        </w:rPr>
        <w:t xml:space="preserve">the Registrar shall register the transfer or make the exchange as requested if its reasonable requirements for such transaction are met; </w:t>
      </w:r>
      <w:r>
        <w:rPr>
          <w:rFonts w:ascii="Times New Roman" w:cs="Times New Roman" w:eastAsia="Times New Roman" w:hAnsi="Times New Roman"/>
          <w:sz w:val="18"/>
          <w:szCs w:val="18"/>
          <w:b w:val="1"/>
          <w:b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however</w:t>
      </w:r>
      <w:r>
        <w:rPr>
          <w:rFonts w:ascii="Times New Roman" w:cs="Times New Roman" w:eastAsia="Times New Roman" w:hAnsi="Times New Roman"/>
          <w:sz w:val="18"/>
          <w:szCs w:val="18"/>
          <w:color w:val="auto"/>
        </w:rPr>
        <w:t>, that the Definitive Notes surrendered for transfer or exchange:</w:t>
      </w:r>
    </w:p>
    <w:p>
      <w:pPr>
        <w:spacing w:after="0" w:line="64" w:lineRule="exact"/>
        <w:rPr>
          <w:sz w:val="20"/>
          <w:szCs w:val="20"/>
          <w:color w:val="auto"/>
        </w:rPr>
      </w:pPr>
    </w:p>
    <w:p>
      <w:pPr>
        <w:ind w:left="964" w:right="660" w:hanging="532"/>
        <w:spacing w:after="0" w:line="282" w:lineRule="auto"/>
        <w:tabs>
          <w:tab w:leader="none" w:pos="9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duly endorsed or accompanied by a written instrument of transfer in form reasonably satisfactory to the Company and the Registrar, duly executed by the Noteholder thereof or its attorney duly authorized in writing; and</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accompanied by the following additional information and documents, as applicable:</w:t>
      </w:r>
    </w:p>
    <w:p>
      <w:pPr>
        <w:spacing w:after="0" w:line="130" w:lineRule="exact"/>
        <w:rPr>
          <w:rFonts w:ascii="Times New Roman" w:cs="Times New Roman" w:eastAsia="Times New Roman" w:hAnsi="Times New Roman"/>
          <w:sz w:val="18"/>
          <w:szCs w:val="18"/>
          <w:color w:val="auto"/>
        </w:rPr>
      </w:pPr>
    </w:p>
    <w:p>
      <w:pPr>
        <w:ind w:left="1424" w:hanging="439"/>
        <w:spacing w:after="0" w:line="282" w:lineRule="auto"/>
        <w:tabs>
          <w:tab w:leader="none" w:pos="142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Definitive Notes are being delivered to the Registrar by a Noteholder for registration in the name of such Noteholder, without transfer, a certification from such Noteholder to that effect; or</w:t>
      </w:r>
    </w:p>
    <w:p>
      <w:pPr>
        <w:spacing w:after="0" w:line="67" w:lineRule="exact"/>
        <w:rPr>
          <w:rFonts w:ascii="Times New Roman" w:cs="Times New Roman" w:eastAsia="Times New Roman" w:hAnsi="Times New Roman"/>
          <w:sz w:val="18"/>
          <w:szCs w:val="18"/>
          <w:color w:val="auto"/>
        </w:rPr>
      </w:pPr>
    </w:p>
    <w:p>
      <w:pPr>
        <w:ind w:left="1424" w:right="120" w:hanging="439"/>
        <w:spacing w:after="0" w:line="282" w:lineRule="auto"/>
        <w:tabs>
          <w:tab w:leader="none" w:pos="142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Definitive Notes are being transferred to the Company or pursuant to an effective registration statement under the Securities Act of 1933, a certification to that effect; or</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4"/>
          </w:cols>
          <w:pgMar w:left="436" w:top="266" w:right="479" w:bottom="1440" w:gutter="0" w:footer="0" w:header="0"/>
        </w:sectPr>
      </w:pPr>
    </w:p>
    <w:bookmarkStart w:id="9" w:name="page10"/>
    <w:bookmarkEnd w:id="9"/>
    <w:p>
      <w:pPr>
        <w:ind w:left="1424" w:right="120" w:hanging="439"/>
        <w:spacing w:after="0" w:line="261" w:lineRule="auto"/>
        <w:tabs>
          <w:tab w:leader="none" w:pos="1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such Definitive Notes are being transferred (i) pursuant to an exemption from registration in accordance with Regulation S under the Securities Act or (ii) in reliance upon another exemption from the requirements of the Securities Act (x) a certification to that effect and (y) if the Company so requests, an opinion of counsel or other evidence reasonably satisfactory to it as to the compliance with the requirements of the Securities Act.</w:t>
      </w:r>
    </w:p>
    <w:p>
      <w:pPr>
        <w:spacing w:after="0" w:line="85"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7"/>
          <w:szCs w:val="17"/>
          <w:color w:val="auto"/>
        </w:rPr>
        <w:t>Transfer and Exchange of Global Notes</w:t>
      </w:r>
    </w:p>
    <w:p>
      <w:pPr>
        <w:spacing w:after="0" w:line="131" w:lineRule="exact"/>
        <w:rPr>
          <w:sz w:val="20"/>
          <w:szCs w:val="20"/>
          <w:color w:val="auto"/>
        </w:rPr>
      </w:pPr>
    </w:p>
    <w:p>
      <w:pPr>
        <w:ind w:left="424" w:right="120" w:hanging="424"/>
        <w:spacing w:after="0" w:line="255"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and exchange of the Global Note or beneficial interests therein shall be effected through the Depositary, in accordance with this Agreement (including applicable restrictions on transfer set forth herein, if any) and the procedures of the Depositary therefor. A transferor of a beneficial interest in the Global Note shall deliver to the Registrar a written order, given in accordance with the Depositary’s procedures, containing information regarding the participant account of the Depositary to be credited with a beneficial interest in the Global Note. The Registrar shall, in accordance with such instructions, instruct the Depositary to credit to the account of the person specified in such instructions a beneficial interest in the Global Note and to debit the account of the person making the transfer the beneficial interest in the Global Note being transferred.</w:t>
      </w:r>
    </w:p>
    <w:p>
      <w:pPr>
        <w:spacing w:after="0" w:line="94" w:lineRule="exact"/>
        <w:rPr>
          <w:rFonts w:ascii="Times New Roman" w:cs="Times New Roman" w:eastAsia="Times New Roman" w:hAnsi="Times New Roman"/>
          <w:sz w:val="18"/>
          <w:szCs w:val="18"/>
          <w:color w:val="auto"/>
        </w:rPr>
      </w:pPr>
    </w:p>
    <w:p>
      <w:pPr>
        <w:ind w:left="424" w:hanging="424"/>
        <w:spacing w:after="0" w:line="266"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provisions of this Agreement (other than the provisions set forth in Clause 8), the Global Note may not be transferred as a whole except by the Depositary to a nominee of the Depositary or by a nominee of the Depositary to the Depositary or another nominee of the Depositary or by the Depositary or any such nominee to a successor Depositary or a nominee of such successor Depositary.</w:t>
      </w:r>
    </w:p>
    <w:p>
      <w:pPr>
        <w:spacing w:after="0" w:line="81" w:lineRule="exact"/>
        <w:rPr>
          <w:rFonts w:ascii="Times New Roman" w:cs="Times New Roman" w:eastAsia="Times New Roman" w:hAnsi="Times New Roman"/>
          <w:sz w:val="18"/>
          <w:szCs w:val="18"/>
          <w:color w:val="auto"/>
        </w:rPr>
      </w:pPr>
    </w:p>
    <w:p>
      <w:pPr>
        <w:ind w:left="424" w:right="320" w:hanging="424"/>
        <w:spacing w:after="0" w:line="261"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Global Note is exchanged for Definitive Notes pursuant to Clause 8 of this Agreement, such securities may be exchanged only in accordance with such procedures as are substantially consistent with the provisions of this Clause 7 (including the certification requirements intended to ensure that such transfers comply with Regulation S or another applicable exemption under the Securities Act, as the case may be) and such other procedures as may from time to time be adopted by the Company.</w:t>
      </w:r>
    </w:p>
    <w:p>
      <w:pPr>
        <w:spacing w:after="0" w:line="324" w:lineRule="exact"/>
        <w:rPr>
          <w:sz w:val="20"/>
          <w:szCs w:val="20"/>
          <w:color w:val="auto"/>
        </w:rPr>
      </w:pPr>
    </w:p>
    <w:p>
      <w:pPr>
        <w:ind w:left="424" w:hanging="424"/>
        <w:spacing w:after="0"/>
        <w:tabs>
          <w:tab w:leader="none" w:pos="424"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DEFINITIVE NOTES</w:t>
      </w:r>
    </w:p>
    <w:p>
      <w:pPr>
        <w:spacing w:after="0" w:line="135" w:lineRule="exact"/>
        <w:rPr>
          <w:sz w:val="20"/>
          <w:szCs w:val="20"/>
          <w:color w:val="auto"/>
        </w:rPr>
      </w:pPr>
    </w:p>
    <w:p>
      <w:pPr>
        <w:ind w:left="424" w:right="60" w:hanging="431"/>
        <w:spacing w:after="0" w:line="253" w:lineRule="auto"/>
        <w:tabs>
          <w:tab w:leader="none" w:pos="404" w:val="left"/>
        </w:tabs>
        <w:rPr>
          <w:sz w:val="20"/>
          <w:szCs w:val="20"/>
          <w:color w:val="auto"/>
        </w:rPr>
      </w:pPr>
      <w:r>
        <w:rPr>
          <w:rFonts w:ascii="Times New Roman" w:cs="Times New Roman" w:eastAsia="Times New Roman" w:hAnsi="Times New Roman"/>
          <w:sz w:val="18"/>
          <w:szCs w:val="18"/>
          <w:color w:val="auto"/>
        </w:rPr>
        <w:t>8.1</w:t>
        <w:tab/>
        <w:t>The Global Note deposited with the Depositary or with a securities custodian for the Depositary pursuant to Clause 6(a) shall be transferred to the beneficial owners thereof in the form of Definitive Notes in an aggregate principal amount equal to the principal amount of such Global Note, in exchange for such Global Note, only if such transfer complies with Clause 7 hereof and (a) the Depositary notifies the Company that it is unwilling or unable to continue as Depositary for such Global Note and a successor Depositary is not appointed by the Company within three months of such notice; (b) the Company, Euroclear or Clearstream so requests following an Event of Default under the Notes (in which case such securities may be exchanged in whole but not in part); (c) the owner of a book-entry interest requests such exchange in writing delivered through Euroclear and/or Clearstream or the Company following an Event of Default under the Notes; or (d) the Company would suffer a material disadvantage as a result of a change in laws or regulations (taxation or otherwise) or as a result of a change in the practice of Euroclear and/or Clearstream which would not be suffered were the Notes in definitive form and a certificate to such effect signed by two duly authorized officers of the Company is given to the Fiscal Agent. In the case of (b) and (d) above, the Company may give notice to the Fiscal Agent and the Noteholders of its intention to exchange the Global Notes for Definitive Notes.</w:t>
      </w:r>
    </w:p>
    <w:p>
      <w:pPr>
        <w:spacing w:after="0" w:line="12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4"/>
          </w:cols>
          <w:pgMar w:left="436" w:top="270" w:right="479" w:bottom="1440" w:gutter="0" w:footer="0" w:header="0"/>
        </w:sectPr>
      </w:pPr>
    </w:p>
    <w:bookmarkStart w:id="10" w:name="page11"/>
    <w:bookmarkEnd w:id="10"/>
    <w:p>
      <w:pPr>
        <w:ind w:left="424" w:hanging="431"/>
        <w:spacing w:after="0" w:line="256" w:lineRule="auto"/>
        <w:tabs>
          <w:tab w:leader="none" w:pos="40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8.2</w:t>
        <w:tab/>
        <w:t>Any Global Note that is transferable to the beneficial owners thereof pursuant to this Clause 8 shall be surrendered by the Depositary to the Registrar located at its principal corporate trust office, to be so transferred, in whole, without charge, and the Registrar shall authenticate and deliver, upon such transfer of each portion of such Global Note, an equal aggregate principal amount of Definitive Notes of authorized denominations. Any portion of a Global Note transferred pursuant to this Clause 8 shall be executed, authenticated and delivered only in minimum denominations of €100,000 and integral multiples of €1,000 in excess thereof and registered in such names as the Depositary shall direct. Any Definitive Note delivered in exchange for an interest in a restricted security shall bear the applicable restricted securities legend.</w:t>
      </w:r>
    </w:p>
    <w:p>
      <w:pPr>
        <w:spacing w:after="0" w:line="93" w:lineRule="exact"/>
        <w:rPr>
          <w:sz w:val="20"/>
          <w:szCs w:val="20"/>
          <w:color w:val="auto"/>
        </w:rPr>
      </w:pPr>
    </w:p>
    <w:p>
      <w:pPr>
        <w:ind w:left="424" w:right="22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8.3</w:t>
        <w:tab/>
        <w:t>In the event of the occurrence of one of the events specified in Clause 8.1 hereof, the Company shall promptly make available to the Registrar a reasonable supply of Definitive Notes in definitive, fully registered form without interest coupons.</w:t>
      </w:r>
    </w:p>
    <w:p>
      <w:pPr>
        <w:spacing w:after="0" w:line="67" w:lineRule="exact"/>
        <w:rPr>
          <w:sz w:val="20"/>
          <w:szCs w:val="20"/>
          <w:color w:val="auto"/>
        </w:rPr>
      </w:pPr>
    </w:p>
    <w:p>
      <w:pPr>
        <w:ind w:left="424" w:right="140" w:hanging="431"/>
        <w:spacing w:after="0" w:line="256" w:lineRule="auto"/>
        <w:tabs>
          <w:tab w:leader="none" w:pos="404" w:val="left"/>
        </w:tabs>
        <w:rPr>
          <w:sz w:val="20"/>
          <w:szCs w:val="20"/>
          <w:color w:val="auto"/>
        </w:rPr>
      </w:pPr>
      <w:r>
        <w:rPr>
          <w:rFonts w:ascii="Times New Roman" w:cs="Times New Roman" w:eastAsia="Times New Roman" w:hAnsi="Times New Roman"/>
          <w:sz w:val="18"/>
          <w:szCs w:val="18"/>
          <w:color w:val="auto"/>
        </w:rPr>
        <w:t>8.4</w:t>
        <w:tab/>
        <w:t>If Definitive Notes are issued and a holder thereof claims that such Definitive Note has been lost, destroyed or wrongfully taken, or if such Definitive Note is mutilated and is surrendered to the Registrar or at the office of a Transfer Agent, the Company will issue and the Fiscal Agent will authenticate a replacement Definitive Note if the Fiscal Agent’s and the Company’s requirements are met. The Company or the Fiscal Agent may require a Noteholder requesting replacement of a Definitive Note to furnish an indemnity bond sufficient in the judgment of both to protect the Company, the Fiscal Agent or the Paying Agent appointed pursuant to this Agreement from any loss which any of them may suffer if a Definitive Note is replaced. The Company may charge for any expenses incurred in replacing a Definitive Note.</w:t>
      </w:r>
    </w:p>
    <w:p>
      <w:pPr>
        <w:spacing w:after="0" w:line="93" w:lineRule="exact"/>
        <w:rPr>
          <w:sz w:val="20"/>
          <w:szCs w:val="20"/>
          <w:color w:val="auto"/>
        </w:rPr>
      </w:pPr>
    </w:p>
    <w:p>
      <w:pPr>
        <w:ind w:left="424"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t>8.5</w:t>
        <w:tab/>
        <w:t>In case any such mutilated, destroyed, lost or stolen Definitive Note has become or is about to become due and payable, or is about to be redeemed or purchased by the Company pursuant to the provisions of this Agreement, the Company, in its discretion, may, instead of issuing a new Definitive Note, pay, redeem or purchase such Definitive Note, as the case may be.</w:t>
      </w:r>
    </w:p>
    <w:p>
      <w:pPr>
        <w:spacing w:after="0" w:line="8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8.6</w:t>
      </w:r>
      <w:r>
        <w:rPr>
          <w:sz w:val="20"/>
          <w:szCs w:val="20"/>
          <w:color w:val="auto"/>
        </w:rPr>
        <w:tab/>
      </w:r>
      <w:r>
        <w:rPr>
          <w:rFonts w:ascii="Times New Roman" w:cs="Times New Roman" w:eastAsia="Times New Roman" w:hAnsi="Times New Roman"/>
          <w:sz w:val="17"/>
          <w:szCs w:val="17"/>
          <w:color w:val="auto"/>
        </w:rPr>
        <w:t>To the extent permitted by law, the Company and the Agents shall be entitled to treat the registered holder as the absolute owner thereof.</w:t>
      </w:r>
    </w:p>
    <w:p>
      <w:pPr>
        <w:spacing w:after="0" w:line="370" w:lineRule="exact"/>
        <w:rPr>
          <w:sz w:val="20"/>
          <w:szCs w:val="20"/>
          <w:color w:val="auto"/>
        </w:rPr>
      </w:pPr>
    </w:p>
    <w:p>
      <w:pPr>
        <w:ind w:left="424" w:hanging="424"/>
        <w:spacing w:after="0"/>
        <w:tabs>
          <w:tab w:leader="none" w:pos="424"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RELIANCE ON INSTRUCTIONS</w:t>
      </w:r>
    </w:p>
    <w:p>
      <w:pPr>
        <w:spacing w:after="0" w:line="121" w:lineRule="exact"/>
        <w:rPr>
          <w:rFonts w:ascii="Times New Roman" w:cs="Times New Roman" w:eastAsia="Times New Roman" w:hAnsi="Times New Roman"/>
          <w:sz w:val="18"/>
          <w:szCs w:val="18"/>
          <w:b w:val="1"/>
          <w:bCs w:val="1"/>
          <w:color w:val="auto"/>
        </w:rPr>
      </w:pPr>
    </w:p>
    <w:p>
      <w:pPr>
        <w:ind w:left="444" w:right="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Agent shall incur any liability to the Company acting hereunder pursuant to instructions which such Agent believed in good faith to have been given by an Authorized Representative.</w:t>
      </w:r>
    </w:p>
    <w:p>
      <w:pPr>
        <w:spacing w:after="0" w:line="306"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COMPANY’S REPRESENTATIONS AND WARRANTIES</w:t>
      </w:r>
    </w:p>
    <w:p>
      <w:pPr>
        <w:spacing w:after="0" w:line="121" w:lineRule="exact"/>
        <w:rPr>
          <w:rFonts w:ascii="Times New Roman" w:cs="Times New Roman" w:eastAsia="Times New Roman" w:hAnsi="Times New Roman"/>
          <w:sz w:val="18"/>
          <w:szCs w:val="18"/>
          <w:b w:val="1"/>
          <w:bCs w:val="1"/>
          <w:color w:val="auto"/>
        </w:rPr>
      </w:pPr>
    </w:p>
    <w:p>
      <w:pPr>
        <w:ind w:left="444" w:right="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Agent is entitled to assume that the issuance and delivery of the Notes by the Company have been duly and validly authorized by the Company and that the Notes, when completed, authenticated and delivered pursuant hereto, will constitute the legal, valid and binding obligations of the Company.</w:t>
      </w:r>
    </w:p>
    <w:p>
      <w:pPr>
        <w:spacing w:after="0" w:line="279" w:lineRule="exact"/>
        <w:rPr>
          <w:rFonts w:ascii="Times New Roman" w:cs="Times New Roman" w:eastAsia="Times New Roman" w:hAnsi="Times New Roman"/>
          <w:sz w:val="18"/>
          <w:szCs w:val="18"/>
          <w:b w:val="1"/>
          <w:bCs w:val="1"/>
          <w:color w:val="auto"/>
        </w:rPr>
      </w:pPr>
    </w:p>
    <w:p>
      <w:pPr>
        <w:ind w:left="264" w:hanging="264"/>
        <w:spacing w:after="0"/>
        <w:tabs>
          <w:tab w:leader="none" w:pos="264"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PAYMENT OF NOTE PRINCIPAL AND INTEREST; INTEREST PAYMENT DATES; RECORD DATES</w:t>
      </w:r>
    </w:p>
    <w:p>
      <w:pPr>
        <w:spacing w:after="0" w:line="13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11.1  Payment</w:t>
      </w:r>
    </w:p>
    <w:p>
      <w:pPr>
        <w:spacing w:after="0" w:line="117" w:lineRule="exact"/>
        <w:rPr>
          <w:sz w:val="20"/>
          <w:szCs w:val="20"/>
          <w:color w:val="auto"/>
        </w:rPr>
      </w:pPr>
    </w:p>
    <w:p>
      <w:pPr>
        <w:ind w:left="444"/>
        <w:spacing w:after="0" w:line="258" w:lineRule="auto"/>
        <w:rPr>
          <w:sz w:val="20"/>
          <w:szCs w:val="20"/>
          <w:color w:val="auto"/>
        </w:rPr>
      </w:pPr>
      <w:r>
        <w:rPr>
          <w:rFonts w:ascii="Times New Roman" w:cs="Times New Roman" w:eastAsia="Times New Roman" w:hAnsi="Times New Roman"/>
          <w:sz w:val="18"/>
          <w:szCs w:val="18"/>
          <w:color w:val="auto"/>
        </w:rPr>
        <w:t>The Company will, on each date on which any payment in respect of the Notes becomes due, transfer to the Fiscal Agent by 10.00 a.m. (local time in the city of the Fiscal Agent’s specified office) such amount as may be required for the purposes of such payment. The Company will deliver to the Fiscal Agent by 10.00 a.m. (local time in the city of the Fiscal Agent’s specified office) on the second business day in the city of the Fiscal Agent’s specified office before the due date for any such payment a copy of irrevocable instructions issued by it for such payment to be made to the Fiscal Agent. In this subclause, the date on</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11" w:name="page12"/>
    <w:bookmarkEnd w:id="11"/>
    <w:p>
      <w:pPr>
        <w:ind w:left="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which a payment in respect of the Notes becomes due means the first date on which the holder of a Note could claim the relevant payment by transfer to an account under the Notes. The Fiscal Agent will, in turn, make such payments to the order of the common depositary for Euroclear and Clearstream, which will distribute such payments to participants by wire transfer of immediately available funds to the account specified by the holder or holders thereof and in accordance with their respective customary procedures. If the Fiscal Agent determines in its reasonable discretion, that payment in accordance with this subclause 11.1 is required to be made at an earlier time so as to enable the Fiscal Agent to receive funds before it is required to make payments to the Noteholders, it will provide the Issuer with no less than 21 days’ prior notice in writing of such requirement.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11.2  Method of Payment</w:t>
      </w:r>
    </w:p>
    <w:p>
      <w:pPr>
        <w:spacing w:after="0" w:line="117" w:lineRule="exact"/>
        <w:rPr>
          <w:sz w:val="20"/>
          <w:szCs w:val="20"/>
          <w:color w:val="auto"/>
        </w:rPr>
      </w:pPr>
    </w:p>
    <w:p>
      <w:pPr>
        <w:ind w:left="440" w:right="60"/>
        <w:spacing w:after="0" w:line="254" w:lineRule="auto"/>
        <w:rPr>
          <w:sz w:val="20"/>
          <w:szCs w:val="20"/>
          <w:color w:val="auto"/>
        </w:rPr>
      </w:pPr>
      <w:r>
        <w:rPr>
          <w:rFonts w:ascii="Times New Roman" w:cs="Times New Roman" w:eastAsia="Times New Roman" w:hAnsi="Times New Roman"/>
          <w:sz w:val="18"/>
          <w:szCs w:val="18"/>
          <w:color w:val="auto"/>
        </w:rPr>
        <w:t xml:space="preserve">Noteholders must surrender Notes to a Paying Agent to collect principal payments. The Company will pay principal and interest in Euros or such other lawful currency of the participating Member States in the Third Stage of European Economic and Monetary Union of the Treaty on the Functioning of the European Union that at the time of payment is legal tender for payment of public and private debts. Payments in respect of the Notes represented by the Global Note (including principal, premium and interest) will be made by wire transfer of immediately available funds to the accounts specified by Euroclear or Clearstream. The Company will make all payments in respect of a Definitive Note (including principal, premium and interest) by mailing a check to the registered address of each Noteholder thereof; </w:t>
      </w:r>
      <w:r>
        <w:rPr>
          <w:rFonts w:ascii="Times New Roman" w:cs="Times New Roman" w:eastAsia="Times New Roman" w:hAnsi="Times New Roman"/>
          <w:sz w:val="18"/>
          <w:szCs w:val="18"/>
          <w:b w:val="1"/>
          <w:b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however</w:t>
      </w:r>
      <w:r>
        <w:rPr>
          <w:rFonts w:ascii="Times New Roman" w:cs="Times New Roman" w:eastAsia="Times New Roman" w:hAnsi="Times New Roman"/>
          <w:sz w:val="18"/>
          <w:szCs w:val="18"/>
          <w:color w:val="auto"/>
        </w:rPr>
        <w:t>, that payments on a Definitive Note will be made by wire transfer if such Noteholder elects payment by wire transfer by giving written notice to the Fiscal Agent or the Paying Agent to such effect designating such account no later than 30 days immediately preceding the relevant due date for payment (or such other date as the Fiscal Agent may accept in its discretion).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11.3  Notification of Non-payment</w:t>
      </w:r>
    </w:p>
    <w:p>
      <w:pPr>
        <w:spacing w:after="0" w:line="117" w:lineRule="exact"/>
        <w:rPr>
          <w:sz w:val="20"/>
          <w:szCs w:val="20"/>
          <w:color w:val="auto"/>
        </w:rPr>
      </w:pPr>
    </w:p>
    <w:p>
      <w:pPr>
        <w:ind w:left="440" w:right="220"/>
        <w:spacing w:after="0" w:line="282" w:lineRule="auto"/>
        <w:rPr>
          <w:sz w:val="20"/>
          <w:szCs w:val="20"/>
          <w:color w:val="auto"/>
        </w:rPr>
      </w:pPr>
      <w:r>
        <w:rPr>
          <w:rFonts w:ascii="Times New Roman" w:cs="Times New Roman" w:eastAsia="Times New Roman" w:hAnsi="Times New Roman"/>
          <w:sz w:val="18"/>
          <w:szCs w:val="18"/>
          <w:color w:val="auto"/>
        </w:rPr>
        <w:t>The Fiscal Agent will as soon as reasonably practicable notify each other Paying Agent and the Company if the Fiscal Agent has not by the due date for any payment due in respect of the Notes received the full amount so payable on such date.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11.4  Payment by Paying Agents</w:t>
      </w:r>
    </w:p>
    <w:p>
      <w:pPr>
        <w:spacing w:after="0" w:line="117" w:lineRule="exact"/>
        <w:rPr>
          <w:sz w:val="20"/>
          <w:szCs w:val="20"/>
          <w:color w:val="auto"/>
        </w:rPr>
      </w:pPr>
    </w:p>
    <w:p>
      <w:pPr>
        <w:ind w:left="440" w:right="40"/>
        <w:spacing w:after="0" w:line="258" w:lineRule="auto"/>
        <w:rPr>
          <w:sz w:val="20"/>
          <w:szCs w:val="20"/>
          <w:color w:val="auto"/>
        </w:rPr>
      </w:pPr>
      <w:r>
        <w:rPr>
          <w:rFonts w:ascii="Times New Roman" w:cs="Times New Roman" w:eastAsia="Times New Roman" w:hAnsi="Times New Roman"/>
          <w:sz w:val="18"/>
          <w:szCs w:val="18"/>
          <w:color w:val="auto"/>
        </w:rPr>
        <w:t>Each Paying Agent will, subject to and in accordance with the Notes, pay or cause to be paid on behalf of the Company on and after each due date therefor the amounts due in respect of the Notes and, in the case of each Paying Agent other than the Fiscal Agent, will be entitled to claim any amounts so paid from the Fiscal Agent. If any payment provided for in subclause 11.1 is made late but otherwise in accordance with this Agreement, the Paying Agents may nevertheless make payments in respect of the Notes. However, unless and until the full amount of any such payment has been made to the Fiscal Agent in cleared funds, the Paying Agents will not be bound to make such payments.</w:t>
      </w:r>
    </w:p>
    <w:p>
      <w:pPr>
        <w:spacing w:after="0" w:line="75" w:lineRule="exact"/>
        <w:rPr>
          <w:sz w:val="20"/>
          <w:szCs w:val="20"/>
          <w:color w:val="auto"/>
        </w:rPr>
      </w:pPr>
    </w:p>
    <w:p>
      <w:pPr>
        <w:ind w:left="440" w:right="40"/>
        <w:spacing w:after="0" w:line="261" w:lineRule="auto"/>
        <w:rPr>
          <w:sz w:val="20"/>
          <w:szCs w:val="20"/>
          <w:color w:val="auto"/>
        </w:rPr>
      </w:pPr>
      <w:r>
        <w:rPr>
          <w:rFonts w:ascii="Times New Roman" w:cs="Times New Roman" w:eastAsia="Times New Roman" w:hAnsi="Times New Roman"/>
          <w:sz w:val="18"/>
          <w:szCs w:val="18"/>
          <w:color w:val="auto"/>
        </w:rPr>
        <w:t>Pursuant to subclause 11.9 of this Agreement, each Paying Agent shall be entitled to make payments net of any Taxes required by any Applicable Law (as defined below) to be withheld or deducted. If such a withholding or deduction is so undertaken, the Agent will not pay an additional amount in respect of that withholding or deduction. If an Agent makes payment in advance of receiving the full amount from the Issuer, the Issuer shall promptly pay such amount to the Agent together with the Agent’s cost of funding.</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11.5  Reimbursement of Paying Agents</w:t>
      </w:r>
    </w:p>
    <w:p>
      <w:pPr>
        <w:spacing w:after="0" w:line="117" w:lineRule="exact"/>
        <w:rPr>
          <w:sz w:val="20"/>
          <w:szCs w:val="20"/>
          <w:color w:val="auto"/>
        </w:rPr>
      </w:pPr>
    </w:p>
    <w:p>
      <w:pPr>
        <w:ind w:left="440" w:right="580"/>
        <w:spacing w:after="0" w:line="282" w:lineRule="auto"/>
        <w:rPr>
          <w:sz w:val="20"/>
          <w:szCs w:val="20"/>
          <w:color w:val="auto"/>
        </w:rPr>
      </w:pPr>
      <w:r>
        <w:rPr>
          <w:rFonts w:ascii="Times New Roman" w:cs="Times New Roman" w:eastAsia="Times New Roman" w:hAnsi="Times New Roman"/>
          <w:sz w:val="18"/>
          <w:szCs w:val="18"/>
          <w:color w:val="auto"/>
        </w:rPr>
        <w:t>The Fiscal Agent will on demand promptly reimburse each other Paying Agent for payments in respect of the Notes properly made by it in accordance with the Notes and this Agreement.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11.6  Late Payment</w:t>
      </w:r>
    </w:p>
    <w:p>
      <w:pPr>
        <w:spacing w:after="0" w:line="117" w:lineRule="exact"/>
        <w:rPr>
          <w:sz w:val="20"/>
          <w:szCs w:val="20"/>
          <w:color w:val="auto"/>
        </w:rPr>
      </w:pPr>
    </w:p>
    <w:p>
      <w:pPr>
        <w:ind w:left="440" w:right="240"/>
        <w:spacing w:after="0" w:line="282" w:lineRule="auto"/>
        <w:rPr>
          <w:sz w:val="20"/>
          <w:szCs w:val="20"/>
          <w:color w:val="auto"/>
        </w:rPr>
      </w:pPr>
      <w:r>
        <w:rPr>
          <w:rFonts w:ascii="Times New Roman" w:cs="Times New Roman" w:eastAsia="Times New Roman" w:hAnsi="Times New Roman"/>
          <w:sz w:val="18"/>
          <w:szCs w:val="18"/>
          <w:color w:val="auto"/>
        </w:rPr>
        <w:t>If the Fiscal Agent has not by the due date for any payment in respect of the Notes received the full amount payable on such date but receives it later, it will as soon as reasonably practicable give notice to each other Paying Agent and Noteholders that it has received such full amount.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11.7  Moneys Held by the Fiscal Agent</w:t>
      </w:r>
    </w:p>
    <w:p>
      <w:pPr>
        <w:spacing w:after="0" w:line="117" w:lineRule="exact"/>
        <w:rPr>
          <w:sz w:val="20"/>
          <w:szCs w:val="20"/>
          <w:color w:val="auto"/>
        </w:rPr>
      </w:pPr>
    </w:p>
    <w:p>
      <w:pPr>
        <w:ind w:left="440" w:right="40"/>
        <w:spacing w:after="0" w:line="256" w:lineRule="auto"/>
        <w:rPr>
          <w:sz w:val="20"/>
          <w:szCs w:val="20"/>
          <w:color w:val="auto"/>
        </w:rPr>
      </w:pPr>
      <w:r>
        <w:rPr>
          <w:rFonts w:ascii="Times New Roman" w:cs="Times New Roman" w:eastAsia="Times New Roman" w:hAnsi="Times New Roman"/>
          <w:sz w:val="18"/>
          <w:szCs w:val="18"/>
          <w:color w:val="auto"/>
        </w:rPr>
        <w:t>The Fiscal Agent may deal with moneys paid to it under this Agreement in the same manner as other moneys paid to it as a banker by its customers except that (a) it may not exercise any lien, right of set-off or similar claim in respect of them and (b) it shall not be liable to anyone for interest on any sums held by it under this Agreement. Any moneys paid by the Company to the Fiscal Agent for payment of principal or interest which remain unclaimed for two years after such moneys have become due and payable will be repaid to the Company upon its written request and the holder may thereafter look only to the Company for payment thereof. Moneys held by the Fiscal Agent need not be segregated except as required by law. Any funds held by the Agent will not be subject to the United Kingdom FCA Client Money Rules.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11.8  Partial Payments</w:t>
      </w:r>
    </w:p>
    <w:p>
      <w:pPr>
        <w:spacing w:after="0" w:line="117" w:lineRule="exact"/>
        <w:rPr>
          <w:sz w:val="20"/>
          <w:szCs w:val="20"/>
          <w:color w:val="auto"/>
        </w:rPr>
      </w:pPr>
    </w:p>
    <w:p>
      <w:pPr>
        <w:jc w:val="both"/>
        <w:ind w:left="440" w:right="40"/>
        <w:spacing w:after="0" w:line="266" w:lineRule="auto"/>
        <w:rPr>
          <w:sz w:val="20"/>
          <w:szCs w:val="20"/>
          <w:color w:val="auto"/>
        </w:rPr>
      </w:pPr>
      <w:r>
        <w:rPr>
          <w:rFonts w:ascii="Times New Roman" w:cs="Times New Roman" w:eastAsia="Times New Roman" w:hAnsi="Times New Roman"/>
          <w:sz w:val="18"/>
          <w:szCs w:val="18"/>
          <w:color w:val="auto"/>
        </w:rPr>
        <w:t>If on presentation of a Note only part of the amount payable in respect of it is paid (except as a result of deduction of tax as permitted by the terms and conditions of the Notes) the Paying Agent to whom the Note is presented shall ensure that such Note shall have attached to it a memorandum of the amount paid and the date of payment.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11.9  FATCA</w:t>
      </w:r>
    </w:p>
    <w:p>
      <w:pPr>
        <w:spacing w:after="0" w:line="117" w:lineRule="exact"/>
        <w:rPr>
          <w:sz w:val="20"/>
          <w:szCs w:val="20"/>
          <w:color w:val="auto"/>
        </w:rPr>
      </w:pPr>
    </w:p>
    <w:p>
      <w:pPr>
        <w:ind w:left="440"/>
        <w:spacing w:after="0" w:line="258" w:lineRule="auto"/>
        <w:rPr>
          <w:sz w:val="20"/>
          <w:szCs w:val="20"/>
          <w:color w:val="auto"/>
        </w:rPr>
      </w:pPr>
      <w:r>
        <w:rPr>
          <w:rFonts w:ascii="Times New Roman" w:cs="Times New Roman" w:eastAsia="Times New Roman" w:hAnsi="Times New Roman"/>
          <w:sz w:val="18"/>
          <w:szCs w:val="18"/>
          <w:color w:val="auto"/>
        </w:rPr>
        <w:t xml:space="preserve">Payments will, without prejudice to the provisions of Clause 8 of the terms and conditions of the Notes, be subject in all cases to (i) any applicable fiscal or other laws and regulations, and (ii) any withholding or deduction (the </w:t>
      </w:r>
      <w:r>
        <w:rPr>
          <w:rFonts w:ascii="Times New Roman" w:cs="Times New Roman" w:eastAsia="Times New Roman" w:hAnsi="Times New Roman"/>
          <w:sz w:val="18"/>
          <w:szCs w:val="18"/>
          <w:b w:val="1"/>
          <w:bCs w:val="1"/>
          <w:color w:val="auto"/>
        </w:rPr>
        <w:t>FATCA Withholding Tax</w:t>
      </w:r>
      <w:r>
        <w:rPr>
          <w:rFonts w:ascii="Times New Roman" w:cs="Times New Roman" w:eastAsia="Times New Roman" w:hAnsi="Times New Roman"/>
          <w:sz w:val="18"/>
          <w:szCs w:val="18"/>
          <w:color w:val="auto"/>
        </w:rPr>
        <w:t xml:space="preserve">) required pursuant to an agreement described in Section 1471(b) of the U.S.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or otherwise imposed pursuant to Sections 1471 through 1474 of the Code, any regulations or agreements thereunder, official interpretations thereof, or any law implementing an intergovernmental approach thereto (</w:t>
      </w:r>
      <w:r>
        <w:rPr>
          <w:rFonts w:ascii="Times New Roman" w:cs="Times New Roman" w:eastAsia="Times New Roman" w:hAnsi="Times New Roman"/>
          <w:sz w:val="18"/>
          <w:szCs w:val="18"/>
          <w:b w:val="1"/>
          <w:bCs w:val="1"/>
          <w:color w:val="auto"/>
        </w:rPr>
        <w:t>FATCA</w:t>
      </w:r>
      <w:r>
        <w:rPr>
          <w:rFonts w:ascii="Times New Roman" w:cs="Times New Roman" w:eastAsia="Times New Roman" w:hAnsi="Times New Roman"/>
          <w:sz w:val="18"/>
          <w:szCs w:val="18"/>
          <w:color w:val="auto"/>
        </w:rPr>
        <w:t>).</w:t>
      </w:r>
    </w:p>
    <w:p>
      <w:pPr>
        <w:spacing w:after="0" w:line="71" w:lineRule="exact"/>
        <w:rPr>
          <w:sz w:val="20"/>
          <w:szCs w:val="20"/>
          <w:color w:val="auto"/>
        </w:rPr>
      </w:pPr>
    </w:p>
    <w:p>
      <w:pPr>
        <w:ind w:left="440" w:right="20"/>
        <w:spacing w:after="0" w:line="256" w:lineRule="auto"/>
        <w:rPr>
          <w:sz w:val="20"/>
          <w:szCs w:val="20"/>
          <w:color w:val="auto"/>
        </w:rPr>
      </w:pPr>
      <w:r>
        <w:rPr>
          <w:rFonts w:ascii="Times New Roman" w:cs="Times New Roman" w:eastAsia="Times New Roman" w:hAnsi="Times New Roman"/>
          <w:sz w:val="18"/>
          <w:szCs w:val="18"/>
          <w:color w:val="auto"/>
        </w:rPr>
        <w:t xml:space="preserve">If, for any reason, each of the Agents that is a “foreign financial institution,” as such term is defined under FATCA (the </w:t>
      </w:r>
      <w:r>
        <w:rPr>
          <w:rFonts w:ascii="Times New Roman" w:cs="Times New Roman" w:eastAsia="Times New Roman" w:hAnsi="Times New Roman"/>
          <w:sz w:val="18"/>
          <w:szCs w:val="18"/>
          <w:b w:val="1"/>
          <w:bCs w:val="1"/>
          <w:color w:val="auto"/>
        </w:rPr>
        <w:t>FFI</w:t>
      </w:r>
      <w:r>
        <w:rPr>
          <w:rFonts w:ascii="Times New Roman" w:cs="Times New Roman" w:eastAsia="Times New Roman" w:hAnsi="Times New Roman"/>
          <w:sz w:val="18"/>
          <w:szCs w:val="18"/>
          <w:color w:val="auto"/>
        </w:rPr>
        <w:t xml:space="preserve">) does not become, or ceases to be, an FFI that, as from the effective date of any rules requiring withholding on “withholdable payments” or “passthru payments” (as such terms are defined pursuant to FATCA), meets the requirements of Section 1471(b) of the Code and any regulations or other official guidance issued thereunder and that has not elected to be withheld upon pursuant to Section 1471(b)(3) of the Code (the </w:t>
      </w:r>
      <w:r>
        <w:rPr>
          <w:rFonts w:ascii="Times New Roman" w:cs="Times New Roman" w:eastAsia="Times New Roman" w:hAnsi="Times New Roman"/>
          <w:sz w:val="18"/>
          <w:szCs w:val="18"/>
          <w:b w:val="1"/>
          <w:bCs w:val="1"/>
          <w:color w:val="auto"/>
        </w:rPr>
        <w:t>Participating FFI</w:t>
      </w:r>
      <w:r>
        <w:rPr>
          <w:rFonts w:ascii="Times New Roman" w:cs="Times New Roman" w:eastAsia="Times New Roman" w:hAnsi="Times New Roman"/>
          <w:sz w:val="18"/>
          <w:szCs w:val="18"/>
          <w:color w:val="auto"/>
        </w:rPr>
        <w:t>) and the Company considers in its sole discretion that it may be liable as a result to pay any FATCA Withholding Tax in respect of any payment due on any Notes, then the Company will be entitled to remove any or all the Agents in accordance with Clause 19 in order that the payment may be made without FATCA Withholding Tax.</w:t>
      </w:r>
    </w:p>
    <w:p>
      <w:pPr>
        <w:spacing w:after="0" w:line="79" w:lineRule="exact"/>
        <w:rPr>
          <w:sz w:val="20"/>
          <w:szCs w:val="20"/>
          <w:color w:val="auto"/>
        </w:rPr>
      </w:pPr>
    </w:p>
    <w:p>
      <w:pPr>
        <w:ind w:left="440"/>
        <w:spacing w:after="0" w:line="277" w:lineRule="auto"/>
        <w:rPr>
          <w:sz w:val="20"/>
          <w:szCs w:val="20"/>
          <w:color w:val="auto"/>
        </w:rPr>
      </w:pPr>
      <w:r>
        <w:rPr>
          <w:rFonts w:ascii="Times New Roman" w:cs="Times New Roman" w:eastAsia="Times New Roman" w:hAnsi="Times New Roman"/>
          <w:sz w:val="17"/>
          <w:szCs w:val="17"/>
          <w:color w:val="auto"/>
        </w:rPr>
        <w:t>Each party to this Agreement shall, within ten business days of a written request by another party, supply to that other party such forms, documentation and other information relating to it, its operations, or the Notes as that other party reasonably requests for the purposes of that other party’s compliance with the Tax reporting or compliance obligations under FATCA or similar regimes adopted in other jurisdictions and shall notify the relevant other party reasonably promptly in the event that it becomes aware that any of the forms, documentation or other information provided by such party is (or becomes) inaccurate in any material respect; provided, however, that no party shall be required to provide any</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13" w:name="page14"/>
    <w:bookmarkEnd w:id="13"/>
    <w:p>
      <w:pPr>
        <w:ind w:left="4"/>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forms, documentation or other information pursuant to this subclause 11.9 to the extent that: (i) any such form, documentation or other information (or the information required to be provided on such form or documentation) is not reasonably available to such party and cannot be obtained by such Party using reasonable efforts; or (ii) doing so would or might in the reasonable opinion of such party constitute a breach of any:</w:t>
      </w:r>
    </w:p>
    <w:p>
      <w:pPr>
        <w:spacing w:after="0" w:line="2" w:lineRule="exact"/>
        <w:rPr>
          <w:sz w:val="20"/>
          <w:szCs w:val="20"/>
          <w:color w:val="auto"/>
        </w:rPr>
      </w:pPr>
    </w:p>
    <w:p>
      <w:pPr>
        <w:ind w:left="4" w:right="120" w:hanging="4"/>
        <w:spacing w:after="0" w:line="253" w:lineRule="auto"/>
        <w:tabs>
          <w:tab w:leader="none" w:pos="23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Law; (b) fiduciary duty; or (c) duty of confidentiality. For purposes of this subclause 11.9, “Applicable Law” shall be deemed to include (i) any rule or practice of any competent regulatory, prosecuting, tax or governmental authority in any jurisdiction (</w:t>
      </w:r>
      <w:r>
        <w:rPr>
          <w:rFonts w:ascii="Times New Roman" w:cs="Times New Roman" w:eastAsia="Times New Roman" w:hAnsi="Times New Roman"/>
          <w:sz w:val="18"/>
          <w:szCs w:val="18"/>
          <w:b w:val="1"/>
          <w:bCs w:val="1"/>
          <w:color w:val="auto"/>
        </w:rPr>
        <w:t>Authority</w:t>
      </w:r>
      <w:r>
        <w:rPr>
          <w:rFonts w:ascii="Times New Roman" w:cs="Times New Roman" w:eastAsia="Times New Roman" w:hAnsi="Times New Roman"/>
          <w:sz w:val="18"/>
          <w:szCs w:val="18"/>
          <w:color w:val="auto"/>
        </w:rPr>
        <w:t>) by which any party is bound or with which it is accustomed to comply; (ii) any agreement between any Authorities; and (iii) any agreement between any Authority and any party that is customarily entered into by institutions of a similar nature.</w:t>
      </w:r>
    </w:p>
    <w:p>
      <w:pPr>
        <w:spacing w:after="0" w:line="81" w:lineRule="exact"/>
        <w:rPr>
          <w:sz w:val="20"/>
          <w:szCs w:val="20"/>
          <w:color w:val="auto"/>
        </w:rPr>
      </w:pPr>
    </w:p>
    <w:p>
      <w:pPr>
        <w:ind w:left="4" w:right="40"/>
        <w:spacing w:after="0" w:line="252" w:lineRule="auto"/>
        <w:rPr>
          <w:sz w:val="20"/>
          <w:szCs w:val="20"/>
          <w:color w:val="auto"/>
        </w:rPr>
      </w:pPr>
      <w:r>
        <w:rPr>
          <w:rFonts w:ascii="Times New Roman" w:cs="Times New Roman" w:eastAsia="Times New Roman" w:hAnsi="Times New Roman"/>
          <w:sz w:val="18"/>
          <w:szCs w:val="18"/>
          <w:color w:val="auto"/>
        </w:rPr>
        <w:t xml:space="preserve">The Agents will treat information relating to or provided by the Company as confidential, but (unless consent is prohibited by law) the Company consents to the processing, transfer and disclosure by the Agents of any information relating to or provided by the Company to any of the Agents, their affiliates and agents, and third parties (including service providers) selected by any of them, wherever situated (together, the </w:t>
      </w:r>
      <w:r>
        <w:rPr>
          <w:rFonts w:ascii="Times New Roman" w:cs="Times New Roman" w:eastAsia="Times New Roman" w:hAnsi="Times New Roman"/>
          <w:sz w:val="18"/>
          <w:szCs w:val="18"/>
          <w:b w:val="1"/>
          <w:bCs w:val="1"/>
          <w:color w:val="auto"/>
        </w:rPr>
        <w:t>Authorized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Recipients</w:t>
      </w:r>
      <w:r>
        <w:rPr>
          <w:rFonts w:ascii="Times New Roman" w:cs="Times New Roman" w:eastAsia="Times New Roman" w:hAnsi="Times New Roman"/>
          <w:sz w:val="18"/>
          <w:szCs w:val="18"/>
          <w:color w:val="auto"/>
        </w:rPr>
        <w:t>), for confidential use (including without limitation in connection with the provision of any service and for data processing, statistical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risk analysis purposes and for compliance with FATCA) provided that the Agents have ensured or shall ensure that each such Authorized Recipient to which they provide such confidential information is aware that such information is confidential and should be treated accordingly. The Agents, their affiliates and agents, and third parties referred to above may also transfer and disclose any such information as is required or requested by, or to, any court, legal process, FATCA or any competent regulatory, prosecuting, tax or governmental authority in any jurisdiction, domestic or foreign, including an auditor of a party to this Agreement and including any payor or payee as required by FATCA, and may use (and their performance will be subject to the rules of) any communications, clearing or payment systems, intermediary bank or other system. The Company (a) acknowledges that the transfers permitted by this clause may include transfers to jurisdictions which do not have strict data protection or data privacy laws; and (b) represents that it has provided to and secured from any person regarding whom it has provided information to the Agents any notices, consents and waivers necessary to permit the processing, transfer and disclosure of that information as permitted by this clause and that it will provide such notices and secure such necessary consents and waivers in advance of providing similar information to the Agents in the future.</w:t>
      </w:r>
    </w:p>
    <w:p>
      <w:pPr>
        <w:spacing w:after="0" w:line="88" w:lineRule="exact"/>
        <w:rPr>
          <w:sz w:val="20"/>
          <w:szCs w:val="20"/>
          <w:color w:val="auto"/>
        </w:rPr>
      </w:pPr>
    </w:p>
    <w:p>
      <w:pPr>
        <w:ind w:left="4" w:right="60"/>
        <w:spacing w:after="0" w:line="272" w:lineRule="auto"/>
        <w:rPr>
          <w:sz w:val="20"/>
          <w:szCs w:val="20"/>
          <w:color w:val="auto"/>
        </w:rPr>
      </w:pPr>
      <w:r>
        <w:rPr>
          <w:rFonts w:ascii="Times New Roman" w:cs="Times New Roman" w:eastAsia="Times New Roman" w:hAnsi="Times New Roman"/>
          <w:sz w:val="17"/>
          <w:szCs w:val="17"/>
          <w:color w:val="auto"/>
        </w:rPr>
        <w:t xml:space="preserve">Any payment by the Agents under this Agreement will be made without any deduction or withholding for or on account of any taxes, levies, imposts, charges, assessments, deductions, withholdings and related liabilities relating to payments made under the Notes that are required by applicable law (together, </w:t>
      </w:r>
      <w:r>
        <w:rPr>
          <w:rFonts w:ascii="Times New Roman" w:cs="Times New Roman" w:eastAsia="Times New Roman" w:hAnsi="Times New Roman"/>
          <w:sz w:val="17"/>
          <w:szCs w:val="17"/>
          <w:b w:val="1"/>
          <w:bCs w:val="1"/>
          <w:color w:val="auto"/>
        </w:rPr>
        <w:t>Taxes</w:t>
      </w:r>
      <w:r>
        <w:rPr>
          <w:rFonts w:ascii="Times New Roman" w:cs="Times New Roman" w:eastAsia="Times New Roman" w:hAnsi="Times New Roman"/>
          <w:sz w:val="17"/>
          <w:szCs w:val="17"/>
          <w:color w:val="auto"/>
        </w:rPr>
        <w:t>); provided, however, each Agent shall be entitled to make a deduction or withholding from any payment that it makes under any Notes for or on account of any Taxes, if and only to the extent so required by Applicable Law, in which event the Agent shall make such payment after such deduction or withholding has been made and shall account to the relevant governmental authority within the time allowed for the amount so deducted or withheld or, at its option, shall reasonably promptly after making such payment return to the Company the amount so deducted or withheld, in which case, the Company shall so account to the relevant Authority for such amount. For the avoidance of doubt, FATCA Withholding Tax is a deduction or withholding that is deemed to be required by Applicable Law for purposes of this Clause 11.9.</w:t>
      </w:r>
    </w:p>
    <w:p>
      <w:pPr>
        <w:spacing w:after="0" w:line="64" w:lineRule="exact"/>
        <w:rPr>
          <w:sz w:val="20"/>
          <w:szCs w:val="20"/>
          <w:color w:val="auto"/>
        </w:rPr>
      </w:pPr>
    </w:p>
    <w:p>
      <w:pPr>
        <w:jc w:val="both"/>
        <w:ind w:left="4" w:right="60"/>
        <w:spacing w:after="0" w:line="258" w:lineRule="auto"/>
        <w:rPr>
          <w:sz w:val="20"/>
          <w:szCs w:val="20"/>
          <w:color w:val="auto"/>
        </w:rPr>
      </w:pPr>
      <w:r>
        <w:rPr>
          <w:rFonts w:ascii="Times New Roman" w:cs="Times New Roman" w:eastAsia="Times New Roman" w:hAnsi="Times New Roman"/>
          <w:sz w:val="18"/>
          <w:szCs w:val="18"/>
          <w:color w:val="auto"/>
        </w:rPr>
        <w:t>The Company shall notify each Agent in the event that the Company determines that any payment to be made by an Agent under any Notes is a payment that could be subject to FATCA Withholding Tax if such payment were made to a recipient that is generally unable to receive payments free from FATCA Withholding Tax, and the extent to which the relevant payment is so treated, provided, however, that the Company’s obligation under this Clause 11.9 shall apply only to the extent that such payments are so treated by virtue of characteristics of the Company, such Notes, or both.</w:t>
      </w:r>
    </w:p>
    <w:p>
      <w:pPr>
        <w:spacing w:after="0" w:line="116" w:lineRule="exact"/>
        <w:rPr>
          <w:sz w:val="20"/>
          <w:szCs w:val="20"/>
          <w:color w:val="auto"/>
        </w:rPr>
      </w:pPr>
    </w:p>
    <w:p>
      <w:pPr>
        <w:jc w:val="center"/>
        <w:ind w:right="376"/>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24"/>
          </w:cols>
          <w:pgMar w:left="876" w:top="270" w:right="499" w:bottom="1440" w:gutter="0" w:footer="0" w:header="0"/>
        </w:sectPr>
      </w:pPr>
    </w:p>
    <w:bookmarkStart w:id="14" w:name="page15"/>
    <w:bookmarkEnd w:id="14"/>
    <w:p>
      <w:pPr>
        <w:ind w:left="444" w:right="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event that the Company determines in its sole discretion that any deduction or withholding for or on account of any Tax will be required by Applicable Law in connection with any payment due to any of the Agents on any Notes, then the Company will be entitled to redirect or reorganize any such payment in any way that it sees fit in order that the payment may be made without such deduction or withholding provided that, any such redirected or reorganized payment is made through a recognized institution of international standing and otherwise made in accordance with this Agreement. The Company will promptly notify the Agents of any such redirection or reorganization. For the avoidance of doubt, FATCA Withholding Tax is a deduction or withholding which is deemed to be required by Applicable Law for the purposes of this Clause 11.9.</w:t>
      </w:r>
    </w:p>
    <w:p>
      <w:pPr>
        <w:spacing w:after="0" w:line="333" w:lineRule="exact"/>
        <w:rPr>
          <w:sz w:val="20"/>
          <w:szCs w:val="20"/>
          <w:color w:val="auto"/>
        </w:rPr>
      </w:pPr>
    </w:p>
    <w:p>
      <w:pPr>
        <w:ind w:left="424" w:hanging="424"/>
        <w:spacing w:after="0"/>
        <w:tabs>
          <w:tab w:leader="none" w:pos="424"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DUTIES OF THE FISCAL AGENT</w:t>
      </w:r>
    </w:p>
    <w:p>
      <w:pPr>
        <w:spacing w:after="0" w:line="121"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accordance with the terms and conditions of the Notes and this Agreement or if otherwise requested by the Company, the Fiscal Agent will:</w:t>
      </w:r>
    </w:p>
    <w:p>
      <w:pPr>
        <w:spacing w:after="0" w:line="130" w:lineRule="exact"/>
        <w:rPr>
          <w:rFonts w:ascii="Times New Roman" w:cs="Times New Roman" w:eastAsia="Times New Roman" w:hAnsi="Times New Roman"/>
          <w:sz w:val="18"/>
          <w:szCs w:val="18"/>
          <w:b w:val="1"/>
          <w:bCs w:val="1"/>
          <w:color w:val="auto"/>
        </w:rPr>
      </w:pPr>
    </w:p>
    <w:p>
      <w:pPr>
        <w:ind w:left="964" w:hanging="532"/>
        <w:spacing w:after="0"/>
        <w:tabs>
          <w:tab w:leader="none" w:pos="96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requests to effect exchanges of the Global Note to Definitive Notes;</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record of the Global Note and the certificate number or numbers of all Definitive Notes delivered hereunder;</w:t>
      </w:r>
    </w:p>
    <w:p>
      <w:pPr>
        <w:spacing w:after="0" w:line="130" w:lineRule="exact"/>
        <w:rPr>
          <w:rFonts w:ascii="Times New Roman" w:cs="Times New Roman" w:eastAsia="Times New Roman" w:hAnsi="Times New Roman"/>
          <w:sz w:val="18"/>
          <w:szCs w:val="18"/>
          <w:color w:val="auto"/>
        </w:rPr>
      </w:pPr>
    </w:p>
    <w:p>
      <w:pPr>
        <w:ind w:left="964" w:hanging="532"/>
        <w:spacing w:after="0" w:line="255" w:lineRule="auto"/>
        <w:tabs>
          <w:tab w:leader="none" w:pos="96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 out such other acts as may be necessary to give effect to the terms and conditions of the Notes with respect to payment, transfer, cancellation and replacement, including, with respect to Definitive Notes, (i) retaining Forms W-9, W-8BEN, W-8BEN-E, W-8ECI, W-8IMY or other appropriate tax certification provided by or on behalf of the Noteholders necessary to exempt such Noteholders from withholding tax under the Internal Revenue Code of 1986, as amended, (ii) preparing and mailing to Noteholders and (iii) filing with the U.S. Internal Revenue Service any applicable forms or reports with respect to any payment made by the Fiscal Agent hereunder. The Fiscal Agent shall withhold and remit any withholding tax required to be withheld from any payments to Noteholders who have not supplied the required certification specified in subclause (i) above;</w:t>
      </w:r>
    </w:p>
    <w:p>
      <w:pPr>
        <w:spacing w:after="0" w:line="94" w:lineRule="exact"/>
        <w:rPr>
          <w:rFonts w:ascii="Times New Roman" w:cs="Times New Roman" w:eastAsia="Times New Roman" w:hAnsi="Times New Roman"/>
          <w:sz w:val="18"/>
          <w:szCs w:val="18"/>
          <w:color w:val="auto"/>
        </w:rPr>
      </w:pPr>
    </w:p>
    <w:p>
      <w:pPr>
        <w:ind w:left="964" w:right="80" w:hanging="532"/>
        <w:spacing w:after="0" w:line="261" w:lineRule="auto"/>
        <w:tabs>
          <w:tab w:leader="none" w:pos="96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Company’s right of redemption set forth in Clause 8.5 above, if any Note is mutilated or defaced or is apparently destroyed, lost or stolen, replace such Note at a specified office of any Paying Agent, subject to all applicable laws and stock exchange requirements, upon payment by the claimant of the expenses incurred in connection therewith and on such terms and with such indemnity as the Company and the Fiscal Agent may require (mutilated or defaced Notes must be surrendered before replacements will be issued); and</w:t>
      </w:r>
    </w:p>
    <w:p>
      <w:pPr>
        <w:spacing w:after="0" w:line="85" w:lineRule="exact"/>
        <w:rPr>
          <w:rFonts w:ascii="Times New Roman" w:cs="Times New Roman" w:eastAsia="Times New Roman" w:hAnsi="Times New Roman"/>
          <w:sz w:val="18"/>
          <w:szCs w:val="18"/>
          <w:color w:val="auto"/>
        </w:rPr>
      </w:pPr>
    </w:p>
    <w:p>
      <w:pPr>
        <w:ind w:left="964" w:right="20" w:hanging="532"/>
        <w:spacing w:after="0" w:line="261" w:lineRule="auto"/>
        <w:tabs>
          <w:tab w:leader="none" w:pos="96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and in accordance with the instructions, and at the expense, of the Company received at least 10 days before the proposed publication date, arrange for the publication of any notice which is to be given to the Noteholders and supply a copy thereof to each other Paying Agent, Euroclear, Clearstream and, so long as the Notes are listed thereon, the Irish Stock Exchange plc trading as Euronext Dublin (</w:t>
      </w:r>
      <w:r>
        <w:rPr>
          <w:rFonts w:ascii="Times New Roman" w:cs="Times New Roman" w:eastAsia="Times New Roman" w:hAnsi="Times New Roman"/>
          <w:sz w:val="18"/>
          <w:szCs w:val="18"/>
          <w:b w:val="1"/>
          <w:bCs w:val="1"/>
          <w:color w:val="auto"/>
        </w:rPr>
        <w:t>Euronext Dublin</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4"/>
          </w:cols>
          <w:pgMar w:left="436" w:top="270" w:right="459" w:bottom="1440" w:gutter="0" w:footer="0" w:header="0"/>
        </w:sectPr>
      </w:pPr>
    </w:p>
    <w:bookmarkStart w:id="15" w:name="page16"/>
    <w:bookmarkEnd w:id="15"/>
    <w:p>
      <w:pPr>
        <w:ind w:left="424" w:hanging="424"/>
        <w:spacing w:after="0"/>
        <w:tabs>
          <w:tab w:leader="none" w:pos="424"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LIABILITY</w:t>
      </w:r>
    </w:p>
    <w:p>
      <w:pPr>
        <w:spacing w:after="0" w:line="121" w:lineRule="exact"/>
        <w:rPr>
          <w:rFonts w:ascii="Times New Roman" w:cs="Times New Roman" w:eastAsia="Times New Roman" w:hAnsi="Times New Roman"/>
          <w:sz w:val="18"/>
          <w:szCs w:val="18"/>
          <w:b w:val="1"/>
          <w:bCs w:val="1"/>
          <w:color w:val="auto"/>
        </w:rPr>
      </w:pPr>
    </w:p>
    <w:p>
      <w:pPr>
        <w:ind w:left="444"/>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Neither the Agents nor their officers or employees shall be liable for any act or omission hereunder except in the case of gross negligence or willful default. The duties and obligations of the Agents and their officers and employees shall be determined by the express provisions of this Agreement and they shall not be liable except for the performance of such duties and obligations as are specifically set forth herein, and no implied covenants shall be read into this Agreement against them. The Agents shall be protected and shall incur no liability for or in respect of any action taken, omitted or suffered in reliance upon any instruction, request or order from the Company, or any Note, form of transfer, resolution, direction, consent, certificate, affidavit, statement, facsimile transmission, electronic message or other paper or document reasonably believed by it, acting in good faith, to be genuine and to have been delivered, signed or sent by the proper party or parties. The Agents shall be entitled to do nothing, without liability, if conflicting, unclear or equivocal instructions are received in order to comply with any Applicable Law. The Agents may consult with counsel or other professionals and shall be fully protected in any action reasonably taken, omitted or suffered in good faith in accordance with the advice of counsel. Neither the Agents nor their officers or employees shall be required to ascertain whether any issuance or sale of Notes (or any amendment or termination of this Agreement) have been duly authorized or are in compliance with any other agreement to which the Company is a party (whether or not the Agents are also a party to such other agreement).</w:t>
      </w:r>
    </w:p>
    <w:p>
      <w:pPr>
        <w:spacing w:after="0" w:line="81" w:lineRule="exact"/>
        <w:rPr>
          <w:rFonts w:ascii="Times New Roman" w:cs="Times New Roman" w:eastAsia="Times New Roman" w:hAnsi="Times New Roman"/>
          <w:sz w:val="18"/>
          <w:szCs w:val="18"/>
          <w:b w:val="1"/>
          <w:bCs w:val="1"/>
          <w:color w:val="auto"/>
        </w:rPr>
      </w:pPr>
    </w:p>
    <w:p>
      <w:pPr>
        <w:ind w:left="444" w:right="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anything else herein contained, the Agents may refrain without liability from doing anything that would or might in their opinion be contrary to any law of any state or jurisdiction (including but not limited to the European Union, the United States of America or any jurisdiction forming a part of it, and England &amp; Wales) or any directive or regulation of any agency of any such state or jurisdiction or which would or might otherwise render the Agents liable to any person or may without liability do anything which is, in the Agents’ opinion, necessary to comply with any such law, directive or regulation.</w:t>
      </w:r>
    </w:p>
    <w:p>
      <w:pPr>
        <w:spacing w:after="0" w:line="327"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INDEMNIFICATION BY COMPANY</w:t>
      </w:r>
    </w:p>
    <w:p>
      <w:pPr>
        <w:spacing w:after="0" w:line="121" w:lineRule="exact"/>
        <w:rPr>
          <w:rFonts w:ascii="Times New Roman" w:cs="Times New Roman" w:eastAsia="Times New Roman" w:hAnsi="Times New Roman"/>
          <w:sz w:val="18"/>
          <w:szCs w:val="18"/>
          <w:b w:val="1"/>
          <w:bCs w:val="1"/>
          <w:color w:val="auto"/>
        </w:rPr>
      </w:pPr>
    </w:p>
    <w:p>
      <w:pPr>
        <w:ind w:left="444"/>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agrees to indemnify and hold harmless each Agent and each of its respective directors, officers, employees and agents from and against any and all liabilities (including liability for penalties), losses, claims, damages, actions, suits, judgments, demands, costs and expenses (including properly incurred legal fees and expenses) relating to or arising out of or in connection with its or their respective performance under this Agreement, except to the extent that they are caused by the gross negligence or willful default of each such Agent or the directors, officers, employees and agents of each such Agent. The foregoing indemnity includes, but is not limited to, any action taken or omitted in good faith within the scope of this Agreement upon telephone, telecopier or other electronically transmitted instructions, if authorized herein, received from or believed by the Agents in good faith to have been given by, an Authorized Representative. This indemnity shall survive the resignation or removal of any Agent and the expiry or termination of this Agreement.</w:t>
      </w:r>
    </w:p>
    <w:p>
      <w:pPr>
        <w:spacing w:after="0" w:line="336"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INDEMNIFICATION BY THE AGENTS</w:t>
      </w:r>
    </w:p>
    <w:p>
      <w:pPr>
        <w:spacing w:after="0" w:line="121" w:lineRule="exact"/>
        <w:rPr>
          <w:rFonts w:ascii="Times New Roman" w:cs="Times New Roman" w:eastAsia="Times New Roman" w:hAnsi="Times New Roman"/>
          <w:sz w:val="18"/>
          <w:szCs w:val="18"/>
          <w:b w:val="1"/>
          <w:bCs w:val="1"/>
          <w:color w:val="auto"/>
        </w:rPr>
      </w:pPr>
    </w:p>
    <w:p>
      <w:pPr>
        <w:ind w:left="444"/>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Agent agrees severally to indemnify and hold harmless the Company, its directors, officers, employees and agents from and against any and all liabilities (including liability for penalties), losses, claims, damages, actions, suits, judgments, demands, costs and expenses (including properly incurred legal fees and expenses) relating to or arising out of or in connection with its performance, in any capacity, under this Agreement, to the extent that they are caused by the gross negligence or willful default of such Agent. Each Agent shall have no liability whatsoever for any consequential or indirect loss (including, but not limited to, loss of business, goodwill, opportunity or profit) of any kind whatsoever. This indemnity shall survive the resignation or removal of any Agent and the expiry or termination of this Agreement.</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4"/>
          </w:cols>
          <w:pgMar w:left="436" w:top="266" w:right="459" w:bottom="1440" w:gutter="0" w:footer="0" w:header="0"/>
        </w:sectPr>
      </w:pPr>
    </w:p>
    <w:bookmarkStart w:id="16" w:name="page17"/>
    <w:bookmarkEnd w:id="16"/>
    <w:p>
      <w:pPr>
        <w:ind w:left="424" w:hanging="424"/>
        <w:spacing w:after="0"/>
        <w:tabs>
          <w:tab w:leader="none" w:pos="424"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COMPENSATION OF THE AGENTS</w:t>
      </w:r>
    </w:p>
    <w:p>
      <w:pPr>
        <w:spacing w:after="0" w:line="121" w:lineRule="exact"/>
        <w:rPr>
          <w:rFonts w:ascii="Times New Roman" w:cs="Times New Roman" w:eastAsia="Times New Roman" w:hAnsi="Times New Roman"/>
          <w:sz w:val="18"/>
          <w:szCs w:val="18"/>
          <w:b w:val="1"/>
          <w:bCs w:val="1"/>
          <w:color w:val="auto"/>
        </w:rPr>
      </w:pPr>
    </w:p>
    <w:p>
      <w:pPr>
        <w:ind w:left="444"/>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agrees to pay the compensation of each Agent at such rates as shall be agreed upon from time to time and to reimburse each Agent for properly incurred and documented out-of-pocket expenses (including costs of preparation of the Notes and properly incurred legal fees and expenses), disbursements and advances incurred or made in accordance with any provisions of this Agreement. The obligations of the Company to each Agent pursuant to this Clause 16 shall survive the resignation or removal of any Agent and the expiry or termination of this Agreement. These expenses shall include any costs or charges incurred by the Fiscal Agent in carrying out instructions to clear and/or settle transfers of securities under this Agreement (including cash penalty charges that may be incurred under Article 7 of the Central Securities Depositaries Regulation (EU) No 909/2014 if a settlement fail occurs due to the Company’s failure to deliver any required securities or cash or other action or omission).</w:t>
      </w:r>
    </w:p>
    <w:p>
      <w:pPr>
        <w:spacing w:after="0" w:line="336"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MEETINGS OF THE NOTEHOLDERS</w:t>
      </w:r>
    </w:p>
    <w:p>
      <w:pPr>
        <w:spacing w:after="0" w:line="121" w:lineRule="exact"/>
        <w:rPr>
          <w:rFonts w:ascii="Times New Roman" w:cs="Times New Roman" w:eastAsia="Times New Roman" w:hAnsi="Times New Roman"/>
          <w:sz w:val="18"/>
          <w:szCs w:val="18"/>
          <w:b w:val="1"/>
          <w:bCs w:val="1"/>
          <w:color w:val="auto"/>
        </w:rPr>
      </w:pPr>
    </w:p>
    <w:p>
      <w:pPr>
        <w:ind w:left="444" w:right="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Attached hereto as Schedule 2 are the provisions for meetings of the Noteholders. A Paying Agent shall, at the request of any Noteholder, issue Voting Certificates and Block Voting Instructions as defined in and in a form and manner which comply with the provisions of Schedule 2 (Provisions for Meetings of the Noteholders) (except that it shall not be required to issue the same less than 48 hours before the time fixed for any Meeting provided for therein). Such Paying Agent shall keep a full record of Voting Certificates and Block Voting Instructions issued by it and shall give to the Company, not less than 24 hours before the time appointed for any Meeting, full particulars of all Voting Certificates and Block Voting Instructions issued by it in respect of such Meeting. The terms used in this Clause 17 but not otherwise defined shall have the meaning given to them in Schedule 2 to this Agreement.</w:t>
      </w:r>
    </w:p>
    <w:p>
      <w:pPr>
        <w:spacing w:after="0" w:line="292" w:lineRule="exact"/>
        <w:rPr>
          <w:rFonts w:ascii="Times New Roman" w:cs="Times New Roman" w:eastAsia="Times New Roman" w:hAnsi="Times New Roman"/>
          <w:sz w:val="18"/>
          <w:szCs w:val="18"/>
          <w:b w:val="1"/>
          <w:bCs w:val="1"/>
          <w:color w:val="auto"/>
        </w:rPr>
      </w:pPr>
    </w:p>
    <w:p>
      <w:pPr>
        <w:ind w:left="264" w:hanging="264"/>
        <w:spacing w:after="0"/>
        <w:tabs>
          <w:tab w:leader="none" w:pos="264"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p>
    <w:p>
      <w:pPr>
        <w:spacing w:after="0" w:line="135" w:lineRule="exact"/>
        <w:rPr>
          <w:sz w:val="20"/>
          <w:szCs w:val="20"/>
          <w:color w:val="auto"/>
        </w:rPr>
      </w:pPr>
    </w:p>
    <w:p>
      <w:pPr>
        <w:ind w:left="424" w:right="40" w:hanging="431"/>
        <w:spacing w:after="0" w:line="266" w:lineRule="auto"/>
        <w:rPr>
          <w:sz w:val="20"/>
          <w:szCs w:val="20"/>
          <w:color w:val="auto"/>
        </w:rPr>
      </w:pPr>
      <w:r>
        <w:rPr>
          <w:rFonts w:ascii="Times New Roman" w:cs="Times New Roman" w:eastAsia="Times New Roman" w:hAnsi="Times New Roman"/>
          <w:sz w:val="18"/>
          <w:szCs w:val="18"/>
          <w:color w:val="auto"/>
        </w:rPr>
        <w:t>18.1 All communications by or on behalf of the Company relating to the issuance, transfer, exchange or payment of Notes or interest thereon shall be directed to the Fiscal Agent at its address set forth in subclause 18.2(b) hereof (or such other address as the Fiscal Agent shall specify in writing to the Company).</w:t>
      </w:r>
    </w:p>
    <w:p>
      <w:pPr>
        <w:spacing w:after="0" w:line="81" w:lineRule="exact"/>
        <w:rPr>
          <w:sz w:val="20"/>
          <w:szCs w:val="20"/>
          <w:color w:val="auto"/>
        </w:rPr>
      </w:pPr>
    </w:p>
    <w:p>
      <w:pPr>
        <w:ind w:left="424" w:right="380" w:hanging="431"/>
        <w:spacing w:after="0" w:line="282" w:lineRule="auto"/>
        <w:rPr>
          <w:sz w:val="20"/>
          <w:szCs w:val="20"/>
          <w:color w:val="auto"/>
        </w:rPr>
      </w:pPr>
      <w:r>
        <w:rPr>
          <w:rFonts w:ascii="Times New Roman" w:cs="Times New Roman" w:eastAsia="Times New Roman" w:hAnsi="Times New Roman"/>
          <w:sz w:val="18"/>
          <w:szCs w:val="18"/>
          <w:color w:val="auto"/>
        </w:rPr>
        <w:t>18.2 Notices and other communications hereunder shall (except to the extent otherwise expressly provided) be in writing and shall be addressed as follows, or to such other addresses as the parties hereto shall specify from time to time:</w:t>
      </w:r>
    </w:p>
    <w:p>
      <w:pPr>
        <w:spacing w:after="0" w:line="67" w:lineRule="exact"/>
        <w:rPr>
          <w:sz w:val="20"/>
          <w:szCs w:val="20"/>
          <w:color w:val="auto"/>
        </w:rPr>
      </w:pPr>
    </w:p>
    <w:p>
      <w:pPr>
        <w:ind w:left="964" w:hanging="532"/>
        <w:spacing w:after="0"/>
        <w:tabs>
          <w:tab w:leader="none" w:pos="96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w:t>
      </w:r>
    </w:p>
    <w:p>
      <w:pPr>
        <w:spacing w:after="0" w:line="117" w:lineRule="exact"/>
        <w:rPr>
          <w:rFonts w:ascii="Times New Roman" w:cs="Times New Roman" w:eastAsia="Times New Roman" w:hAnsi="Times New Roman"/>
          <w:sz w:val="18"/>
          <w:szCs w:val="18"/>
          <w:color w:val="auto"/>
        </w:rPr>
      </w:pPr>
    </w:p>
    <w:p>
      <w:pPr>
        <w:ind w:left="9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ManpowerGroup Inc.</w:t>
      </w:r>
    </w:p>
    <w:p>
      <w:pPr>
        <w:spacing w:after="0" w:line="27" w:lineRule="exact"/>
        <w:rPr>
          <w:rFonts w:ascii="Times New Roman" w:cs="Times New Roman" w:eastAsia="Times New Roman" w:hAnsi="Times New Roman"/>
          <w:sz w:val="18"/>
          <w:szCs w:val="18"/>
          <w:color w:val="auto"/>
        </w:rPr>
      </w:pPr>
    </w:p>
    <w:p>
      <w:pPr>
        <w:ind w:left="984" w:right="83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Manpower Place Milwaukee, WI 53212</w:t>
      </w:r>
    </w:p>
    <w:p>
      <w:pPr>
        <w:spacing w:after="0" w:line="73" w:lineRule="exact"/>
        <w:rPr>
          <w:rFonts w:ascii="Times New Roman" w:cs="Times New Roman" w:eastAsia="Times New Roman" w:hAnsi="Times New Roman"/>
          <w:sz w:val="18"/>
          <w:szCs w:val="18"/>
          <w:color w:val="auto"/>
        </w:rPr>
      </w:pPr>
    </w:p>
    <w:p>
      <w:pPr>
        <w:ind w:left="9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John T. McGinnis, Executive Vice President and Chief Financial Officer</w:t>
      </w:r>
    </w:p>
    <w:p>
      <w:pPr>
        <w:spacing w:after="0" w:line="27" w:lineRule="exact"/>
        <w:rPr>
          <w:rFonts w:ascii="Times New Roman" w:cs="Times New Roman" w:eastAsia="Times New Roman" w:hAnsi="Times New Roman"/>
          <w:sz w:val="18"/>
          <w:szCs w:val="18"/>
          <w:color w:val="auto"/>
        </w:rPr>
      </w:pPr>
    </w:p>
    <w:p>
      <w:pPr>
        <w:ind w:left="9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jack.mcginnis@manpowergroup.com</w:t>
      </w:r>
    </w:p>
    <w:p>
      <w:pPr>
        <w:spacing w:after="0" w:line="112"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Fiscal Agent:</w:t>
      </w:r>
    </w:p>
    <w:p>
      <w:pPr>
        <w:spacing w:after="0" w:line="117" w:lineRule="exact"/>
        <w:rPr>
          <w:rFonts w:ascii="Times New Roman" w:cs="Times New Roman" w:eastAsia="Times New Roman" w:hAnsi="Times New Roman"/>
          <w:sz w:val="18"/>
          <w:szCs w:val="18"/>
          <w:color w:val="auto"/>
        </w:rPr>
      </w:pPr>
    </w:p>
    <w:p>
      <w:pPr>
        <w:ind w:left="984" w:right="77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Citibank, N.A., London Branch Citigroup Centre</w:t>
      </w:r>
    </w:p>
    <w:p>
      <w:pPr>
        <w:ind w:left="984" w:right="79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Canada Square Canary Wharf London E14 5LB Attention: Agency and Trust Email:</w:t>
      </w:r>
    </w:p>
    <w:p>
      <w:pPr>
        <w:spacing w:after="0" w:line="207" w:lineRule="exact"/>
        <w:rPr>
          <w:rFonts w:ascii="Times New Roman" w:cs="Times New Roman" w:eastAsia="Times New Roman" w:hAnsi="Times New Roman"/>
          <w:sz w:val="18"/>
          <w:szCs w:val="18"/>
          <w:color w:val="auto"/>
        </w:rPr>
      </w:pPr>
    </w:p>
    <w:p>
      <w:pPr>
        <w:ind w:left="9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ppapayments@citi.com / issueroperationscsu@citi.com</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4"/>
          </w:cols>
          <w:pgMar w:left="436" w:top="266" w:right="459" w:bottom="1440" w:gutter="0" w:footer="0" w:header="0"/>
        </w:sectPr>
      </w:pPr>
    </w:p>
    <w:bookmarkStart w:id="17" w:name="page18"/>
    <w:bookmarkEnd w:id="17"/>
    <w:p>
      <w:pPr>
        <w:ind w:left="424" w:right="60" w:hanging="43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18.3 While the Notes are held through the Clearing Systems, a notice will be deemed to have been given to Noteholders on the day the notice is sent to the Clearing Systems for publication to Noteholders.</w:t>
      </w:r>
    </w:p>
    <w:p>
      <w:pPr>
        <w:spacing w:after="0" w:line="306" w:lineRule="exact"/>
        <w:rPr>
          <w:sz w:val="20"/>
          <w:szCs w:val="20"/>
          <w:color w:val="auto"/>
        </w:rPr>
      </w:pPr>
    </w:p>
    <w:p>
      <w:pPr>
        <w:ind w:left="424" w:hanging="424"/>
        <w:spacing w:after="0"/>
        <w:tabs>
          <w:tab w:leader="none" w:pos="424"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RESIGNATION OR REMOVAL OF THE AGENTS</w:t>
      </w:r>
    </w:p>
    <w:p>
      <w:pPr>
        <w:spacing w:after="0" w:line="121" w:lineRule="exact"/>
        <w:rPr>
          <w:rFonts w:ascii="Times New Roman" w:cs="Times New Roman" w:eastAsia="Times New Roman" w:hAnsi="Times New Roman"/>
          <w:sz w:val="18"/>
          <w:szCs w:val="18"/>
          <w:b w:val="1"/>
          <w:bCs w:val="1"/>
          <w:color w:val="auto"/>
        </w:rPr>
      </w:pPr>
    </w:p>
    <w:p>
      <w:pPr>
        <w:ind w:left="444" w:right="2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Agents may at any time resign from their respective roles by giving written notice to the Company of such intention on their part, specifying the date on which its desired resignation shall become effective; </w:t>
      </w:r>
      <w:r>
        <w:rPr>
          <w:rFonts w:ascii="Times New Roman" w:cs="Times New Roman" w:eastAsia="Times New Roman" w:hAnsi="Times New Roman"/>
          <w:sz w:val="18"/>
          <w:szCs w:val="18"/>
          <w:b w:val="1"/>
          <w:b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however</w:t>
      </w:r>
      <w:r>
        <w:rPr>
          <w:rFonts w:ascii="Times New Roman" w:cs="Times New Roman" w:eastAsia="Times New Roman" w:hAnsi="Times New Roman"/>
          <w:sz w:val="18"/>
          <w:szCs w:val="18"/>
          <w:color w:val="auto"/>
        </w:rPr>
        <w:t xml:space="preserve">, that such date shall be not less than 30 days after the giving of such notice by the Agents to the Company. The Agents may be removed at any time, immediately if such Agent is an FFI, and does not become, or ceases to be, a Participating FFI and with not less than 30 days’ notice in all other cases, by the filing with them of an instrument in writing signed by a duly authorized officer of the Company and specifying such removal and the date upon which it is intended to become effective. Such resignation or removal shall take effect on the date of the appointment by the Company of a successor Agent and the acceptance of such appointment by such successor Agent. In the event of resignation by, or removal of, any of the Agents, if a successor Agent has not been appointed by the Company by the tenth day before the expiry of any notice given by such Agent or the Company, the Agent may itself appoint as its replacement any reputable and experienced financial institution. Immediately following such appointment, Agent shall give notice of such appointment to the Company, the remaining Agents and the Noteholders, whereupon the Company, the remaining Agents and the replacement Agent shall acquire and become subject to the same rights and obligations between themselves as if they had entered into an agreement in the form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of this Agreement.</w:t>
      </w:r>
    </w:p>
    <w:p>
      <w:pPr>
        <w:spacing w:after="0" w:line="334"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BENEFIT OF AGREEMENT</w:t>
      </w:r>
    </w:p>
    <w:p>
      <w:pPr>
        <w:spacing w:after="0" w:line="121" w:lineRule="exact"/>
        <w:rPr>
          <w:rFonts w:ascii="Times New Roman" w:cs="Times New Roman" w:eastAsia="Times New Roman" w:hAnsi="Times New Roman"/>
          <w:sz w:val="18"/>
          <w:szCs w:val="18"/>
          <w:b w:val="1"/>
          <w:bCs w:val="1"/>
          <w:color w:val="auto"/>
        </w:rPr>
      </w:pPr>
    </w:p>
    <w:p>
      <w:pPr>
        <w:ind w:left="444" w:righ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Agreement is solely for the benefit of the parties hereto, their successors, assigns and any additional agents appointed in accordance with Clause 19 above and no other person shall acquire or have any right under or by virtue hereof.</w:t>
      </w:r>
    </w:p>
    <w:p>
      <w:pPr>
        <w:spacing w:after="0" w:line="306"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NOTES HELD BY A PAYING AGENT</w:t>
      </w:r>
    </w:p>
    <w:p>
      <w:pPr>
        <w:spacing w:after="0" w:line="121" w:lineRule="exact"/>
        <w:rPr>
          <w:rFonts w:ascii="Times New Roman" w:cs="Times New Roman" w:eastAsia="Times New Roman" w:hAnsi="Times New Roman"/>
          <w:sz w:val="18"/>
          <w:szCs w:val="18"/>
          <w:b w:val="1"/>
          <w:bCs w:val="1"/>
          <w:color w:val="auto"/>
        </w:rPr>
      </w:pPr>
    </w:p>
    <w:p>
      <w:pPr>
        <w:ind w:left="444"/>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Agent, in its individual or other capacity, may become the owner or pledgee of the Notes with the same rights it would have if it were not acting as fiscal and/or paying agent hereunder and may engage or be interested in any financial or other transaction with the Company and may act on, or as depositary, trustee or agent for, any committee or body of holders of Notes or other obligations of the Company as freely as if it were not appointed hereunder.</w:t>
      </w:r>
    </w:p>
    <w:p>
      <w:pPr>
        <w:spacing w:after="0" w:line="324"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 OF CONTROL</w:t>
      </w:r>
    </w:p>
    <w:p>
      <w:pPr>
        <w:spacing w:after="0" w:line="13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22.1  Change of Control Triggering Event</w:t>
      </w:r>
    </w:p>
    <w:p>
      <w:pPr>
        <w:spacing w:after="0" w:line="113" w:lineRule="exact"/>
        <w:rPr>
          <w:sz w:val="20"/>
          <w:szCs w:val="20"/>
          <w:color w:val="auto"/>
        </w:rPr>
      </w:pPr>
    </w:p>
    <w:p>
      <w:pPr>
        <w:ind w:left="444" w:right="40"/>
        <w:spacing w:after="0" w:line="257" w:lineRule="auto"/>
        <w:rPr>
          <w:sz w:val="20"/>
          <w:szCs w:val="20"/>
          <w:color w:val="auto"/>
        </w:rPr>
      </w:pPr>
      <w:r>
        <w:rPr>
          <w:rFonts w:ascii="Times New Roman" w:cs="Times New Roman" w:eastAsia="Times New Roman" w:hAnsi="Times New Roman"/>
          <w:sz w:val="18"/>
          <w:szCs w:val="18"/>
          <w:color w:val="auto"/>
        </w:rPr>
        <w:t xml:space="preserve">If the Company experiences both a Change of Control and a Rating Decline (each as defined below and together, a </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Triggering Event</w:t>
      </w:r>
      <w:r>
        <w:rPr>
          <w:rFonts w:ascii="Times New Roman" w:cs="Times New Roman" w:eastAsia="Times New Roman" w:hAnsi="Times New Roman"/>
          <w:sz w:val="18"/>
          <w:szCs w:val="18"/>
          <w:color w:val="auto"/>
        </w:rPr>
        <w:t>), each Noteholder will have the right to require the Company to repurchase all or any part of such Noteholder’s Notes at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purchase price in cash equal to 101% of the aggregate principal amount of the Notes repurchased plus accrued and unpaid interest on the Notes repurchased to the date of purchase (subject to the right of Noteholders of record on the relevant record date to receive interest due on the relevant interest payment date); </w:t>
      </w:r>
      <w:r>
        <w:rPr>
          <w:rFonts w:ascii="Times New Roman" w:cs="Times New Roman" w:eastAsia="Times New Roman" w:hAnsi="Times New Roman"/>
          <w:sz w:val="18"/>
          <w:szCs w:val="18"/>
          <w:b w:val="1"/>
          <w:b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however</w:t>
      </w:r>
      <w:r>
        <w:rPr>
          <w:rFonts w:ascii="Times New Roman" w:cs="Times New Roman" w:eastAsia="Times New Roman" w:hAnsi="Times New Roman"/>
          <w:sz w:val="18"/>
          <w:szCs w:val="18"/>
          <w:color w:val="auto"/>
        </w:rPr>
        <w:t>, that the Company shall not be obliged to repurchase Notes in the event and to the extent that it has unconditionally exercised its right to redeem all of the Notes or all conditions to such redemption have been satisfied or waived.</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4"/>
          </w:cols>
          <w:pgMar w:left="436" w:top="270"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22.2  Change of Control Procedures</w:t>
      </w:r>
    </w:p>
    <w:p>
      <w:pPr>
        <w:spacing w:after="0" w:line="117" w:lineRule="exact"/>
        <w:rPr>
          <w:sz w:val="20"/>
          <w:szCs w:val="20"/>
          <w:color w:val="auto"/>
        </w:rPr>
      </w:pPr>
    </w:p>
    <w:p>
      <w:pPr>
        <w:ind w:left="440" w:right="220"/>
        <w:spacing w:after="0" w:line="266" w:lineRule="auto"/>
        <w:rPr>
          <w:sz w:val="20"/>
          <w:szCs w:val="20"/>
          <w:color w:val="auto"/>
        </w:rPr>
      </w:pPr>
      <w:r>
        <w:rPr>
          <w:rFonts w:ascii="Times New Roman" w:cs="Times New Roman" w:eastAsia="Times New Roman" w:hAnsi="Times New Roman"/>
          <w:sz w:val="18"/>
          <w:szCs w:val="18"/>
          <w:color w:val="auto"/>
        </w:rPr>
        <w:t xml:space="preserve">Unless the Company has unconditionally exercised its right to redeem all the Notes or all conditions to such redemption have been satisfied or waived, no later than the date that is 30 days after any Change of Control Triggering Event, the Company will mail a notice (the </w:t>
      </w:r>
      <w:r>
        <w:rPr>
          <w:rFonts w:ascii="Times New Roman" w:cs="Times New Roman" w:eastAsia="Times New Roman" w:hAnsi="Times New Roman"/>
          <w:sz w:val="18"/>
          <w:szCs w:val="18"/>
          <w:b w:val="1"/>
          <w:bCs w:val="1"/>
          <w:color w:val="auto"/>
        </w:rPr>
        <w:t>Change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Control Offer</w:t>
      </w:r>
      <w:r>
        <w:rPr>
          <w:rFonts w:ascii="Times New Roman" w:cs="Times New Roman" w:eastAsia="Times New Roman" w:hAnsi="Times New Roman"/>
          <w:sz w:val="18"/>
          <w:szCs w:val="18"/>
          <w:color w:val="auto"/>
        </w:rPr>
        <w:t>) to each Noteholder, with a copy to the Fiscal Agent:</w:t>
      </w:r>
    </w:p>
    <w:p>
      <w:pPr>
        <w:spacing w:after="0" w:line="81" w:lineRule="exact"/>
        <w:rPr>
          <w:sz w:val="20"/>
          <w:szCs w:val="20"/>
          <w:color w:val="auto"/>
        </w:rPr>
      </w:pPr>
    </w:p>
    <w:p>
      <w:pPr>
        <w:ind w:left="960" w:hanging="532"/>
        <w:spacing w:after="0" w:line="261" w:lineRule="auto"/>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stating that a Change of Control Triggering Event has occurred and that such Noteholder has the right to require the Company to purchase such Noteholder’s Notes at a purchase price in cash equal to 101% of the aggregate principal amount of such Notes plus accrued and unpaid interest to the date of purchase (subject to the right of the Noteholders of record on a record date to receive interest on the relevant interest payment date) (the </w:t>
      </w:r>
      <w:r>
        <w:rPr>
          <w:rFonts w:ascii="Times New Roman" w:cs="Times New Roman" w:eastAsia="Times New Roman" w:hAnsi="Times New Roman"/>
          <w:sz w:val="18"/>
          <w:szCs w:val="18"/>
          <w:b w:val="1"/>
          <w:bCs w:val="1"/>
          <w:color w:val="auto"/>
        </w:rPr>
        <w:t>Change of Control Payment</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960" w:hanging="532"/>
        <w:spacing w:after="0" w:line="286" w:lineRule="auto"/>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stating the repurchase date (which shall be no earlier than 30 days nor later than 60 days from the date such notice is mailed) (the </w:t>
      </w:r>
      <w:r>
        <w:rPr>
          <w:rFonts w:ascii="Times New Roman" w:cs="Times New Roman" w:eastAsia="Times New Roman" w:hAnsi="Times New Roman"/>
          <w:sz w:val="18"/>
          <w:szCs w:val="18"/>
          <w:b w:val="1"/>
          <w:bCs w:val="1"/>
          <w:color w:val="auto"/>
        </w:rPr>
        <w:t>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of Control Payment Date</w:t>
      </w:r>
      <w:r>
        <w:rPr>
          <w:rFonts w:ascii="Times New Roman" w:cs="Times New Roman" w:eastAsia="Times New Roman" w:hAnsi="Times New Roman"/>
          <w:sz w:val="18"/>
          <w:szCs w:val="18"/>
          <w:color w:val="auto"/>
        </w:rPr>
        <w:t>);</w:t>
      </w:r>
    </w:p>
    <w:p>
      <w:pPr>
        <w:spacing w:after="0" w:line="64" w:lineRule="exact"/>
        <w:rPr>
          <w:rFonts w:ascii="Times New Roman" w:cs="Times New Roman" w:eastAsia="Times New Roman" w:hAnsi="Times New Roman"/>
          <w:sz w:val="18"/>
          <w:szCs w:val="18"/>
          <w:color w:val="auto"/>
        </w:rPr>
      </w:pPr>
    </w:p>
    <w:p>
      <w:pPr>
        <w:ind w:left="960" w:right="100" w:hanging="532"/>
        <w:spacing w:after="0" w:line="282" w:lineRule="auto"/>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describing the circumstances and relevant facts regarding the transaction or transactions that constitute the Change of Control Triggering Event;</w:t>
      </w:r>
    </w:p>
    <w:p>
      <w:pPr>
        <w:spacing w:after="0" w:line="67" w:lineRule="exact"/>
        <w:rPr>
          <w:rFonts w:ascii="Times New Roman" w:cs="Times New Roman" w:eastAsia="Times New Roman" w:hAnsi="Times New Roman"/>
          <w:sz w:val="18"/>
          <w:szCs w:val="18"/>
          <w:color w:val="auto"/>
        </w:rPr>
      </w:pPr>
    </w:p>
    <w:p>
      <w:pPr>
        <w:ind w:left="960" w:right="40" w:hanging="532"/>
        <w:spacing w:after="0" w:line="282" w:lineRule="auto"/>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describing the procedures determined by the Company, consistent with this Agreement, that a Noteholder must follow in order to have its Notes repurchased; and</w:t>
      </w:r>
    </w:p>
    <w:p>
      <w:pPr>
        <w:spacing w:after="0" w:line="67" w:lineRule="exact"/>
        <w:rPr>
          <w:rFonts w:ascii="Times New Roman" w:cs="Times New Roman" w:eastAsia="Times New Roman" w:hAnsi="Times New Roman"/>
          <w:sz w:val="18"/>
          <w:szCs w:val="18"/>
          <w:color w:val="auto"/>
        </w:rPr>
      </w:pPr>
    </w:p>
    <w:p>
      <w:pPr>
        <w:ind w:left="960" w:right="480" w:hanging="532"/>
        <w:spacing w:after="0" w:line="282" w:lineRule="auto"/>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notice is mailed prior to the occurrence of a Change of Control Triggering Event, stating that the Change of Control Offer is conditional on the occurrence of such Change of Control Triggering Event.</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the Change of Control Payment Date, the Company will, to the extent lawful:</w:t>
      </w:r>
    </w:p>
    <w:p>
      <w:pPr>
        <w:spacing w:after="0" w:line="131" w:lineRule="exact"/>
        <w:rPr>
          <w:sz w:val="20"/>
          <w:szCs w:val="20"/>
          <w:color w:val="auto"/>
        </w:rPr>
      </w:pPr>
    </w:p>
    <w:p>
      <w:pPr>
        <w:ind w:left="960" w:hanging="532"/>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Notes or portions of Notes properly tendered pursuant to the Change of Control Offer;</w:t>
      </w:r>
    </w:p>
    <w:p>
      <w:pPr>
        <w:spacing w:after="0" w:line="130" w:lineRule="exact"/>
        <w:rPr>
          <w:rFonts w:ascii="Times New Roman" w:cs="Times New Roman" w:eastAsia="Times New Roman" w:hAnsi="Times New Roman"/>
          <w:sz w:val="18"/>
          <w:szCs w:val="18"/>
          <w:color w:val="auto"/>
        </w:rPr>
      </w:pPr>
    </w:p>
    <w:p>
      <w:pPr>
        <w:ind w:left="960" w:right="220" w:hanging="532"/>
        <w:spacing w:after="0" w:line="282" w:lineRule="auto"/>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principal Paying Agent an amount equal to the Change of Control Payment in respect of all Notes or portions of Notes properly tendered;</w:t>
      </w:r>
    </w:p>
    <w:p>
      <w:pPr>
        <w:spacing w:after="0" w:line="67" w:lineRule="exact"/>
        <w:rPr>
          <w:rFonts w:ascii="Times New Roman" w:cs="Times New Roman" w:eastAsia="Times New Roman" w:hAnsi="Times New Roman"/>
          <w:sz w:val="18"/>
          <w:szCs w:val="18"/>
          <w:color w:val="auto"/>
        </w:rPr>
      </w:pPr>
    </w:p>
    <w:p>
      <w:pPr>
        <w:ind w:left="960" w:right="60" w:hanging="532"/>
        <w:spacing w:after="0" w:line="282" w:lineRule="auto"/>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Fiscal Agent the Notes properly accepted and an officer’s certificate stating the aggregate principal amount of Notes or portions of Notes being purchased by the Company in the Change of Control Offer;</w:t>
      </w:r>
    </w:p>
    <w:p>
      <w:pPr>
        <w:spacing w:after="0" w:line="67" w:lineRule="exact"/>
        <w:rPr>
          <w:rFonts w:ascii="Times New Roman" w:cs="Times New Roman" w:eastAsia="Times New Roman" w:hAnsi="Times New Roman"/>
          <w:sz w:val="18"/>
          <w:szCs w:val="18"/>
          <w:color w:val="auto"/>
        </w:rPr>
      </w:pPr>
    </w:p>
    <w:p>
      <w:pPr>
        <w:ind w:left="960" w:right="220" w:hanging="532"/>
        <w:spacing w:after="0" w:line="282" w:lineRule="auto"/>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principal Paying Agent the Global Notes in order to reflect thereon the portion of such Notes or portions thereof that have been tendered to and purchased by the Company; and</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Registrar for cancellation all Definitive Notes accepted for purchase by the Company.</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00"/>
          </w:cols>
          <w:pgMar w:left="440" w:top="270" w:right="5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22.3  Definitive Notes</w:t>
      </w:r>
    </w:p>
    <w:p>
      <w:pPr>
        <w:spacing w:after="0" w:line="117" w:lineRule="exact"/>
        <w:rPr>
          <w:sz w:val="20"/>
          <w:szCs w:val="20"/>
          <w:color w:val="auto"/>
        </w:rPr>
      </w:pPr>
    </w:p>
    <w:p>
      <w:pPr>
        <w:ind w:left="440" w:right="20"/>
        <w:spacing w:after="0" w:line="258" w:lineRule="auto"/>
        <w:rPr>
          <w:sz w:val="20"/>
          <w:szCs w:val="20"/>
          <w:color w:val="auto"/>
        </w:rPr>
      </w:pPr>
      <w:r>
        <w:rPr>
          <w:rFonts w:ascii="Times New Roman" w:cs="Times New Roman" w:eastAsia="Times New Roman" w:hAnsi="Times New Roman"/>
          <w:sz w:val="18"/>
          <w:szCs w:val="18"/>
          <w:color w:val="auto"/>
        </w:rPr>
        <w:t xml:space="preserve">If any Definitive Notes have been issued, the principal Paying Agent will promptly mail to each Noteholder of Definitive Notes properly tendered the Change of Control Payment for such Notes, and the Fiscal Agent will promptly authenticate and the Registrar will mail, at the cost of the Noteholder, (or cause to be transferred by book entry) to each Noteholder of the Definitive Notes a new Note equal in principal amount to the unpurchased portion of the Notes surrendered, if any; </w:t>
      </w:r>
      <w:r>
        <w:rPr>
          <w:rFonts w:ascii="Times New Roman" w:cs="Times New Roman" w:eastAsia="Times New Roman" w:hAnsi="Times New Roman"/>
          <w:sz w:val="18"/>
          <w:szCs w:val="18"/>
          <w:b w:val="1"/>
          <w:bCs w:val="1"/>
          <w:color w:val="auto"/>
        </w:rPr>
        <w:t>provided</w:t>
      </w:r>
      <w:r>
        <w:rPr>
          <w:rFonts w:ascii="Times New Roman" w:cs="Times New Roman" w:eastAsia="Times New Roman" w:hAnsi="Times New Roman"/>
          <w:sz w:val="18"/>
          <w:szCs w:val="18"/>
          <w:color w:val="auto"/>
        </w:rPr>
        <w:t xml:space="preserve"> that each such new Note will be in a principal amount that is at least €100,000 and an integral multiple of €1,000 in excess thereof.</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22.4  Notice to Euronext Dublin</w:t>
      </w:r>
    </w:p>
    <w:p>
      <w:pPr>
        <w:spacing w:after="0" w:line="113" w:lineRule="exact"/>
        <w:rPr>
          <w:sz w:val="20"/>
          <w:szCs w:val="20"/>
          <w:color w:val="auto"/>
        </w:rPr>
      </w:pPr>
    </w:p>
    <w:p>
      <w:pPr>
        <w:ind w:left="440" w:right="700"/>
        <w:spacing w:after="0" w:line="317" w:lineRule="auto"/>
        <w:rPr>
          <w:sz w:val="20"/>
          <w:szCs w:val="20"/>
          <w:color w:val="auto"/>
        </w:rPr>
      </w:pPr>
      <w:r>
        <w:rPr>
          <w:rFonts w:ascii="Times New Roman" w:cs="Times New Roman" w:eastAsia="Times New Roman" w:hAnsi="Times New Roman"/>
          <w:sz w:val="17"/>
          <w:szCs w:val="17"/>
          <w:color w:val="auto"/>
        </w:rPr>
        <w:t xml:space="preserve">For so long as the Notes are listed on the official list of Euronext Dublin (the </w:t>
      </w:r>
      <w:r>
        <w:rPr>
          <w:rFonts w:ascii="Times New Roman" w:cs="Times New Roman" w:eastAsia="Times New Roman" w:hAnsi="Times New Roman"/>
          <w:sz w:val="17"/>
          <w:szCs w:val="17"/>
          <w:b w:val="1"/>
          <w:bCs w:val="1"/>
          <w:color w:val="auto"/>
        </w:rPr>
        <w:t>Official List</w:t>
      </w:r>
      <w:r>
        <w:rPr>
          <w:rFonts w:ascii="Times New Roman" w:cs="Times New Roman" w:eastAsia="Times New Roman" w:hAnsi="Times New Roman"/>
          <w:sz w:val="17"/>
          <w:szCs w:val="17"/>
          <w:color w:val="auto"/>
        </w:rPr>
        <w:t>) and the rules of such exchange so require, the Company will give notice with respect to the results of the Change of Control Offer to the Companies Announcement Office in Dublin.</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22.5  Applicability</w:t>
      </w:r>
    </w:p>
    <w:p>
      <w:pPr>
        <w:spacing w:after="0" w:line="117" w:lineRule="exact"/>
        <w:rPr>
          <w:sz w:val="20"/>
          <w:szCs w:val="20"/>
          <w:color w:val="auto"/>
        </w:rPr>
      </w:pPr>
    </w:p>
    <w:p>
      <w:pPr>
        <w:ind w:left="440"/>
        <w:spacing w:after="0" w:line="282" w:lineRule="auto"/>
        <w:rPr>
          <w:sz w:val="20"/>
          <w:szCs w:val="20"/>
          <w:color w:val="auto"/>
        </w:rPr>
      </w:pPr>
      <w:r>
        <w:rPr>
          <w:rFonts w:ascii="Times New Roman" w:cs="Times New Roman" w:eastAsia="Times New Roman" w:hAnsi="Times New Roman"/>
          <w:sz w:val="18"/>
          <w:szCs w:val="18"/>
          <w:color w:val="auto"/>
        </w:rPr>
        <w:t>The provisions described above that require the Company to make a Change of Control Offer following a Change of Control Triggering Event will be applicable whether or not any other provisions of this Agreement are applicable.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22.6  Compliance with the Exchange Act</w:t>
      </w:r>
    </w:p>
    <w:p>
      <w:pPr>
        <w:spacing w:after="0" w:line="117" w:lineRule="exact"/>
        <w:rPr>
          <w:sz w:val="20"/>
          <w:szCs w:val="20"/>
          <w:color w:val="auto"/>
        </w:rPr>
      </w:pPr>
    </w:p>
    <w:p>
      <w:pPr>
        <w:ind w:left="440" w:right="40"/>
        <w:spacing w:after="0" w:line="258" w:lineRule="auto"/>
        <w:rPr>
          <w:sz w:val="20"/>
          <w:szCs w:val="20"/>
          <w:color w:val="auto"/>
        </w:rPr>
      </w:pPr>
      <w:r>
        <w:rPr>
          <w:rFonts w:ascii="Times New Roman" w:cs="Times New Roman" w:eastAsia="Times New Roman" w:hAnsi="Times New Roman"/>
          <w:sz w:val="18"/>
          <w:szCs w:val="18"/>
          <w:color w:val="auto"/>
        </w:rPr>
        <w:t>The Company will comply, to the extent applicable, with the requirements of Section 14(e) of the United States Securities Exchange Act of 1934 and any other securities laws or regulations in connection with the repurchase of Notes as a result of a Change of Control Triggering Event. To the extent that the provisions of any securities laws or regulations conflict with the Change of Control provisions of this Agreement, the Company will comply with the applicable securities laws and regulations and will not be deemed to have breached its obligations under the Change of Control provisions of this Agreement by virtue of such compliance.</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22.7  Change of Control Definitions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the purposes of this clause, the defined terms not otherwise defined in any other clause of this Agreement have the following meaning:</w:t>
      </w:r>
    </w:p>
    <w:p>
      <w:pPr>
        <w:spacing w:after="0" w:line="127" w:lineRule="exact"/>
        <w:rPr>
          <w:sz w:val="20"/>
          <w:szCs w:val="20"/>
          <w:color w:val="auto"/>
        </w:rPr>
      </w:pPr>
    </w:p>
    <w:p>
      <w:pPr>
        <w:ind w:left="960" w:right="20" w:hanging="532"/>
        <w:spacing w:after="0" w:line="259"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Change of Control </w:t>
      </w:r>
      <w:r>
        <w:rPr>
          <w:rFonts w:ascii="Times New Roman" w:cs="Times New Roman" w:eastAsia="Times New Roman" w:hAnsi="Times New Roman"/>
          <w:sz w:val="18"/>
          <w:szCs w:val="18"/>
          <w:color w:val="auto"/>
        </w:rPr>
        <w:t>refers to (i) the acquisition by any person, or persons acting in concert or any person or persons acting on behalf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person(s), at any time, directly or indirectly, of more than 50% of the Company’s outstanding common stock, (ii) the approval by the Company’s shareholders who hold more than 50% of the Company’s outstanding common stock of a merger or consolidation with any other entity or (iii) the direct or indirect sale, lease, transfer, conveyance or other disposition of all or substantially all of the property or assets of the Company and its Subsidiaries taken as a whole to a person or group of persons.</w:t>
      </w:r>
    </w:p>
    <w:p>
      <w:pPr>
        <w:spacing w:after="0" w:line="84" w:lineRule="exact"/>
        <w:rPr>
          <w:rFonts w:ascii="Times New Roman" w:cs="Times New Roman" w:eastAsia="Times New Roman" w:hAnsi="Times New Roman"/>
          <w:sz w:val="18"/>
          <w:szCs w:val="18"/>
          <w:color w:val="auto"/>
        </w:rPr>
      </w:pPr>
    </w:p>
    <w:p>
      <w:pPr>
        <w:ind w:left="960" w:right="180" w:hanging="532"/>
        <w:spacing w:after="0" w:line="286"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Rating Agencies </w:t>
      </w:r>
      <w:r>
        <w:rPr>
          <w:rFonts w:ascii="Times New Roman" w:cs="Times New Roman" w:eastAsia="Times New Roman" w:hAnsi="Times New Roman"/>
          <w:sz w:val="18"/>
          <w:szCs w:val="18"/>
          <w:color w:val="auto"/>
        </w:rPr>
        <w:t>means Moody’s and S&amp;P or, in the event Moody’s or S&amp;P no longer assigns a rating to the Notes, any other Nationally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Recognized Statistical Rating Organization that assigns a rating to the Notes in lieu of the ratings by Moody’s or S&amp;P.</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20"/>
          </w:cols>
          <w:pgMar w:left="440" w:top="270" w:right="439" w:bottom="1440" w:gutter="0" w:footer="0" w:header="0"/>
        </w:sectPr>
      </w:pPr>
    </w:p>
    <w:bookmarkStart w:id="20" w:name="page21"/>
    <w:bookmarkEnd w:id="20"/>
    <w:p>
      <w:pPr>
        <w:ind w:left="964" w:hanging="532"/>
        <w:spacing w:after="0"/>
        <w:tabs>
          <w:tab w:leader="none" w:pos="96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Rating Date </w:t>
      </w:r>
      <w:r>
        <w:rPr>
          <w:rFonts w:ascii="Times New Roman" w:cs="Times New Roman" w:eastAsia="Times New Roman" w:hAnsi="Times New Roman"/>
          <w:sz w:val="18"/>
          <w:szCs w:val="18"/>
          <w:color w:val="auto"/>
        </w:rPr>
        <w:t>means the date which is 90 days prior to the earlier of:</w:t>
      </w:r>
    </w:p>
    <w:p>
      <w:pPr>
        <w:spacing w:after="0" w:line="134"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of Control, and</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notice of the occurrence of a Change of Control or of the intention of the Company to effect a Change of Control.</w:t>
      </w:r>
    </w:p>
    <w:p>
      <w:pPr>
        <w:spacing w:after="0" w:line="126" w:lineRule="exact"/>
        <w:rPr>
          <w:rFonts w:ascii="Times New Roman" w:cs="Times New Roman" w:eastAsia="Times New Roman" w:hAnsi="Times New Roman"/>
          <w:sz w:val="18"/>
          <w:szCs w:val="18"/>
          <w:color w:val="auto"/>
        </w:rPr>
      </w:pPr>
    </w:p>
    <w:p>
      <w:pPr>
        <w:ind w:left="964" w:right="60" w:hanging="532"/>
        <w:spacing w:after="0" w:line="268" w:lineRule="auto"/>
        <w:tabs>
          <w:tab w:leader="none" w:pos="96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Rating Decline </w:t>
      </w:r>
      <w:r>
        <w:rPr>
          <w:rFonts w:ascii="Times New Roman" w:cs="Times New Roman" w:eastAsia="Times New Roman" w:hAnsi="Times New Roman"/>
          <w:sz w:val="18"/>
          <w:szCs w:val="18"/>
          <w:color w:val="auto"/>
        </w:rPr>
        <w:t>means the occurrence of the following on, or within 60 days after, the earlier of the date of public notice of the occurrence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 Change of Control or of the intention of the Company to effect a Change of Control (which period shall be extended so long as the rating of the Notes is under publicly announced consideration for possible downgrade by any of the Rating Agencies):</w:t>
      </w:r>
    </w:p>
    <w:p>
      <w:pPr>
        <w:spacing w:after="0" w:line="80" w:lineRule="exact"/>
        <w:rPr>
          <w:rFonts w:ascii="Times New Roman" w:cs="Times New Roman" w:eastAsia="Times New Roman" w:hAnsi="Times New Roman"/>
          <w:sz w:val="18"/>
          <w:szCs w:val="18"/>
          <w:color w:val="auto"/>
        </w:rPr>
      </w:pPr>
    </w:p>
    <w:p>
      <w:pPr>
        <w:ind w:left="1424" w:right="100" w:hanging="439"/>
        <w:spacing w:after="0" w:line="282" w:lineRule="auto"/>
        <w:tabs>
          <w:tab w:leader="none" w:pos="1424"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Notes are assigned an Investment Grade Rating by both Rating Agencies on the Rating Date, the rating of the Notes by one of the Rating Agencies shall be below an Investment Grade Rating; or</w:t>
      </w:r>
    </w:p>
    <w:p>
      <w:pPr>
        <w:spacing w:after="0" w:line="67" w:lineRule="exact"/>
        <w:rPr>
          <w:rFonts w:ascii="Times New Roman" w:cs="Times New Roman" w:eastAsia="Times New Roman" w:hAnsi="Times New Roman"/>
          <w:sz w:val="18"/>
          <w:szCs w:val="18"/>
          <w:color w:val="auto"/>
        </w:rPr>
      </w:pPr>
    </w:p>
    <w:p>
      <w:pPr>
        <w:ind w:left="1424" w:right="100" w:hanging="439"/>
        <w:spacing w:after="0" w:line="266" w:lineRule="auto"/>
        <w:tabs>
          <w:tab w:leader="none" w:pos="1424"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Notes are rated below an Investment Grade Rating by at least one of the Rating Agencies on the Rating Date, the rating of the Notes by at least one of the Rating Agencies shall be decreased by one or more gradations (including gradations within rating categories as well as between rating categories).</w:t>
      </w:r>
    </w:p>
    <w:p>
      <w:pPr>
        <w:spacing w:after="0" w:line="77" w:lineRule="exact"/>
        <w:rPr>
          <w:rFonts w:ascii="Times New Roman" w:cs="Times New Roman" w:eastAsia="Times New Roman" w:hAnsi="Times New Roman"/>
          <w:sz w:val="18"/>
          <w:szCs w:val="18"/>
          <w:color w:val="auto"/>
        </w:rPr>
      </w:pPr>
    </w:p>
    <w:p>
      <w:pPr>
        <w:ind w:left="964" w:right="160" w:hanging="532"/>
        <w:spacing w:after="0" w:line="286" w:lineRule="auto"/>
        <w:tabs>
          <w:tab w:leader="none" w:pos="96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Investment Grade Rating </w:t>
      </w:r>
      <w:r>
        <w:rPr>
          <w:rFonts w:ascii="Times New Roman" w:cs="Times New Roman" w:eastAsia="Times New Roman" w:hAnsi="Times New Roman"/>
          <w:sz w:val="18"/>
          <w:szCs w:val="18"/>
          <w:color w:val="auto"/>
        </w:rPr>
        <w:t>means a rating equal to or higher than Baa3 (or the equivalent) by Moody’s and BBB – (or the equivalent)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S&amp;P.</w:t>
      </w:r>
    </w:p>
    <w:p>
      <w:pPr>
        <w:spacing w:after="0" w:line="60" w:lineRule="exact"/>
        <w:rPr>
          <w:rFonts w:ascii="Times New Roman" w:cs="Times New Roman" w:eastAsia="Times New Roman" w:hAnsi="Times New Roman"/>
          <w:sz w:val="18"/>
          <w:szCs w:val="18"/>
          <w:color w:val="auto"/>
        </w:rPr>
      </w:pPr>
    </w:p>
    <w:p>
      <w:pPr>
        <w:ind w:left="964" w:right="420" w:hanging="532"/>
        <w:spacing w:after="0" w:line="286" w:lineRule="auto"/>
        <w:tabs>
          <w:tab w:leader="none" w:pos="96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Moody’s </w:t>
      </w:r>
      <w:r>
        <w:rPr>
          <w:rFonts w:ascii="Times New Roman" w:cs="Times New Roman" w:eastAsia="Times New Roman" w:hAnsi="Times New Roman"/>
          <w:sz w:val="18"/>
          <w:szCs w:val="18"/>
          <w:color w:val="auto"/>
        </w:rPr>
        <w:t>means Moody’s Investors Service, Inc., or any of its successors or assigns that is a Nationally Recognized Statistical Rating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Organization.</w:t>
      </w:r>
    </w:p>
    <w:p>
      <w:pPr>
        <w:spacing w:after="0" w:line="60" w:lineRule="exact"/>
        <w:rPr>
          <w:rFonts w:ascii="Times New Roman" w:cs="Times New Roman" w:eastAsia="Times New Roman" w:hAnsi="Times New Roman"/>
          <w:sz w:val="18"/>
          <w:szCs w:val="18"/>
          <w:color w:val="auto"/>
        </w:rPr>
      </w:pPr>
    </w:p>
    <w:p>
      <w:pPr>
        <w:ind w:left="964" w:right="80" w:hanging="532"/>
        <w:spacing w:after="0" w:line="286" w:lineRule="auto"/>
        <w:tabs>
          <w:tab w:leader="none" w:pos="96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Nationally Recognized Statistical Rating Organization </w:t>
      </w:r>
      <w:r>
        <w:rPr>
          <w:rFonts w:ascii="Times New Roman" w:cs="Times New Roman" w:eastAsia="Times New Roman" w:hAnsi="Times New Roman"/>
          <w:sz w:val="18"/>
          <w:szCs w:val="18"/>
          <w:color w:val="auto"/>
        </w:rPr>
        <w:t>means a nationally recognized statistical rating organization within the meaning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Rule 436 under the Securities Act.</w:t>
      </w:r>
    </w:p>
    <w:p>
      <w:pPr>
        <w:spacing w:after="0" w:line="60" w:lineRule="exact"/>
        <w:rPr>
          <w:rFonts w:ascii="Times New Roman" w:cs="Times New Roman" w:eastAsia="Times New Roman" w:hAnsi="Times New Roman"/>
          <w:sz w:val="18"/>
          <w:szCs w:val="18"/>
          <w:color w:val="auto"/>
        </w:rPr>
      </w:pPr>
    </w:p>
    <w:p>
      <w:pPr>
        <w:ind w:left="964" w:right="300" w:hanging="532"/>
        <w:spacing w:after="0" w:line="286" w:lineRule="auto"/>
        <w:tabs>
          <w:tab w:leader="none" w:pos="96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S&amp;P </w:t>
      </w:r>
      <w:r>
        <w:rPr>
          <w:rFonts w:ascii="Times New Roman" w:cs="Times New Roman" w:eastAsia="Times New Roman" w:hAnsi="Times New Roman"/>
          <w:sz w:val="18"/>
          <w:szCs w:val="18"/>
          <w:color w:val="auto"/>
        </w:rPr>
        <w:t>means Standard &amp; Poor’s Investors Ratings Services or any of its successors or assigns that is a Nationally Recognized Statistical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Rating Organization.</w:t>
      </w:r>
    </w:p>
    <w:p>
      <w:pPr>
        <w:spacing w:after="0" w:line="30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COUNTERPARTS</w:t>
      </w:r>
    </w:p>
    <w:p>
      <w:pPr>
        <w:spacing w:after="0" w:line="121" w:lineRule="exact"/>
        <w:rPr>
          <w:rFonts w:ascii="Times New Roman" w:cs="Times New Roman" w:eastAsia="Times New Roman" w:hAnsi="Times New Roman"/>
          <w:sz w:val="18"/>
          <w:szCs w:val="18"/>
          <w:b w:val="1"/>
          <w:bCs w:val="1"/>
          <w:color w:val="auto"/>
        </w:rPr>
      </w:pPr>
    </w:p>
    <w:p>
      <w:pPr>
        <w:jc w:val="both"/>
        <w:ind w:left="444" w:right="2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Agreement may be executed by the parties hereto in any number of counterparts, and by each of the parties hereto in separate counterparts, and each such counterpart, when so executed and delivered, shall be deemed to be an original, but all such counterparts shall together constitute but one and the same instrument.</w:t>
      </w:r>
    </w:p>
    <w:p>
      <w:pPr>
        <w:spacing w:after="0" w:line="320"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CONTRACTUAL RECOGNITION OF BAIL-IN POWERS</w:t>
      </w:r>
    </w:p>
    <w:p>
      <w:pPr>
        <w:spacing w:after="0" w:line="121" w:lineRule="exact"/>
        <w:rPr>
          <w:rFonts w:ascii="Times New Roman" w:cs="Times New Roman" w:eastAsia="Times New Roman" w:hAnsi="Times New Roman"/>
          <w:sz w:val="18"/>
          <w:szCs w:val="18"/>
          <w:b w:val="1"/>
          <w:bCs w:val="1"/>
          <w:color w:val="auto"/>
        </w:rPr>
      </w:pPr>
    </w:p>
    <w:p>
      <w:pPr>
        <w:ind w:left="444"/>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and to the exclusion of any other term of this Agreement or any other agreements, arrangements, or understandings between any parties, the Company (as a counterparty hereunder to a UK Bail-in Party) acknowledges and accepts that a UK Bail-in Liability arising under this Agreement may be subject to the exercise of UK Bail-in Powers by the relevant UK resolution authority, and acknowledges, accepts, and agrees to be bound by:</w:t>
      </w:r>
    </w:p>
    <w:p>
      <w:pPr>
        <w:spacing w:after="0" w:line="85" w:lineRule="exact"/>
        <w:rPr>
          <w:rFonts w:ascii="Times New Roman" w:cs="Times New Roman" w:eastAsia="Times New Roman" w:hAnsi="Times New Roman"/>
          <w:sz w:val="18"/>
          <w:szCs w:val="18"/>
          <w:b w:val="1"/>
          <w:bCs w:val="1"/>
          <w:color w:val="auto"/>
        </w:rPr>
      </w:pPr>
    </w:p>
    <w:p>
      <w:pPr>
        <w:ind w:left="964" w:right="180" w:hanging="532"/>
        <w:spacing w:after="0" w:line="266" w:lineRule="auto"/>
        <w:tabs>
          <w:tab w:leader="none" w:pos="96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exercise of UK Bail-in Powers by the relevant UK resolution authority in relation to any UK Bail-in Liability of any UK Bail-in Party to it under this agreement, that (without limitation) may include and result in any of the following, or some combination thereof:</w:t>
      </w:r>
    </w:p>
    <w:p>
      <w:pPr>
        <w:spacing w:after="0" w:line="81"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reduction of all, or a portion, of the UK Bail-in Liability or outstanding amounts due thereon;</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4"/>
          </w:cols>
          <w:pgMar w:left="436" w:top="266" w:right="459" w:bottom="1440" w:gutter="0" w:footer="0" w:header="0"/>
        </w:sectPr>
      </w:pPr>
    </w:p>
    <w:bookmarkStart w:id="21" w:name="page22"/>
    <w:bookmarkEnd w:id="21"/>
    <w:p>
      <w:pPr>
        <w:ind w:left="1424" w:right="340" w:hanging="439"/>
        <w:spacing w:after="0" w:line="282" w:lineRule="auto"/>
        <w:tabs>
          <w:tab w:leader="none" w:pos="14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conversion of all, or a portion, of the UK Bail-in Liability into shares, other securities or other obligations of the UK Bail-in Party or another person, and the issue to or conferral on it of such shares, securities or obligations;</w:t>
      </w:r>
    </w:p>
    <w:p>
      <w:pPr>
        <w:spacing w:after="0" w:line="67"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cancellation of the UK Bail-in Liability; and/or</w:t>
      </w:r>
    </w:p>
    <w:p>
      <w:pPr>
        <w:spacing w:after="0" w:line="130" w:lineRule="exact"/>
        <w:rPr>
          <w:rFonts w:ascii="Times New Roman" w:cs="Times New Roman" w:eastAsia="Times New Roman" w:hAnsi="Times New Roman"/>
          <w:sz w:val="18"/>
          <w:szCs w:val="18"/>
          <w:color w:val="auto"/>
        </w:rPr>
      </w:pPr>
    </w:p>
    <w:p>
      <w:pPr>
        <w:ind w:left="1424" w:right="620" w:hanging="439"/>
        <w:spacing w:after="0" w:line="282" w:lineRule="auto"/>
        <w:tabs>
          <w:tab w:leader="none" w:pos="14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or alteration of any interest, if applicable, thereon, the maturity or the dates on which any payments are due, including by suspending payment for a temporary period; and</w:t>
      </w:r>
    </w:p>
    <w:p>
      <w:pPr>
        <w:spacing w:after="0" w:line="67" w:lineRule="exact"/>
        <w:rPr>
          <w:sz w:val="20"/>
          <w:szCs w:val="20"/>
          <w:color w:val="auto"/>
        </w:rPr>
      </w:pPr>
    </w:p>
    <w:p>
      <w:pPr>
        <w:ind w:left="964" w:right="40" w:hanging="532"/>
        <w:spacing w:after="0" w:line="282" w:lineRule="auto"/>
        <w:tabs>
          <w:tab w:leader="none" w:pos="96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this Agreement, as deemed necessary by the relevant UK resolution authority, to give effect to the exercise of UK Bail-in Powers by the relevant UK resolution authority.</w:t>
      </w:r>
    </w:p>
    <w:p>
      <w:pPr>
        <w:spacing w:after="0" w:line="5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Terms used in this Clause 24 shall have the following meanings:</w:t>
      </w:r>
    </w:p>
    <w:p>
      <w:pPr>
        <w:spacing w:after="0" w:line="127" w:lineRule="exact"/>
        <w:rPr>
          <w:sz w:val="20"/>
          <w:szCs w:val="20"/>
          <w:color w:val="auto"/>
        </w:rPr>
      </w:pPr>
    </w:p>
    <w:p>
      <w:pPr>
        <w:ind w:left="964" w:right="280" w:hanging="532"/>
        <w:spacing w:after="0" w:line="268" w:lineRule="auto"/>
        <w:tabs>
          <w:tab w:leader="none" w:pos="96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UK Bail-in Legislation </w:t>
      </w:r>
      <w:r>
        <w:rPr>
          <w:rFonts w:ascii="Times New Roman" w:cs="Times New Roman" w:eastAsia="Times New Roman" w:hAnsi="Times New Roman"/>
          <w:sz w:val="18"/>
          <w:szCs w:val="18"/>
          <w:color w:val="auto"/>
        </w:rPr>
        <w:t>means Part I of the UK Banking Act 2009 and any other law or regulation applicable in the UK relating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resolution of unsound or failing banks, investment firms or other financial institutions or their affiliates (otherwise than through liquidation, administration or other insolvency proceedings);</w:t>
      </w:r>
    </w:p>
    <w:p>
      <w:pPr>
        <w:spacing w:after="0" w:line="76"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UK Bail-in Liability </w:t>
      </w:r>
      <w:r>
        <w:rPr>
          <w:rFonts w:ascii="Times New Roman" w:cs="Times New Roman" w:eastAsia="Times New Roman" w:hAnsi="Times New Roman"/>
          <w:sz w:val="18"/>
          <w:szCs w:val="18"/>
          <w:color w:val="auto"/>
        </w:rPr>
        <w:t>means a liability in respect of which the UK Bail-in Powers may be exercised;</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UK Bail-in Party </w:t>
      </w:r>
      <w:r>
        <w:rPr>
          <w:rFonts w:ascii="Times New Roman" w:cs="Times New Roman" w:eastAsia="Times New Roman" w:hAnsi="Times New Roman"/>
          <w:sz w:val="18"/>
          <w:szCs w:val="18"/>
          <w:color w:val="auto"/>
        </w:rPr>
        <w:t>means any Agent subject to UK Bail-in Powers; and</w:t>
      </w:r>
    </w:p>
    <w:p>
      <w:pPr>
        <w:spacing w:after="0" w:line="130" w:lineRule="exact"/>
        <w:rPr>
          <w:rFonts w:ascii="Times New Roman" w:cs="Times New Roman" w:eastAsia="Times New Roman" w:hAnsi="Times New Roman"/>
          <w:sz w:val="18"/>
          <w:szCs w:val="18"/>
          <w:color w:val="auto"/>
        </w:rPr>
      </w:pPr>
    </w:p>
    <w:p>
      <w:pPr>
        <w:ind w:left="964" w:right="320" w:hanging="532"/>
        <w:spacing w:after="0" w:line="259" w:lineRule="auto"/>
        <w:tabs>
          <w:tab w:leader="none" w:pos="96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UK Bail-in Powers </w:t>
      </w:r>
      <w:r>
        <w:rPr>
          <w:rFonts w:ascii="Times New Roman" w:cs="Times New Roman" w:eastAsia="Times New Roman" w:hAnsi="Times New Roman"/>
          <w:sz w:val="18"/>
          <w:szCs w:val="18"/>
          <w:color w:val="auto"/>
        </w:rPr>
        <w:t>means the powers under the UK Bail-In Legislation to cancel, transfer or dilute shares issued by a person that is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bank or investment firm or affiliate of a bank or investment firm,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w:t>
      </w:r>
    </w:p>
    <w:p>
      <w:pPr>
        <w:spacing w:after="0" w:line="32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w:t>
      </w:r>
    </w:p>
    <w:p>
      <w:pPr>
        <w:spacing w:after="0" w:line="121" w:lineRule="exact"/>
        <w:rPr>
          <w:rFonts w:ascii="Times New Roman" w:cs="Times New Roman" w:eastAsia="Times New Roman" w:hAnsi="Times New Roman"/>
          <w:sz w:val="18"/>
          <w:szCs w:val="18"/>
          <w:b w:val="1"/>
          <w:bCs w:val="1"/>
          <w:color w:val="auto"/>
        </w:rPr>
      </w:pPr>
    </w:p>
    <w:p>
      <w:pPr>
        <w:ind w:left="444" w:right="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Agreement is to be delivered and performed in, and shall be construed and enforced in accordance with, and the rights of the parties shall be governed by, the laws of the State of New York.</w:t>
      </w:r>
    </w:p>
    <w:p>
      <w:pPr>
        <w:spacing w:after="0" w:line="306"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SUBMISSION TO NEW YORK JURISDICTION</w:t>
      </w:r>
    </w:p>
    <w:p>
      <w:pPr>
        <w:spacing w:after="0" w:line="121" w:lineRule="exact"/>
        <w:rPr>
          <w:rFonts w:ascii="Times New Roman" w:cs="Times New Roman" w:eastAsia="Times New Roman" w:hAnsi="Times New Roman"/>
          <w:sz w:val="18"/>
          <w:szCs w:val="18"/>
          <w:b w:val="1"/>
          <w:bCs w:val="1"/>
          <w:color w:val="auto"/>
        </w:rPr>
      </w:pPr>
    </w:p>
    <w:p>
      <w:pPr>
        <w:ind w:left="444"/>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Agents and the Company hereby irrevocably submit to the nonexclusive jurisdiction of any New York State or United States Federal court sitting in New York City over any suit, action or proceeding arising out of or relating to this Agreement or the Notes. The Agents and the Company irrevocably waive, to the fullest extent permitted by law, any objection which they may have to the laying of the venue of any such suit, action or proceeding brought in such a court and any claim that any such suit, action or proceeding brought in such a court has been brought in an inconvenient forum. As long as any of the Notes remain outstanding, the Company and the Agents will at all times have an</w:t>
      </w:r>
    </w:p>
    <w:p>
      <w:pPr>
        <w:spacing w:after="0" w:line="116"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44"/>
          </w:cols>
          <w:pgMar w:left="436" w:top="270" w:right="519" w:bottom="1440" w:gutter="0" w:footer="0" w:header="0"/>
        </w:sectPr>
      </w:pPr>
    </w:p>
    <w:bookmarkStart w:id="22" w:name="page23"/>
    <w:bookmarkEnd w:id="22"/>
    <w:p>
      <w:pPr>
        <w:ind w:left="44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authorized agent in New York City, upon whom process may be served in any suit, action or proceeding arising out of or relating to this Agreement or any Notes. Service of process upon such agent and written notice of such service mailed or delivered to the Company shall to the extent permitted by law be deemed in every respect effective service of process upon the Company in any such suit, action or proceeding. The Company hereby appoints C T Corporation System, 28 Liberty Street, New York, New York 10005 as its agent for such purpose, and covenants and agrees that (a) service of process in any such suit, action or proceeding may be made upon it at the specified office of such agent (or such other address or at the office of any other authorized agent which the Company may designate by written notice to the Agents) and (b) prior to any termination of such agency for any reason, it will so appoint a successor thereto as agent hereunder. Each Agent hereby appoints Citibank, N.A., New York Branch, Agency &amp; Trust, 14th Floor, 388 Greenwich Street, New York, New York 10013 as its agent for such purpose, and covenants and agrees that (i) service of process in any such suit, action or proceeding may be made upon it at the specified office of such agent (or such other address or at the office of any other authorized agent which the Agents may designate by written notice to the Company) and (ii) prior to any termination of such agency for any reason, it will so appoint a successor thereto as agent hereunder.</w:t>
      </w:r>
    </w:p>
    <w:p>
      <w:pPr>
        <w:spacing w:after="0" w:line="336" w:lineRule="exact"/>
        <w:rPr>
          <w:sz w:val="20"/>
          <w:szCs w:val="20"/>
          <w:color w:val="auto"/>
        </w:rPr>
      </w:pPr>
    </w:p>
    <w:p>
      <w:pPr>
        <w:ind w:left="424" w:hanging="424"/>
        <w:spacing w:after="0"/>
        <w:tabs>
          <w:tab w:leader="none" w:pos="424"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MODIFICATION OF AGREEMENT AND NOTES</w:t>
      </w:r>
    </w:p>
    <w:p>
      <w:pPr>
        <w:spacing w:after="0" w:line="121" w:lineRule="exact"/>
        <w:rPr>
          <w:rFonts w:ascii="Times New Roman" w:cs="Times New Roman" w:eastAsia="Times New Roman" w:hAnsi="Times New Roman"/>
          <w:sz w:val="18"/>
          <w:szCs w:val="18"/>
          <w:b w:val="1"/>
          <w:bCs w:val="1"/>
          <w:color w:val="auto"/>
        </w:rPr>
      </w:pPr>
    </w:p>
    <w:p>
      <w:pPr>
        <w:ind w:left="444" w:right="40"/>
        <w:spacing w:after="0" w:line="27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This Agreement or the terms and conditions of the Notes may be amended by the Company and the Fiscal Agent, without the consent of the Noteholders, for the purposes of curing any ambiguity, or of curing, correcting or supplementing any defective provisions contained therein or for any other purpose which the Company and the Fiscal Agent may deem necessary or desirable and which will not be inconsistent with the Notes and which will not adversely affect the interests of the Noteholders, in the sole opinion of the Company. For the avoidance of doubt, the Company may change its legal name and such name change shall not require an amendment hereto or the consent of the Fiscal Agent or the Noteholders.</w:t>
      </w:r>
    </w:p>
    <w:p>
      <w:pPr>
        <w:spacing w:after="0" w:line="312"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ENTIRE AGREEMENT</w:t>
      </w:r>
    </w:p>
    <w:p>
      <w:pPr>
        <w:spacing w:after="0" w:line="121" w:lineRule="exact"/>
        <w:rPr>
          <w:rFonts w:ascii="Times New Roman" w:cs="Times New Roman" w:eastAsia="Times New Roman" w:hAnsi="Times New Roman"/>
          <w:sz w:val="18"/>
          <w:szCs w:val="18"/>
          <w:b w:val="1"/>
          <w:bCs w:val="1"/>
          <w:color w:val="auto"/>
        </w:rPr>
      </w:pPr>
    </w:p>
    <w:p>
      <w:pPr>
        <w:ind w:left="444" w:right="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Agreement contains the whole agreement between the parties relating to the subject matter of this Agreement at the date of this Agreement to the exclusion of any terms implied by law which may be excluded by contract and supersedes any previous written or oral agreement between the parties in relation to the matters dealt with in this Agreement. Each party acknowledges that it has not been induced to enter into this Agreement by any representation, warranty or undertaking not expressly incorporated into it. So far as is permitted by law and except in the case of fraud, each party agrees and acknowledges that its only right and remedy in relation to any representation, warranty or undertaking made or given in connection with this Agreement shall be for breach of the terms of this Agreement to the exclusion of all other rights and remedies (including those in tort or arising under statute).</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4"/>
          </w:cols>
          <w:pgMar w:left="436" w:top="270" w:right="459" w:bottom="1440" w:gutter="0" w:footer="0" w:header="0"/>
        </w:sectPr>
      </w:pPr>
    </w:p>
    <w:bookmarkStart w:id="23" w:name="page24"/>
    <w:bookmarkEnd w:id="23"/>
    <w:p>
      <w:pPr>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t>
      </w:r>
      <w:r>
        <w:rPr>
          <w:rFonts w:ascii="Times New Roman" w:cs="Times New Roman" w:eastAsia="Times New Roman" w:hAnsi="Times New Roman"/>
          <w:sz w:val="18"/>
          <w:szCs w:val="18"/>
          <w:color w:val="auto"/>
        </w:rPr>
        <w:t>whereof, the parties hereto have caused this Agreement to be executed on their behalf by their officers thereunto duly authorized, all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day and year first above written.</w:t>
      </w:r>
    </w:p>
    <w:p>
      <w:pPr>
        <w:spacing w:after="0" w:line="9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820"/>
          </w:cols>
          <w:pgMar w:left="440" w:top="266" w:right="6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NOTE</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[Include if this is a Global Note: UNLESS THIS GLOBAL NOTE IS PRESENTED BY AN AUTHORIZED REPRESENTATIVE OF EUROCLEAR BANK SA/NV (</w:t>
      </w:r>
      <w:r>
        <w:rPr>
          <w:rFonts w:ascii="Times New Roman" w:cs="Times New Roman" w:eastAsia="Times New Roman" w:hAnsi="Times New Roman"/>
          <w:sz w:val="18"/>
          <w:szCs w:val="18"/>
          <w:b w:val="1"/>
          <w:bCs w:val="1"/>
          <w:color w:val="auto"/>
        </w:rPr>
        <w:t>EUROCLEAR</w:t>
      </w:r>
      <w:r>
        <w:rPr>
          <w:rFonts w:ascii="Times New Roman" w:cs="Times New Roman" w:eastAsia="Times New Roman" w:hAnsi="Times New Roman"/>
          <w:sz w:val="18"/>
          <w:szCs w:val="18"/>
          <w:color w:val="auto"/>
        </w:rPr>
        <w:t>), OR CLEARSTREAM BANKING, S.A. (</w:t>
      </w:r>
      <w:r>
        <w:rPr>
          <w:rFonts w:ascii="Times New Roman" w:cs="Times New Roman" w:eastAsia="Times New Roman" w:hAnsi="Times New Roman"/>
          <w:sz w:val="18"/>
          <w:szCs w:val="18"/>
          <w:b w:val="1"/>
          <w:bCs w:val="1"/>
          <w:color w:val="auto"/>
        </w:rPr>
        <w:t>CLEARSTREAM</w:t>
      </w:r>
      <w:r>
        <w:rPr>
          <w:rFonts w:ascii="Times New Roman" w:cs="Times New Roman" w:eastAsia="Times New Roman" w:hAnsi="Times New Roman"/>
          <w:sz w:val="18"/>
          <w:szCs w:val="18"/>
          <w:color w:val="auto"/>
        </w:rPr>
        <w:t>), TO THE COMPANY OR ITS AGENT FOR REGISTRATION OF TRANSFER, EXCHANGE OR PAYMENT, AND ANY NOTE ISSUED IS REGISTERED IN THE NAME OF ITS AUTHORIZED NOMINEE OR SUCH OTHER NAME AS IS REQUESTED BY AN AUTHORIZED REPRESENTATIVE OF EUROCLEAR OR CLEARSTREAM (AND ANY PAYMENT IS MADE TO ITS AUTHORIZED NOMINEE, OR TO SUCH OTHER ENTITY AS IS REQUESTED BY AN AUTHORIZED REPRESENTATIVE OF EUROCLEAR OR CLEARSTREAM), ANY TRANSFER, PLEDGE OR OTHER USE HEREOF FOR VALUE OR OTHERWISE BY OR TO ANY PERSON IS WRONGFUL INASMUCH AS THE REGISTERED OWNER HEREOF, ITS AUTHORIZED NOMINEE, HAS AN INTEREST HEREIN.</w:t>
      </w:r>
    </w:p>
    <w:p>
      <w:pPr>
        <w:spacing w:after="0" w:line="192"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TRANSFERS OF THIS GLOBAL NOTE SHALL BE LIMITED TO TRANSFERS IN WHOLE, BUT NOT IN PART, TO NOMINEES OF EUROCLEAR OR CLEARSTREAM OR TO A SUCCESSOR THEREOF OR SUCH SUCCESSOR’S NOMINEE AND TRANSFERS OF PORTIONS OF THIS GLOBAL NOTE SHALL BE LIMITED TO TRANSFERS MADE IN ACCORDANCE WITH THE RESTRICTIONS SET FORTH IN THE FISCAL AND PAYING AGENCY AGREEMENT REFERRED TO ON THE REVERSE HEREOF.]</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UNTIL 40 DAYS AFTER THE LATER OF THE DAY ON WHICH THE NOTES EVIDENCED HEREBY ARE FIRST OFFERED TO PERSONS OTHER THAN DISTRIBUTORS (AS DEFINED IN REGULATION S) AND THE DATE OF THE CLOSING OF THE OFFERING OF THE NOTES, AN OFFER OR SALE OF THE NOTES WITHIN THE UNITED STATES (AS DEFINED IN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MAY VIOLATE THE REGISTRATION REQUIREMENTS OF THE SECURITIES ACT.</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NEITHER THE NOTES EVIDENCED HEREBY NOR ANY BENEFICIAL INTEREST OR PARTICIPATION HEREIN HAVE BEEN REGISTERED UNDER THE SECURITIES ACT OR OTHER SECURITIES LAWS OF ANY STATE OR OTHER JURISDICTION. NEITHER THE NOTES EVIDENCED HEREBY NOR ANY BENEFICIAL INTEREST OR PARTICIPATION HEREIN MAY BE OFFERED, SOLD, ASSIGNED, TRANSFERRED, PLEDGED, ENCUMBERED OR OTHERWISE DISPOSED OF WITHIN THE UNITED STATES OR TO, OR FOR THE ACCOUNT OR BENEFIT OF, U.S. PERSONS (AS DEFINED IN REGULATION S UNDER THE SECURITIES ACT) EXCEPT PURSUANT TO AN EXEMPTION FROM, OR IN A TRANSACTION NOT SUBJECT TO, THE REGISTRATION REQUIREMENTS OF THE SECURITIES ACT.</w:t>
      </w:r>
    </w:p>
    <w:p>
      <w:pPr>
        <w:spacing w:after="0" w:line="18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HOLDER OF THE NOTES EVIDENCED HEREBY BY ITS ACCEPTANCE HEREOF (1) REPRESENTS THAT IT IS NOT A U.S. PERSON OR LOCATED IN THE UNITED STATES AND IS ACQUIRING THE NOTES IN AN OFFSHORE TRANSACTION PURSUANT TO REGULATION S UNDER THE SECURITIES ACT (</w:t>
      </w:r>
      <w:r>
        <w:rPr>
          <w:rFonts w:ascii="Times New Roman" w:cs="Times New Roman" w:eastAsia="Times New Roman" w:hAnsi="Times New Roman"/>
          <w:sz w:val="18"/>
          <w:szCs w:val="18"/>
          <w:b w:val="1"/>
          <w:bCs w:val="1"/>
          <w:color w:val="auto"/>
        </w:rPr>
        <w:t>REGULATION S</w:t>
      </w:r>
      <w:r>
        <w:rPr>
          <w:rFonts w:ascii="Times New Roman" w:cs="Times New Roman" w:eastAsia="Times New Roman" w:hAnsi="Times New Roman"/>
          <w:sz w:val="18"/>
          <w:szCs w:val="18"/>
          <w:color w:val="auto"/>
        </w:rPr>
        <w:t xml:space="preserve">), (2) AGREES ON ITS OWN BEHALF AND ON BEHALF OF ANY INVESTOR ACCOUNT FOR WHICH IT HAS PURCHASED NOTES THAT IT WILL NOT PRIOR TO (X) THE DATE WHICH IS 40 DAYS AFTER THE LATER OF THE ORIGINAL ISSUE DATE OF THE NOTES EVIDENCED HEREBY OR THE LAST DAY ON WHICH THE COMPANY OR ANY AFFILIATE OF THE COMPANY WERE THE OWNERS OF THE NOTES EVIDENCED HEREBY AND (Y) SUCH LATER DATE, IF ANY, AS MAY BE REQUIRED BY APPLICABLE LAW (THE </w:t>
      </w:r>
      <w:r>
        <w:rPr>
          <w:rFonts w:ascii="Times New Roman" w:cs="Times New Roman" w:eastAsia="Times New Roman" w:hAnsi="Times New Roman"/>
          <w:sz w:val="18"/>
          <w:szCs w:val="18"/>
          <w:b w:val="1"/>
          <w:bCs w:val="1"/>
          <w:color w:val="auto"/>
        </w:rPr>
        <w:t>RESALE RESTRICTION TERMINATION DATE</w:t>
      </w:r>
      <w:r>
        <w:rPr>
          <w:rFonts w:ascii="Times New Roman" w:cs="Times New Roman" w:eastAsia="Times New Roman" w:hAnsi="Times New Roman"/>
          <w:sz w:val="18"/>
          <w:szCs w:val="18"/>
          <w:color w:val="auto"/>
        </w:rPr>
        <w:t>), OFFER, SELL OR OTHERWISE TRANSFER THE NOTES EVIDENCED HEREBY OR BENEFICIAL INTEREST OR PARTICIPATION HEREIN EXCEPT (A) TO THE COMPANY, (B) PURSUANT TO A REGISTRATION STATEMENT WHICH HAS BEEN DECLARED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66" w:right="459" w:bottom="1440" w:gutter="0" w:footer="0" w:header="0"/>
        </w:sectPr>
      </w:pPr>
    </w:p>
    <w:bookmarkStart w:id="25" w:name="page26"/>
    <w:bookmarkEnd w:id="25"/>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EFFECTIVE UNDER THE SECURITIES ACT, (C) PURSUANT TO OFFERS AND SALES TO NON-U.S. PERSONS THAT OCCUR OUTSIDE THE UNITED STATES WITHIN THE MEANING OF REGULATION S OR (D) PURSUANT TO ANY OTHER AVAILABLE EXEMPTION FROM THE REGISTRATION REQUIREMENTS OF THE SECURITIES ACT, AND (3) AGREES THAT IT WILL GIVE TO EACH PERSON TO WHOM THE NOTES EVIDENCED HEREBY OR ANY BENEFICIAL INTEREST OR PARTICIPATION HEREIN IS TRANSFERRED A NOTICE SUBSTANTIALLY TO THE EFFECT OF THIS LEGEND; PROVIDED THAT THE COMPANY, THE FISCAL AGENT, THE REGISTRAR AND THE TRANSFER AGENT SHALL HAVE THE RIGHT PRIOR TO ANY SUCH OFFER, SALE OR TRANSFER PURSUANT TO SUBCLAUSE (C) PRIOR TO THE END OF THE 40-DAY DISTRIBUTION COMPLIANCE PERIOD WITHIN THE MEANING OF REGULATION S OR PURSUANT TO SUBCLAUSE (D) PRIOR TO THE RESALE RESTRICTION TERMINATION DATE TO REQUIRE THAT AN OPINION OF COUNSEL, CERTIFICATIONS AND/OR OTHER INFORMATION SATISFACTORY TO THE COMPANY, THE FISCAL AGENT, THE REGISTRAR AND THE TRANSFER AGENT IS COMPLETED AND DELIVERED BY THE TRANSFEROR. THIS LEGEND WILL BE REMOVED UPON THE REQUEST OF THE HOLDER AFTER THE RESALE RESTRICTION TERMINATION DATE. AS USED HEREIN, THE TERMS </w:t>
      </w:r>
      <w:r>
        <w:rPr>
          <w:rFonts w:ascii="Times New Roman" w:cs="Times New Roman" w:eastAsia="Times New Roman" w:hAnsi="Times New Roman"/>
          <w:sz w:val="18"/>
          <w:szCs w:val="18"/>
          <w:b w:val="1"/>
          <w:bCs w:val="1"/>
          <w:color w:val="auto"/>
        </w:rPr>
        <w:t>OFFSHORE TRANSACTION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UNITED STATES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U.S. PERSON</w:t>
      </w:r>
      <w:r>
        <w:rPr>
          <w:rFonts w:ascii="Times New Roman" w:cs="Times New Roman" w:eastAsia="Times New Roman" w:hAnsi="Times New Roman"/>
          <w:sz w:val="18"/>
          <w:szCs w:val="18"/>
          <w:color w:val="auto"/>
        </w:rPr>
        <w:t xml:space="preserve"> HAVE THE MEANINGS GIVEN TO THEM BY REGULATION S.</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NOTES MAY NOT BE OFFERED OR SOLD WITHIN THE UNITED STATES OR TO, OR FOR THE ACCOUNT OR BENEFIT OF, U.S. PERSONS (I) AS PART OF THEIR DISTRIBUTION AT ANY TIME OR (II) OTHERWISE UNTIL 40 DAYS AFTER THE LATER OF THE DATE OF THE COMMENCEMENT OF THE OFFERING AND THE DATE OF ORIGINAL ISSUANCE, EXCEPT IN EITHER CASE IN ACCORDANCE WITH REGULATION S UNDER THE SECURITIES ACT.</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[Include if this is a Definitive Note: IN CONNECTION WITH ANY TRANSFER, THE HOLDER WILL DELIVER TO THE REGISTRAR AND TRANSFER AGENT SUCH CERTIFICATES AND OTHER INFORMATION AS SUCH TRANSFER AGENT MAY REASONABLY REQUIRE TO CONFIRM THAT THE TRANSFER COMPLIES WITH THE FOREGOING RESTRICTIONS.]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0"/>
          </w:cols>
          <w:pgMar w:left="440" w:top="270" w:right="47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MANPOWERGROUP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[GLOBAL NOTE]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3.750% NOTES DUE 13 DECEMBER 2030</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Common Code No. [•]</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ISIN No.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22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color w:val="auto"/>
        </w:rPr>
        <w:t xml:space="preserve">MANPOWERGROUP INC., a Corporation organized under the laws of the State of Wisconsin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for value received, hereby promises to pay to [Citivic Nominees Limited], or its registered assigns, the principal sum of €[•] on December 13, 2030.</w:t>
      </w:r>
    </w:p>
    <w:p>
      <w:pPr>
        <w:sectPr>
          <w:pgSz w:w="11900" w:h="16838" w:orient="portrait"/>
          <w:cols w:equalWidth="0" w:num="1">
            <w:col w:w="11020"/>
          </w:cols>
          <w:pgMar w:left="440" w:top="266" w:right="439" w:bottom="1440" w:gutter="0" w:footer="0" w:header="0"/>
        </w:sectPr>
      </w:pP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Interest Payment Date:</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127" w:lineRule="exact"/>
        <w:rPr>
          <w:sz w:val="20"/>
          <w:szCs w:val="20"/>
          <w:color w:val="auto"/>
        </w:rPr>
      </w:pPr>
    </w:p>
    <w:p>
      <w:pPr>
        <w:sectPr>
          <w:pgSz w:w="11900" w:h="16838" w:orient="portrait"/>
          <w:cols w:equalWidth="0" w:num="2">
            <w:col w:w="1640" w:space="580"/>
            <w:col w:w="8800"/>
          </w:cols>
          <w:pgMar w:left="440" w:top="266" w:right="4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Record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Include if this is a Global Note:</w:t>
      </w:r>
      <w:r>
        <w:rPr>
          <w:rFonts w:ascii="Times New Roman" w:cs="Times New Roman" w:eastAsia="Times New Roman" w:hAnsi="Times New Roman"/>
          <w:sz w:val="17"/>
          <w:szCs w:val="17"/>
          <w:color w:val="auto"/>
        </w:rPr>
        <w:t xml:space="preserve"> One ICSD Business Day prior to the Interest Payment Date][</w:t>
      </w:r>
      <w:r>
        <w:rPr>
          <w:rFonts w:ascii="Times New Roman" w:cs="Times New Roman" w:eastAsia="Times New Roman" w:hAnsi="Times New Roman"/>
          <w:sz w:val="17"/>
          <w:szCs w:val="17"/>
          <w:i w:val="1"/>
          <w:iCs w:val="1"/>
          <w:color w:val="auto"/>
        </w:rPr>
        <w:t>Include if this is a</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Definitive Note: </w:t>
      </w: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ectPr>
          <w:pgSz w:w="11900" w:h="16838" w:orient="portrait"/>
          <w:cols w:equalWidth="0" w:num="2">
            <w:col w:w="1500" w:space="720"/>
            <w:col w:w="8800"/>
          </w:cols>
          <w:pgMar w:left="440" w:top="266" w:right="439"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Include if this is a Global 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ICSD Business Day</w:t>
      </w:r>
      <w:r>
        <w:rPr>
          <w:rFonts w:ascii="Times New Roman" w:cs="Times New Roman" w:eastAsia="Times New Roman" w:hAnsi="Times New Roman"/>
          <w:sz w:val="18"/>
          <w:szCs w:val="18"/>
          <w:color w:val="auto"/>
        </w:rPr>
        <w:t xml:space="preserve"> means any day which is a Monday to Friday inclusive except December 25 and January 1.]</w:t>
      </w:r>
    </w:p>
    <w:p>
      <w:pPr>
        <w:spacing w:after="0" w:line="229" w:lineRule="exact"/>
        <w:rPr>
          <w:sz w:val="20"/>
          <w:szCs w:val="20"/>
          <w:color w:val="auto"/>
        </w:rPr>
      </w:pPr>
    </w:p>
    <w:p>
      <w:pPr>
        <w:jc w:val="right"/>
        <w:ind w:right="5420"/>
        <w:spacing w:after="0" w:line="454" w:lineRule="auto"/>
        <w:rPr>
          <w:sz w:val="20"/>
          <w:szCs w:val="20"/>
          <w:color w:val="auto"/>
        </w:rPr>
      </w:pPr>
      <w:r>
        <w:rPr>
          <w:rFonts w:ascii="Times New Roman" w:cs="Times New Roman" w:eastAsia="Times New Roman" w:hAnsi="Times New Roman"/>
          <w:sz w:val="18"/>
          <w:szCs w:val="18"/>
          <w:color w:val="auto"/>
        </w:rPr>
        <w:t>Additional provisions of this Note are set forth on the other side of this Note. 21</w:t>
      </w:r>
    </w:p>
    <w:p>
      <w:pPr>
        <w:sectPr>
          <w:pgSz w:w="11900" w:h="16838" w:orient="portrait"/>
          <w:cols w:equalWidth="0" w:num="1">
            <w:col w:w="11020"/>
          </w:cols>
          <w:pgMar w:left="440" w:top="266" w:right="4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Company has caused this instrument to be duly executed.</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MANPOWERGROUP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222885</wp:posOffset>
            </wp:positionV>
            <wp:extent cx="27946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222885</wp:posOffset>
            </wp:positionV>
            <wp:extent cx="27946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Secretary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Page to Global Note</w:t>
      </w:r>
    </w:p>
    <w:p>
      <w:pPr>
        <w:sectPr>
          <w:pgSz w:w="11900" w:h="16838" w:orient="portrait"/>
          <w:cols w:equalWidth="0" w:num="1">
            <w:col w:w="10019"/>
          </w:cols>
          <w:pgMar w:left="440" w:top="270" w:right="1440" w:bottom="1440" w:gutter="0" w:footer="0" w:header="0"/>
        </w:sectPr>
      </w:pPr>
    </w:p>
    <w:bookmarkStart w:id="28" w:name="page29"/>
    <w:bookmarkEnd w:id="28"/>
    <w:p>
      <w:pPr>
        <w:ind w:left="38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CERTIFICATE OF AUTHENTICATION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is [a Definitive Note][the Global Note] described in the within-mentioned Fiscal and Paying Agency Agreement.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CITIBANK, N.A., London Branch as Fiscal Agent,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222885</wp:posOffset>
            </wp:positionV>
            <wp:extent cx="27946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019"/>
          </w:cols>
          <w:pgMar w:left="440" w:top="266" w:right="1440" w:bottom="1440" w:gutter="0" w:footer="0" w:header="0"/>
        </w:sectPr>
      </w:pPr>
    </w:p>
    <w:bookmarkStart w:id="29" w:name="page30"/>
    <w:bookmarkEnd w:id="29"/>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TERMS AND CONDITIONS OF THE NOTES</w:t>
      </w:r>
    </w:p>
    <w:p>
      <w:pPr>
        <w:spacing w:after="0" w:line="252" w:lineRule="exact"/>
        <w:rPr>
          <w:sz w:val="20"/>
          <w:szCs w:val="20"/>
          <w:color w:val="auto"/>
        </w:rPr>
      </w:pPr>
    </w:p>
    <w:p>
      <w:pPr>
        <w:ind w:left="424" w:hanging="424"/>
        <w:spacing w:after="0"/>
        <w:tabs>
          <w:tab w:leader="none" w:pos="424"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135" w:lineRule="exact"/>
        <w:rPr>
          <w:sz w:val="20"/>
          <w:szCs w:val="20"/>
          <w:color w:val="auto"/>
        </w:rPr>
      </w:pPr>
    </w:p>
    <w:p>
      <w:pPr>
        <w:ind w:left="424" w:hanging="431"/>
        <w:spacing w:after="0" w:line="253" w:lineRule="auto"/>
        <w:tabs>
          <w:tab w:leader="none" w:pos="404" w:val="left"/>
        </w:tabs>
        <w:rPr>
          <w:sz w:val="20"/>
          <w:szCs w:val="20"/>
          <w:color w:val="auto"/>
        </w:rPr>
      </w:pPr>
      <w:r>
        <w:rPr>
          <w:rFonts w:ascii="Times New Roman" w:cs="Times New Roman" w:eastAsia="Times New Roman" w:hAnsi="Times New Roman"/>
          <w:sz w:val="18"/>
          <w:szCs w:val="18"/>
          <w:color w:val="auto"/>
        </w:rPr>
        <w:t>1.1</w:t>
        <w:tab/>
        <w:t xml:space="preserve">This Note is one of a duly authorized issue of debt securities of the Company, designated as its 3.750% Notes due 13 December 2030 limited to the aggregate principal amount of €500,000,000 (except as otherwise provided below) and issued or to be issued pursuant to a Fiscal and Paying Agency Agreement (the </w:t>
      </w:r>
      <w:r>
        <w:rPr>
          <w:rFonts w:ascii="Times New Roman" w:cs="Times New Roman" w:eastAsia="Times New Roman" w:hAnsi="Times New Roman"/>
          <w:sz w:val="18"/>
          <w:szCs w:val="18"/>
          <w:b w:val="1"/>
          <w:bCs w:val="1"/>
          <w:color w:val="auto"/>
        </w:rPr>
        <w:t>Fiscal and Paying Agency Agreement</w:t>
      </w:r>
      <w:r>
        <w:rPr>
          <w:rFonts w:ascii="Times New Roman" w:cs="Times New Roman" w:eastAsia="Times New Roman" w:hAnsi="Times New Roman"/>
          <w:sz w:val="18"/>
          <w:szCs w:val="18"/>
          <w:color w:val="auto"/>
        </w:rPr>
        <w:t xml:space="preserve">) dated as of December 15, 2025 between the Company and Citibank, N.A., London Branch, as fiscal and principal paying agent (the </w:t>
      </w:r>
      <w:r>
        <w:rPr>
          <w:rFonts w:ascii="Times New Roman" w:cs="Times New Roman" w:eastAsia="Times New Roman" w:hAnsi="Times New Roman"/>
          <w:sz w:val="18"/>
          <w:szCs w:val="18"/>
          <w:b w:val="1"/>
          <w:bCs w:val="1"/>
          <w:color w:val="auto"/>
        </w:rPr>
        <w:t>Fiscal Agent</w:t>
      </w:r>
      <w:r>
        <w:rPr>
          <w:rFonts w:ascii="Times New Roman" w:cs="Times New Roman" w:eastAsia="Times New Roman" w:hAnsi="Times New Roman"/>
          <w:sz w:val="18"/>
          <w:szCs w:val="18"/>
          <w:color w:val="auto"/>
        </w:rPr>
        <w:t xml:space="preserve">, and together with such other paying agents as may be appointed under the Fiscal and Paying Agency Agreement from time to time, the </w:t>
      </w:r>
      <w:r>
        <w:rPr>
          <w:rFonts w:ascii="Times New Roman" w:cs="Times New Roman" w:eastAsia="Times New Roman" w:hAnsi="Times New Roman"/>
          <w:sz w:val="18"/>
          <w:szCs w:val="18"/>
          <w:b w:val="1"/>
          <w:bCs w:val="1"/>
          <w:color w:val="auto"/>
        </w:rPr>
        <w:t>Paying Agents</w:t>
      </w:r>
      <w:r>
        <w:rPr>
          <w:rFonts w:ascii="Times New Roman" w:cs="Times New Roman" w:eastAsia="Times New Roman" w:hAnsi="Times New Roman"/>
          <w:sz w:val="18"/>
          <w:szCs w:val="18"/>
          <w:color w:val="auto"/>
        </w:rPr>
        <w:t xml:space="preserve">, which terms shall include their respective successors and assigns as such Fiscal Agent or Paying Agent, as the case may be), which also acts as registrar and transfer agent. The holders of the Notes (the </w:t>
      </w:r>
      <w:r>
        <w:rPr>
          <w:rFonts w:ascii="Times New Roman" w:cs="Times New Roman" w:eastAsia="Times New Roman" w:hAnsi="Times New Roman"/>
          <w:sz w:val="18"/>
          <w:szCs w:val="18"/>
          <w:b w:val="1"/>
          <w:bCs w:val="1"/>
          <w:color w:val="auto"/>
        </w:rPr>
        <w:t>Noteholders</w:t>
      </w:r>
      <w:r>
        <w:rPr>
          <w:rFonts w:ascii="Times New Roman" w:cs="Times New Roman" w:eastAsia="Times New Roman" w:hAnsi="Times New Roman"/>
          <w:sz w:val="18"/>
          <w:szCs w:val="18"/>
          <w:color w:val="auto"/>
        </w:rPr>
        <w:t>) will be entitled to the benefits of, be bound by, and be deemed to have notice of, all of the provisions of the Fiscal and Paying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Agency Agreement. A copy of the Fiscal and Paying Agency Agreement is on file and may be inspected at the offices of the Paying Agent referred to below. Unless otherwise stated, terms used but not defined herein shall have the meaning assigned to them in the Fiscal and Paying Agency Agreement.</w:t>
      </w:r>
    </w:p>
    <w:p>
      <w:pPr>
        <w:spacing w:after="0" w:line="98" w:lineRule="exact"/>
        <w:rPr>
          <w:sz w:val="20"/>
          <w:szCs w:val="20"/>
          <w:color w:val="auto"/>
        </w:rPr>
      </w:pPr>
    </w:p>
    <w:p>
      <w:pPr>
        <w:ind w:left="424" w:right="60" w:hanging="431"/>
        <w:spacing w:after="0" w:line="284" w:lineRule="auto"/>
        <w:tabs>
          <w:tab w:leader="none" w:pos="404" w:val="left"/>
        </w:tabs>
        <w:rPr>
          <w:sz w:val="20"/>
          <w:szCs w:val="20"/>
          <w:color w:val="auto"/>
        </w:rPr>
      </w:pPr>
      <w:r>
        <w:rPr>
          <w:rFonts w:ascii="Times New Roman" w:cs="Times New Roman" w:eastAsia="Times New Roman" w:hAnsi="Times New Roman"/>
          <w:sz w:val="18"/>
          <w:szCs w:val="18"/>
          <w:color w:val="auto"/>
        </w:rPr>
        <w:t>1.2</w:t>
        <w:tab/>
        <w:t xml:space="preserve">The Notes are direct unsecured obligations of the Company and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all other unsecured and unsubordinated indebtedness of the Company.</w:t>
      </w:r>
    </w:p>
    <w:p>
      <w:pPr>
        <w:spacing w:after="0" w:line="66" w:lineRule="exact"/>
        <w:rPr>
          <w:sz w:val="20"/>
          <w:szCs w:val="20"/>
          <w:color w:val="auto"/>
        </w:rPr>
      </w:pPr>
    </w:p>
    <w:p>
      <w:pPr>
        <w:ind w:left="424" w:right="90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1.3</w:t>
        <w:tab/>
        <w:t>THE NOTES ARE NOT DEPOSITS INSURED BY THE FEDERAL DEPOSIT INSURANCE CORPORATION OR ANY OTHER GOVERNMENTAL AGENCY.</w:t>
      </w:r>
    </w:p>
    <w:p>
      <w:pPr>
        <w:spacing w:after="0" w:line="306" w:lineRule="exact"/>
        <w:rPr>
          <w:sz w:val="20"/>
          <w:szCs w:val="20"/>
          <w:color w:val="auto"/>
        </w:rPr>
      </w:pPr>
    </w:p>
    <w:p>
      <w:pPr>
        <w:ind w:left="424" w:hanging="424"/>
        <w:spacing w:after="0"/>
        <w:tabs>
          <w:tab w:leader="none" w:pos="424"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DENOMINATIONS; TRANSFER; EXCHANGE</w:t>
      </w:r>
    </w:p>
    <w:p>
      <w:pPr>
        <w:spacing w:after="0" w:line="135" w:lineRule="exact"/>
        <w:rPr>
          <w:sz w:val="20"/>
          <w:szCs w:val="20"/>
          <w:color w:val="auto"/>
        </w:rPr>
      </w:pPr>
    </w:p>
    <w:p>
      <w:pPr>
        <w:ind w:left="424" w:right="120" w:hanging="431"/>
        <w:spacing w:after="0" w:line="255" w:lineRule="auto"/>
        <w:tabs>
          <w:tab w:leader="none" w:pos="404" w:val="left"/>
        </w:tabs>
        <w:rPr>
          <w:sz w:val="20"/>
          <w:szCs w:val="20"/>
          <w:color w:val="auto"/>
        </w:rPr>
      </w:pPr>
      <w:r>
        <w:rPr>
          <w:rFonts w:ascii="Times New Roman" w:cs="Times New Roman" w:eastAsia="Times New Roman" w:hAnsi="Times New Roman"/>
          <w:sz w:val="18"/>
          <w:szCs w:val="18"/>
          <w:color w:val="auto"/>
        </w:rPr>
        <w:t>2.1</w:t>
        <w:tab/>
        <w:t>The Notes are in registered form without interest coupons in minimum denominations of €100,000 principal amount and integral multiples of €1,000 in excess thereof. A Noteholder may transfer or exchange the Notes in accordance with the Fiscal and Paying Agency Agreement. In connection with any such transfer or exchange, the Fiscal and Paying Agency Agreement will require the transferring or exchanging Noteholder to, among other things, furnish appropriate endorsements and transfer documents, furnish information regarding the account of the transferee at Euroclear or Clearstream, where appropriate, furnish certain certificates and opinions, and pay any taxes, duties and governmental charges in connection with such transfer or exchange. Any such transfer or exchange will be made without charge to the Noteholder, other than any taxes, duties and governmental charges payable in connection with such transfer.</w:t>
      </w:r>
    </w:p>
    <w:p>
      <w:pPr>
        <w:spacing w:after="0" w:line="94" w:lineRule="exact"/>
        <w:rPr>
          <w:sz w:val="20"/>
          <w:szCs w:val="20"/>
          <w:color w:val="auto"/>
        </w:rPr>
      </w:pPr>
    </w:p>
    <w:p>
      <w:pPr>
        <w:ind w:left="424" w:hanging="431"/>
        <w:spacing w:after="0" w:line="261" w:lineRule="auto"/>
        <w:tabs>
          <w:tab w:leader="none" w:pos="404" w:val="left"/>
        </w:tabs>
        <w:rPr>
          <w:sz w:val="20"/>
          <w:szCs w:val="20"/>
          <w:color w:val="auto"/>
        </w:rPr>
      </w:pPr>
      <w:r>
        <w:rPr>
          <w:rFonts w:ascii="Times New Roman" w:cs="Times New Roman" w:eastAsia="Times New Roman" w:hAnsi="Times New Roman"/>
          <w:sz w:val="18"/>
          <w:szCs w:val="18"/>
          <w:color w:val="auto"/>
        </w:rPr>
        <w:t>2.2</w:t>
        <w:tab/>
        <w:t>Notwithstanding the foregoing, the Company is not required to register the transfer or exchange of any Notes: (a) for a period of 15 calendar days prior to any date fixed for the redemption of the Notes; (b) for a period of 15 calendar days prior to the record date with respect to any interest payment date; or (c) which the Noteholder has tendered (and not withdrawn) for repurchase in connection with a Change of Control Triggering Event.</w:t>
      </w:r>
    </w:p>
    <w:p>
      <w:pPr>
        <w:spacing w:after="0" w:line="324" w:lineRule="exact"/>
        <w:rPr>
          <w:sz w:val="20"/>
          <w:szCs w:val="20"/>
          <w:color w:val="auto"/>
        </w:rPr>
      </w:pPr>
    </w:p>
    <w:p>
      <w:pPr>
        <w:ind w:left="424" w:hanging="424"/>
        <w:spacing w:after="0"/>
        <w:tabs>
          <w:tab w:leader="none" w:pos="424"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PERSONS DEEMED OWNERS</w:t>
      </w:r>
    </w:p>
    <w:p>
      <w:pPr>
        <w:spacing w:after="0" w:line="121"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registered Noteholder of this Note will be treated as the owner of it for all purposes.</w:t>
      </w:r>
    </w:p>
    <w:p>
      <w:pPr>
        <w:spacing w:after="0" w:line="158"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24"/>
          </w:cols>
          <w:pgMar w:left="436" w:top="266" w:right="539" w:bottom="1440" w:gutter="0" w:footer="0" w:header="0"/>
        </w:sectPr>
      </w:pPr>
    </w:p>
    <w:bookmarkStart w:id="30" w:name="page31"/>
    <w:bookmarkEnd w:id="30"/>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 METHOD OF PAYMENT</w:t>
      </w:r>
    </w:p>
    <w:p>
      <w:pPr>
        <w:spacing w:after="0" w:line="121" w:lineRule="exact"/>
        <w:rPr>
          <w:sz w:val="20"/>
          <w:szCs w:val="20"/>
          <w:color w:val="auto"/>
        </w:rPr>
      </w:pPr>
    </w:p>
    <w:p>
      <w:pPr>
        <w:ind w:left="444" w:right="60"/>
        <w:spacing w:after="0" w:line="254" w:lineRule="auto"/>
        <w:rPr>
          <w:sz w:val="20"/>
          <w:szCs w:val="20"/>
          <w:color w:val="auto"/>
        </w:rPr>
      </w:pPr>
      <w:r>
        <w:rPr>
          <w:rFonts w:ascii="Times New Roman" w:cs="Times New Roman" w:eastAsia="Times New Roman" w:hAnsi="Times New Roman"/>
          <w:sz w:val="18"/>
          <w:szCs w:val="18"/>
          <w:color w:val="auto"/>
        </w:rPr>
        <w:t xml:space="preserve">Noteholders must surrender Notes to a Paying Agent to collect principal payments. The Company will pay principal and interest in Euros or such other lawful currency of the participating Member States in the Third Stage of European Economic and Monetary Union of the Treaty on the Functioning of the European Union that at the time of payment is legal tender for payment of public and private debts. Payments in respect of the Notes represented by the Global Note (including principal, premium and interest) will be made by wire transfer of immediately available funds to the accounts specified by Euroclear or Clearstream. The Company will make all payments in respect of a Definitive Note (including principal, premium and interest) by mailing a check to the registered address of each Noteholder thereof; </w:t>
      </w:r>
      <w:r>
        <w:rPr>
          <w:rFonts w:ascii="Times New Roman" w:cs="Times New Roman" w:eastAsia="Times New Roman" w:hAnsi="Times New Roman"/>
          <w:sz w:val="18"/>
          <w:szCs w:val="18"/>
          <w:b w:val="1"/>
          <w:b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however</w:t>
      </w:r>
      <w:r>
        <w:rPr>
          <w:rFonts w:ascii="Times New Roman" w:cs="Times New Roman" w:eastAsia="Times New Roman" w:hAnsi="Times New Roman"/>
          <w:sz w:val="18"/>
          <w:szCs w:val="18"/>
          <w:color w:val="auto"/>
        </w:rPr>
        <w:t>, that payments on a Definitive Note will be made by wire transfer if such Noteholder elects payment by wire transfer by giving written notice to the Fiscal Agent or the Paying Agent to such effect designating such account no later than 30 days immediately preceding the relevant due date for payment (or such other date as the Fiscal Agent may accept in its discretion).</w:t>
      </w:r>
    </w:p>
    <w:p>
      <w:pPr>
        <w:spacing w:after="0" w:line="80" w:lineRule="exact"/>
        <w:rPr>
          <w:sz w:val="20"/>
          <w:szCs w:val="20"/>
          <w:color w:val="auto"/>
        </w:rPr>
      </w:pPr>
    </w:p>
    <w:p>
      <w:pPr>
        <w:ind w:left="444" w:right="60"/>
        <w:spacing w:after="0" w:line="261" w:lineRule="auto"/>
        <w:rPr>
          <w:sz w:val="20"/>
          <w:szCs w:val="20"/>
          <w:color w:val="auto"/>
        </w:rPr>
      </w:pPr>
      <w:r>
        <w:rPr>
          <w:rFonts w:ascii="Times New Roman" w:cs="Times New Roman" w:eastAsia="Times New Roman" w:hAnsi="Times New Roman"/>
          <w:sz w:val="18"/>
          <w:szCs w:val="18"/>
          <w:color w:val="auto"/>
        </w:rPr>
        <w:t xml:space="preserve">Payments will, without prejudice to the provisions of Clause 8 of the terms and conditions of the Notes be subject in all cases to (i) any applicable fiscal or other laws and regulations, and (ii) any withholding or deduction required pursuant to an agreement described in Section 1471(b) of the of the U.S. Internal Revenue Code of 1986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or otherwise imposed pursuant to Sections 1471 through 1474 of the Code, any regulations or agreements thereunder, official interpretations thereof, or any law implementing an intergovernmental approach thereto.</w:t>
      </w:r>
    </w:p>
    <w:p>
      <w:pPr>
        <w:spacing w:after="0" w:line="324" w:lineRule="exact"/>
        <w:rPr>
          <w:sz w:val="20"/>
          <w:szCs w:val="20"/>
          <w:color w:val="auto"/>
        </w:rPr>
      </w:pPr>
    </w:p>
    <w:p>
      <w:pPr>
        <w:ind w:left="424" w:hanging="424"/>
        <w:spacing w:after="0"/>
        <w:tabs>
          <w:tab w:leader="none" w:pos="424"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PAYING AGENT, TRANSFER AGENT AND REGISTRAR</w:t>
      </w:r>
    </w:p>
    <w:p>
      <w:pPr>
        <w:spacing w:after="0" w:line="121" w:lineRule="exact"/>
        <w:rPr>
          <w:rFonts w:ascii="Times New Roman" w:cs="Times New Roman" w:eastAsia="Times New Roman" w:hAnsi="Times New Roman"/>
          <w:sz w:val="18"/>
          <w:szCs w:val="18"/>
          <w:b w:val="1"/>
          <w:bCs w:val="1"/>
          <w:color w:val="auto"/>
        </w:rPr>
      </w:pPr>
    </w:p>
    <w:p>
      <w:pPr>
        <w:ind w:left="444" w:right="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Initially, Citibank, N.A., London Branch will act as principal Paying Agent, Transfer Agent and Registrar. The Company may appoint and change any Paying Agent, Transfer Agent or Registrar without notice. The Company or any of its Subsidiaries may act as Paying Agent (other than with respect to Global Notes) or Registrar.</w:t>
      </w:r>
    </w:p>
    <w:p>
      <w:pPr>
        <w:spacing w:after="0" w:line="320"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UNCLAIMED MONEY</w:t>
      </w:r>
    </w:p>
    <w:p>
      <w:pPr>
        <w:spacing w:after="0" w:line="121" w:lineRule="exact"/>
        <w:rPr>
          <w:rFonts w:ascii="Times New Roman" w:cs="Times New Roman" w:eastAsia="Times New Roman" w:hAnsi="Times New Roman"/>
          <w:sz w:val="18"/>
          <w:szCs w:val="18"/>
          <w:b w:val="1"/>
          <w:bCs w:val="1"/>
          <w:color w:val="auto"/>
        </w:rPr>
      </w:pPr>
    </w:p>
    <w:p>
      <w:pPr>
        <w:ind w:left="444"/>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money for the payment of principal or interest remains unclaimed for two years, the Fiscal Agent or Paying Agents shall pay the money back to the Company at its written request unless an applicable abandoned property law designates another person. After any such payment, Noteholders entitled to the money must look to the Company for payment as general creditors and the Fiscal Agent and the Paying Agents shall have no further liability with respect to such moneys.</w:t>
      </w:r>
    </w:p>
    <w:p>
      <w:pPr>
        <w:spacing w:after="0" w:line="324"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INTEREST</w:t>
      </w:r>
    </w:p>
    <w:p>
      <w:pPr>
        <w:spacing w:after="0" w:line="117" w:lineRule="exact"/>
        <w:rPr>
          <w:rFonts w:ascii="Times New Roman" w:cs="Times New Roman" w:eastAsia="Times New Roman" w:hAnsi="Times New Roman"/>
          <w:sz w:val="18"/>
          <w:szCs w:val="18"/>
          <w:b w:val="1"/>
          <w:bCs w:val="1"/>
          <w:color w:val="auto"/>
        </w:rPr>
      </w:pPr>
    </w:p>
    <w:p>
      <w:pPr>
        <w:ind w:left="444"/>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Notes will bear interest from (and including) December 15, 2025 (the </w:t>
      </w:r>
      <w:r>
        <w:rPr>
          <w:rFonts w:ascii="Times New Roman" w:cs="Times New Roman" w:eastAsia="Times New Roman" w:hAnsi="Times New Roman"/>
          <w:sz w:val="18"/>
          <w:szCs w:val="18"/>
          <w:b w:val="1"/>
          <w:bCs w:val="1"/>
          <w:color w:val="auto"/>
        </w:rPr>
        <w:t>Issue Date</w:t>
      </w:r>
      <w:r>
        <w:rPr>
          <w:rFonts w:ascii="Times New Roman" w:cs="Times New Roman" w:eastAsia="Times New Roman" w:hAnsi="Times New Roman"/>
          <w:sz w:val="18"/>
          <w:szCs w:val="18"/>
          <w:color w:val="auto"/>
        </w:rPr>
        <w:t xml:space="preserve">) until maturity, unless previously redeemed. Interest on the Notes will be payable annually in arrears on December 13 each year (each an </w:t>
      </w:r>
      <w:r>
        <w:rPr>
          <w:rFonts w:ascii="Times New Roman" w:cs="Times New Roman" w:eastAsia="Times New Roman" w:hAnsi="Times New Roman"/>
          <w:sz w:val="18"/>
          <w:szCs w:val="18"/>
          <w:b w:val="1"/>
          <w:bCs w:val="1"/>
          <w:color w:val="auto"/>
        </w:rPr>
        <w:t>Interest Payment Date</w:t>
      </w:r>
      <w:r>
        <w:rPr>
          <w:rFonts w:ascii="Times New Roman" w:cs="Times New Roman" w:eastAsia="Times New Roman" w:hAnsi="Times New Roman"/>
          <w:sz w:val="18"/>
          <w:szCs w:val="18"/>
          <w:color w:val="auto"/>
        </w:rPr>
        <w:t xml:space="preserve">), commencing December 13, 2026 (the </w:t>
      </w:r>
      <w:r>
        <w:rPr>
          <w:rFonts w:ascii="Times New Roman" w:cs="Times New Roman" w:eastAsia="Times New Roman" w:hAnsi="Times New Roman"/>
          <w:sz w:val="18"/>
          <w:szCs w:val="18"/>
          <w:b w:val="1"/>
          <w:bCs w:val="1"/>
          <w:color w:val="auto"/>
        </w:rPr>
        <w:t>First Interest Payment Date</w:t>
      </w:r>
      <w:r>
        <w:rPr>
          <w:rFonts w:ascii="Times New Roman" w:cs="Times New Roman" w:eastAsia="Times New Roman" w:hAnsi="Times New Roman"/>
          <w:sz w:val="18"/>
          <w:szCs w:val="18"/>
          <w:color w:val="auto"/>
        </w:rPr>
        <w:t>) up to and including December 13, 2030. The first payment of interest, to be made on the First Interest 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Date, will be in respect of the short first period from (and including) the Issue Date to (but excluding) the First Interest Payment Date. Whenever it is necessary to compute any amount of interest in respect of the Notes for a period of less than a full year, such interest shall be calculated on the basis of (a) the actual number of days in the period from and including the date from which interest begins to accrue (the </w:t>
      </w:r>
      <w:r>
        <w:rPr>
          <w:rFonts w:ascii="Times New Roman" w:cs="Times New Roman" w:eastAsia="Times New Roman" w:hAnsi="Times New Roman"/>
          <w:sz w:val="18"/>
          <w:szCs w:val="18"/>
          <w:b w:val="1"/>
          <w:bCs w:val="1"/>
          <w:color w:val="auto"/>
        </w:rPr>
        <w:t>Accrual Date</w:t>
      </w:r>
      <w:r>
        <w:rPr>
          <w:rFonts w:ascii="Times New Roman" w:cs="Times New Roman" w:eastAsia="Times New Roman" w:hAnsi="Times New Roman"/>
          <w:sz w:val="18"/>
          <w:szCs w:val="18"/>
          <w:color w:val="auto"/>
        </w:rPr>
        <w:t>) to but excluding the date on which it falls due divided by (b) the actual number of days from and including the Accrual Date (or, in respect of interest accruing during the short first period, December 13, 2025) to but excluding the next following Interest Payment Date.</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4"/>
          </w:cols>
          <w:pgMar w:left="436" w:top="266" w:right="459" w:bottom="1440" w:gutter="0" w:footer="0" w:header="0"/>
        </w:sectPr>
      </w:pPr>
    </w:p>
    <w:bookmarkStart w:id="31" w:name="page32"/>
    <w:bookmarkEnd w:id="31"/>
    <w:p>
      <w:pPr>
        <w:ind w:left="424" w:hanging="424"/>
        <w:spacing w:after="0"/>
        <w:tabs>
          <w:tab w:leader="none" w:pos="424"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ADDITIONAL AMOUNTS</w:t>
      </w:r>
    </w:p>
    <w:p>
      <w:pPr>
        <w:spacing w:after="0" w:line="135" w:lineRule="exact"/>
        <w:rPr>
          <w:sz w:val="20"/>
          <w:szCs w:val="20"/>
          <w:color w:val="auto"/>
        </w:rPr>
      </w:pPr>
    </w:p>
    <w:p>
      <w:pPr>
        <w:ind w:left="424" w:hanging="431"/>
        <w:spacing w:after="0" w:line="254" w:lineRule="auto"/>
        <w:tabs>
          <w:tab w:leader="none" w:pos="404" w:val="left"/>
        </w:tabs>
        <w:rPr>
          <w:sz w:val="20"/>
          <w:szCs w:val="20"/>
          <w:color w:val="auto"/>
        </w:rPr>
      </w:pPr>
      <w:r>
        <w:rPr>
          <w:rFonts w:ascii="Times New Roman" w:cs="Times New Roman" w:eastAsia="Times New Roman" w:hAnsi="Times New Roman"/>
          <w:sz w:val="18"/>
          <w:szCs w:val="18"/>
          <w:color w:val="auto"/>
        </w:rPr>
        <w:t>8.1</w:t>
        <w:tab/>
        <w:t>All payments of principal and interest on the Notes will be made without deduction or withholding for or on account of any present or future tax, assessment or other governmental charge, of whatever nature, imposed or levied by or within the United States or by or within any political subdivision or taxing authority thereof or therein, except as required by law. The Company will, subject to the exceptions and limitations set forth below, pay as additional interest (</w:t>
      </w:r>
      <w:r>
        <w:rPr>
          <w:rFonts w:ascii="Times New Roman" w:cs="Times New Roman" w:eastAsia="Times New Roman" w:hAnsi="Times New Roman"/>
          <w:sz w:val="18"/>
          <w:szCs w:val="18"/>
          <w:b w:val="1"/>
          <w:bCs w:val="1"/>
          <w:color w:val="auto"/>
        </w:rPr>
        <w:t>Additional Amounts</w:t>
      </w:r>
      <w:r>
        <w:rPr>
          <w:rFonts w:ascii="Times New Roman" w:cs="Times New Roman" w:eastAsia="Times New Roman" w:hAnsi="Times New Roman"/>
          <w:sz w:val="18"/>
          <w:szCs w:val="18"/>
          <w:color w:val="auto"/>
        </w:rPr>
        <w:t>) to the Noteholder of any Note who is a United States Alien (as defined below) such amounts as may be necessary so that every net payment by the Company or any of its Paying Agents on such Note, after deduction or withholding for or on account of any present or future tax, assessment or other governmental charge imposed upon such Noteholder by the United States (as defined below) (or any political subdivision or taxing authority thereof or therein), will not be less than the amount provided for in such Note to be then due and payable. However, the Company will not be required to make any payment of Additional Amounts for or on account of:</w:t>
      </w:r>
    </w:p>
    <w:p>
      <w:pPr>
        <w:spacing w:after="0" w:line="97" w:lineRule="exact"/>
        <w:rPr>
          <w:sz w:val="20"/>
          <w:szCs w:val="20"/>
          <w:color w:val="auto"/>
        </w:rPr>
      </w:pPr>
    </w:p>
    <w:p>
      <w:pPr>
        <w:ind w:left="964" w:right="40" w:hanging="532"/>
        <w:spacing w:after="0" w:line="268" w:lineRule="auto"/>
        <w:tabs>
          <w:tab w:leader="none" w:pos="964"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tax, assessment or other governmental charge that would not have been so imposed but for (i) the existence of any present or former connection between such Noteholder (or between a fiduciary, settlor or, beneficiary of, or a person holding a power over, such Noteholder, if such Noteholder is an estate or a trust, or a member or shareholder of such Noteholder, if such Noteholder is a partnership or a corporation) and the United States, including, without limitation, such Noteholder (or such fiduciary, settlor, beneficiary of, person holding a power, member or shareholder), being or having been a citizen or resident or treated as a resident thereof, or being or having been engaged in a trade or business within the United States or present therein or having, or having had, a permanent establishment therein, or</w:t>
      </w:r>
    </w:p>
    <w:p>
      <w:pPr>
        <w:spacing w:after="0" w:line="4" w:lineRule="exact"/>
        <w:rPr>
          <w:rFonts w:ascii="Times New Roman" w:cs="Times New Roman" w:eastAsia="Times New Roman" w:hAnsi="Times New Roman"/>
          <w:sz w:val="17"/>
          <w:szCs w:val="17"/>
          <w:color w:val="auto"/>
        </w:rPr>
      </w:pPr>
    </w:p>
    <w:p>
      <w:pPr>
        <w:ind w:left="964" w:right="440" w:firstLine="8"/>
        <w:spacing w:after="0" w:line="260" w:lineRule="auto"/>
        <w:tabs>
          <w:tab w:leader="none" w:pos="1229"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presentation by or on behalf of the Noteholder of a Note for payment more than 15 days after the date on which such payment became due and payable or on which payment thereof was duly provided for, whichever occurs later;</w:t>
      </w:r>
    </w:p>
    <w:p>
      <w:pPr>
        <w:spacing w:after="0" w:line="86" w:lineRule="exact"/>
        <w:rPr>
          <w:rFonts w:ascii="Times New Roman" w:cs="Times New Roman" w:eastAsia="Times New Roman" w:hAnsi="Times New Roman"/>
          <w:sz w:val="18"/>
          <w:szCs w:val="18"/>
          <w:color w:val="auto"/>
        </w:rPr>
      </w:pPr>
    </w:p>
    <w:p>
      <w:pPr>
        <w:ind w:left="964" w:right="420" w:hanging="532"/>
        <w:spacing w:after="0" w:line="282" w:lineRule="auto"/>
        <w:tabs>
          <w:tab w:leader="none" w:pos="96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assessment or other governmental charge that is payable otherwise than by deduction or by withholding from a payment on a Note;</w:t>
      </w:r>
    </w:p>
    <w:p>
      <w:pPr>
        <w:spacing w:after="0" w:line="67" w:lineRule="exact"/>
        <w:rPr>
          <w:rFonts w:ascii="Times New Roman" w:cs="Times New Roman" w:eastAsia="Times New Roman" w:hAnsi="Times New Roman"/>
          <w:sz w:val="18"/>
          <w:szCs w:val="18"/>
          <w:color w:val="auto"/>
        </w:rPr>
      </w:pPr>
    </w:p>
    <w:p>
      <w:pPr>
        <w:ind w:left="964" w:right="100" w:hanging="532"/>
        <w:spacing w:after="0" w:line="282" w:lineRule="auto"/>
        <w:tabs>
          <w:tab w:leader="none" w:pos="96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assessment or other governmental charge required to be deducted or withheld by any Paying Agent from any payments on a Note if such payment can be made without such deduction or withholding by any other Paying Agent;</w:t>
      </w:r>
    </w:p>
    <w:p>
      <w:pPr>
        <w:spacing w:after="0" w:line="67" w:lineRule="exact"/>
        <w:rPr>
          <w:rFonts w:ascii="Times New Roman" w:cs="Times New Roman" w:eastAsia="Times New Roman" w:hAnsi="Times New Roman"/>
          <w:sz w:val="18"/>
          <w:szCs w:val="18"/>
          <w:color w:val="auto"/>
        </w:rPr>
      </w:pPr>
    </w:p>
    <w:p>
      <w:pPr>
        <w:ind w:left="964" w:hanging="532"/>
        <w:spacing w:after="0" w:line="261" w:lineRule="auto"/>
        <w:tabs>
          <w:tab w:leader="none" w:pos="96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assessment or other governmental charge that would not have been imposed but for the failure to comply with any applicable certification, information, documentation or other reporting requirement concerning the nationality, residence, identity or connection with the United States of the Noteholder or beneficial owner of a Note if, without regard to any tax treaty, such compliance is required by statute or regulation of the United States as a precondition to relief or exemption from such tax, assessment or other governmental charge;</w:t>
      </w:r>
    </w:p>
    <w:p>
      <w:pPr>
        <w:spacing w:after="0" w:line="85" w:lineRule="exact"/>
        <w:rPr>
          <w:rFonts w:ascii="Times New Roman" w:cs="Times New Roman" w:eastAsia="Times New Roman" w:hAnsi="Times New Roman"/>
          <w:sz w:val="18"/>
          <w:szCs w:val="18"/>
          <w:color w:val="auto"/>
        </w:rPr>
      </w:pPr>
    </w:p>
    <w:p>
      <w:pPr>
        <w:ind w:left="964" w:right="80" w:hanging="532"/>
        <w:spacing w:after="0" w:line="276" w:lineRule="auto"/>
        <w:tabs>
          <w:tab w:leader="none" w:pos="964"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tax, assessment or other governmental charge imposed by reason of the Noteholder (i) owning or having owned, directly or indirectly, actually or constructively, 10% or more of the total combined voting power of all classes of stock of the Company entitled to vote or</w:t>
      </w:r>
    </w:p>
    <w:p>
      <w:pPr>
        <w:ind w:left="964" w:right="200" w:firstLine="8"/>
        <w:spacing w:after="0" w:line="260" w:lineRule="auto"/>
        <w:tabs>
          <w:tab w:leader="none" w:pos="1229"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a controlled foreign corporation with respect to the United States that is related to the Company by actual or constructive stock ownership; or</w:t>
      </w:r>
    </w:p>
    <w:p>
      <w:pPr>
        <w:spacing w:after="0" w:line="86" w:lineRule="exact"/>
        <w:rPr>
          <w:rFonts w:ascii="Times New Roman" w:cs="Times New Roman" w:eastAsia="Times New Roman" w:hAnsi="Times New Roman"/>
          <w:sz w:val="18"/>
          <w:szCs w:val="18"/>
          <w:color w:val="auto"/>
        </w:rPr>
      </w:pPr>
    </w:p>
    <w:p>
      <w:pPr>
        <w:ind w:left="964" w:right="60" w:hanging="532"/>
        <w:spacing w:after="0" w:line="266" w:lineRule="auto"/>
        <w:tabs>
          <w:tab w:leader="none" w:pos="96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assessment or other governmental charge imposed under Section 1471(b) of the Code or otherwise imposed pursuant to Sections 1471 through 1474 of the Code, any regulations or agreements thereunder, official interpretations thereof, or any law implementing an intergovernmental approach thereto,</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4"/>
          </w:cols>
          <w:pgMar w:left="436" w:top="266" w:right="459" w:bottom="1440" w:gutter="0" w:footer="0" w:header="0"/>
        </w:sectPr>
      </w:pPr>
    </w:p>
    <w:bookmarkStart w:id="32" w:name="page33"/>
    <w:bookmarkEnd w:id="32"/>
    <w:p>
      <w:pPr>
        <w:ind w:left="444"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nor shall such Additional Amounts be paid with respect to any payment on a Note to a Noteholder that is a fiduciary or partnership or other than the sole beneficial owner of such payment to the extent a beneficiary or settlor with respect to such fiduciary or a member of such partnership or a beneficial owner would not have been entitled to the Additional Amounts had such beneficiary, settlor, member or beneficial owner been the Noteholder of such Note.</w:t>
      </w:r>
    </w:p>
    <w:p>
      <w:pPr>
        <w:spacing w:after="0" w:line="81" w:lineRule="exact"/>
        <w:rPr>
          <w:sz w:val="20"/>
          <w:szCs w:val="20"/>
          <w:color w:val="auto"/>
        </w:rPr>
      </w:pPr>
    </w:p>
    <w:p>
      <w:pPr>
        <w:ind w:left="424" w:hanging="431"/>
        <w:spacing w:after="0" w:line="259" w:lineRule="auto"/>
        <w:tabs>
          <w:tab w:leader="none" w:pos="404" w:val="left"/>
        </w:tabs>
        <w:rPr>
          <w:sz w:val="20"/>
          <w:szCs w:val="20"/>
          <w:color w:val="auto"/>
        </w:rPr>
      </w:pPr>
      <w:r>
        <w:rPr>
          <w:rFonts w:ascii="Times New Roman" w:cs="Times New Roman" w:eastAsia="Times New Roman" w:hAnsi="Times New Roman"/>
          <w:sz w:val="18"/>
          <w:szCs w:val="18"/>
          <w:color w:val="auto"/>
        </w:rPr>
        <w:t>8.2</w:t>
        <w:tab/>
        <w:t xml:space="preserve">The term </w:t>
      </w:r>
      <w:r>
        <w:rPr>
          <w:rFonts w:ascii="Times New Roman" w:cs="Times New Roman" w:eastAsia="Times New Roman" w:hAnsi="Times New Roman"/>
          <w:sz w:val="18"/>
          <w:szCs w:val="18"/>
          <w:b w:val="1"/>
          <w:bCs w:val="1"/>
          <w:color w:val="auto"/>
        </w:rPr>
        <w:t>United States</w:t>
      </w:r>
      <w:r>
        <w:rPr>
          <w:rFonts w:ascii="Times New Roman" w:cs="Times New Roman" w:eastAsia="Times New Roman" w:hAnsi="Times New Roman"/>
          <w:sz w:val="18"/>
          <w:szCs w:val="18"/>
          <w:color w:val="auto"/>
        </w:rPr>
        <w:t xml:space="preserve"> means the United States of America (including the States and the District of Columbia), its territories, its possessions and other areas subject to its jurisdiction. The term </w:t>
      </w:r>
      <w:r>
        <w:rPr>
          <w:rFonts w:ascii="Times New Roman" w:cs="Times New Roman" w:eastAsia="Times New Roman" w:hAnsi="Times New Roman"/>
          <w:sz w:val="18"/>
          <w:szCs w:val="18"/>
          <w:b w:val="1"/>
          <w:bCs w:val="1"/>
          <w:color w:val="auto"/>
        </w:rPr>
        <w:t>United States Alien</w:t>
      </w:r>
      <w:r>
        <w:rPr>
          <w:rFonts w:ascii="Times New Roman" w:cs="Times New Roman" w:eastAsia="Times New Roman" w:hAnsi="Times New Roman"/>
          <w:sz w:val="18"/>
          <w:szCs w:val="18"/>
          <w:color w:val="auto"/>
        </w:rPr>
        <w:t xml:space="preserve"> means any person who, for United States Federal income tax purposes is a foreign corporation, a non-resident alien individual, a non-resident alien fiduciary of a foreign estate or trust, or a foreign partnership one or more of the members of which is, for United States Federal income tax purposes, a foreign corporation, a non-resident alien individual, or a non-resident alien fiduciary of a foreign estate or trust.</w:t>
      </w:r>
    </w:p>
    <w:p>
      <w:pPr>
        <w:spacing w:after="0" w:line="328" w:lineRule="exact"/>
        <w:rPr>
          <w:sz w:val="20"/>
          <w:szCs w:val="20"/>
          <w:color w:val="auto"/>
        </w:rPr>
      </w:pPr>
    </w:p>
    <w:p>
      <w:pPr>
        <w:ind w:left="424" w:hanging="424"/>
        <w:spacing w:after="0"/>
        <w:tabs>
          <w:tab w:leader="none" w:pos="424"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REDEMPTION</w:t>
      </w:r>
    </w:p>
    <w:p>
      <w:pPr>
        <w:spacing w:after="0" w:line="135" w:lineRule="exact"/>
        <w:rPr>
          <w:sz w:val="20"/>
          <w:szCs w:val="20"/>
          <w:color w:val="auto"/>
        </w:rPr>
      </w:pPr>
    </w:p>
    <w:p>
      <w:pPr>
        <w:ind w:left="424" w:right="24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9.1</w:t>
        <w:tab/>
        <w:t>The Notes will mature at par on December 13, 2030. Except as provided below and in the Fiscal and Paying Agency Agreement, the Notes may not be redeemed prior to maturity.</w:t>
      </w:r>
    </w:p>
    <w:p>
      <w:pPr>
        <w:spacing w:after="0" w:line="67" w:lineRule="exact"/>
        <w:rPr>
          <w:sz w:val="20"/>
          <w:szCs w:val="20"/>
          <w:color w:val="auto"/>
        </w:rPr>
      </w:pPr>
    </w:p>
    <w:p>
      <w:pPr>
        <w:ind w:left="424" w:right="60" w:hanging="431"/>
        <w:spacing w:after="0" w:line="256" w:lineRule="auto"/>
        <w:tabs>
          <w:tab w:leader="none" w:pos="404" w:val="left"/>
        </w:tabs>
        <w:rPr>
          <w:sz w:val="20"/>
          <w:szCs w:val="20"/>
          <w:color w:val="auto"/>
        </w:rPr>
      </w:pPr>
      <w:r>
        <w:rPr>
          <w:rFonts w:ascii="Times New Roman" w:cs="Times New Roman" w:eastAsia="Times New Roman" w:hAnsi="Times New Roman"/>
          <w:sz w:val="18"/>
          <w:szCs w:val="18"/>
          <w:color w:val="auto"/>
        </w:rPr>
        <w:t>9.2</w:t>
        <w:tab/>
        <w:t>The Notes will be redeemable at the Company’s option, in whole or in part, at any time prior to October 13, 2030 (two months prior to the maturity date of the Notes) at a redemption price equal to the greater of (a) 100% of the principal amount of such Notes or (b) as determined by the Quotation Agent (as defined below), the sum of the present values of the remaining scheduled payments of principal and interest thereon up to October 13, 2030 (not including any portion of such payments of interest accrued as of the date of redemption) discounted to the redemption date on an annual basis at the Reference Dealer Rate (as defined below), plus 0.25%, plus in each case, accrued interest thereon to the date of redemption.</w:t>
      </w:r>
    </w:p>
    <w:p>
      <w:pPr>
        <w:spacing w:after="0" w:line="79" w:lineRule="exact"/>
        <w:rPr>
          <w:sz w:val="20"/>
          <w:szCs w:val="20"/>
          <w:color w:val="auto"/>
        </w:rPr>
      </w:pPr>
    </w:p>
    <w:p>
      <w:pPr>
        <w:ind w:left="444" w:right="60"/>
        <w:spacing w:after="0" w:line="266" w:lineRule="auto"/>
        <w:rPr>
          <w:sz w:val="20"/>
          <w:szCs w:val="20"/>
          <w:color w:val="auto"/>
        </w:rPr>
      </w:pPr>
      <w:r>
        <w:rPr>
          <w:rFonts w:ascii="Times New Roman" w:cs="Times New Roman" w:eastAsia="Times New Roman" w:hAnsi="Times New Roman"/>
          <w:sz w:val="18"/>
          <w:szCs w:val="18"/>
          <w:color w:val="auto"/>
        </w:rPr>
        <w:t>In addition, the Notes will be redeemable at the Company’s option, in whole or in part, at any time on or after October 13, 2030 (two months prior to the maturity date of the Notes) at a redemption price equal to 100% of the principal amount of such Notes, plus accrued and unpaid interest thereon at the date of redemption.</w:t>
      </w:r>
    </w:p>
    <w:p>
      <w:pPr>
        <w:spacing w:after="0" w:line="6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Business day </w:t>
      </w:r>
      <w:r>
        <w:rPr>
          <w:rFonts w:ascii="Times New Roman" w:cs="Times New Roman" w:eastAsia="Times New Roman" w:hAnsi="Times New Roman"/>
          <w:sz w:val="18"/>
          <w:szCs w:val="18"/>
          <w:color w:val="auto"/>
        </w:rPr>
        <w:t>means, in relation to any place, a day on which commercial banks and foreign exchange markets settle payments in that place.</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Quotation Agent </w:t>
      </w:r>
      <w:r>
        <w:rPr>
          <w:rFonts w:ascii="Times New Roman" w:cs="Times New Roman" w:eastAsia="Times New Roman" w:hAnsi="Times New Roman"/>
          <w:sz w:val="18"/>
          <w:szCs w:val="18"/>
          <w:color w:val="auto"/>
        </w:rPr>
        <w:t>means such Reference Dealer as selected by the Issuer at the relevant time.</w:t>
      </w:r>
    </w:p>
    <w:p>
      <w:pPr>
        <w:spacing w:after="0" w:line="117" w:lineRule="exact"/>
        <w:rPr>
          <w:sz w:val="20"/>
          <w:szCs w:val="20"/>
          <w:color w:val="auto"/>
        </w:rPr>
      </w:pPr>
    </w:p>
    <w:p>
      <w:pPr>
        <w:ind w:left="444" w:right="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Reference Dealer </w:t>
      </w:r>
      <w:r>
        <w:rPr>
          <w:rFonts w:ascii="Times New Roman" w:cs="Times New Roman" w:eastAsia="Times New Roman" w:hAnsi="Times New Roman"/>
          <w:sz w:val="18"/>
          <w:szCs w:val="18"/>
          <w:color w:val="auto"/>
        </w:rPr>
        <w:t>means each of BNP PARIBAS, Citigroup Global Markets Limited, Goldman Sachs International and J.P. Morgan Securities plc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and/or their respective successors.</w:t>
      </w:r>
    </w:p>
    <w:p>
      <w:pPr>
        <w:spacing w:after="0" w:line="47" w:lineRule="exact"/>
        <w:rPr>
          <w:sz w:val="20"/>
          <w:szCs w:val="20"/>
          <w:color w:val="auto"/>
        </w:rPr>
      </w:pPr>
    </w:p>
    <w:p>
      <w:pPr>
        <w:ind w:left="444" w:right="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Reference Dealer Rate </w:t>
      </w:r>
      <w:r>
        <w:rPr>
          <w:rFonts w:ascii="Times New Roman" w:cs="Times New Roman" w:eastAsia="Times New Roman" w:hAnsi="Times New Roman"/>
          <w:sz w:val="18"/>
          <w:szCs w:val="18"/>
          <w:color w:val="auto"/>
        </w:rPr>
        <w:t>means, with respect to any redemption date, the average of the four quotations of the average midmarket annual yield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maturity on an Actual/Actual (ICMA) basis of the DBR 2.400% due 15 November 2030 (ISIN: DE000BU27006) or, if that security is no longer outstanding, a similar government security selected in the reasonable judgment of each Reference Dealer as having an actual or interpolated maturity comparable with the remaining term of the Notes, that would be utilised, at the time of selection and in accordance with customary financial practice, in pricing new issues of corporate debt securities denominated in euros, at 11.00 a.m. (London time) on the third business day in London preceding such redemption date quoted in writing to the Quotation Agent by the Reference Dealers.</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24"/>
          </w:cols>
          <w:pgMar w:left="436" w:top="270" w:right="439" w:bottom="1440" w:gutter="0" w:footer="0" w:header="0"/>
        </w:sectPr>
      </w:pPr>
    </w:p>
    <w:bookmarkStart w:id="33" w:name="page34"/>
    <w:bookmarkEnd w:id="33"/>
    <w:p>
      <w:pPr>
        <w:ind w:left="420" w:right="60" w:hanging="431"/>
        <w:spacing w:after="0" w:line="258" w:lineRule="auto"/>
        <w:tabs>
          <w:tab w:leader="none" w:pos="4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9.3</w:t>
        <w:tab/>
        <w:t>Notice of any redemption will be given to the Noteholders at least 10 days but not more than 60 days before the redemption date. Any such notice of redemption may, at the Company’s discretion, be subject to one or more conditions precedent, in which case such notice shall state that, in the Company’s discretion, the redemption date may be delayed until such time as any or all such conditions shall be satisfied (or waived by the Company in its sole discretion), or such redemption may not occur and such notice may be rescinded in the event that any or all such conditions shall not have been satisfied (or waived by the Company in its sole discretion) by the redemption date, or by the redemption date so delayed.</w:t>
      </w:r>
    </w:p>
    <w:p>
      <w:pPr>
        <w:spacing w:after="0" w:line="89" w:lineRule="exact"/>
        <w:rPr>
          <w:sz w:val="20"/>
          <w:szCs w:val="20"/>
          <w:color w:val="auto"/>
        </w:rPr>
      </w:pPr>
    </w:p>
    <w:p>
      <w:pPr>
        <w:ind w:left="420" w:right="420" w:hanging="431"/>
        <w:spacing w:after="0" w:line="282" w:lineRule="auto"/>
        <w:tabs>
          <w:tab w:leader="none" w:pos="400" w:val="left"/>
        </w:tabs>
        <w:rPr>
          <w:sz w:val="20"/>
          <w:szCs w:val="20"/>
          <w:color w:val="auto"/>
        </w:rPr>
      </w:pPr>
      <w:r>
        <w:rPr>
          <w:rFonts w:ascii="Times New Roman" w:cs="Times New Roman" w:eastAsia="Times New Roman" w:hAnsi="Times New Roman"/>
          <w:sz w:val="18"/>
          <w:szCs w:val="18"/>
          <w:color w:val="auto"/>
        </w:rPr>
        <w:t>9.4</w:t>
        <w:tab/>
        <w:t>Unless the Company defaults in payment of the redemption price, on and after the redemption date, interest will cease to accrue on the Notes called for redemption.</w:t>
      </w:r>
    </w:p>
    <w:p>
      <w:pPr>
        <w:spacing w:after="0" w:line="67" w:lineRule="exact"/>
        <w:rPr>
          <w:sz w:val="20"/>
          <w:szCs w:val="20"/>
          <w:color w:val="auto"/>
        </w:rPr>
      </w:pPr>
    </w:p>
    <w:p>
      <w:pPr>
        <w:ind w:left="420" w:hanging="431"/>
        <w:spacing w:after="0" w:line="267" w:lineRule="auto"/>
        <w:tabs>
          <w:tab w:leader="none" w:pos="400" w:val="left"/>
        </w:tabs>
        <w:rPr>
          <w:sz w:val="20"/>
          <w:szCs w:val="20"/>
          <w:color w:val="auto"/>
        </w:rPr>
      </w:pPr>
      <w:r>
        <w:rPr>
          <w:rFonts w:ascii="Times New Roman" w:cs="Times New Roman" w:eastAsia="Times New Roman" w:hAnsi="Times New Roman"/>
          <w:sz w:val="18"/>
          <w:szCs w:val="18"/>
          <w:color w:val="auto"/>
        </w:rPr>
        <w:t>9.5</w:t>
      </w:r>
      <w:r>
        <w:rPr>
          <w:sz w:val="20"/>
          <w:szCs w:val="20"/>
          <w:color w:val="auto"/>
        </w:rPr>
        <w:tab/>
      </w:r>
      <w:r>
        <w:rPr>
          <w:rFonts w:ascii="Times New Roman" w:cs="Times New Roman" w:eastAsia="Times New Roman" w:hAnsi="Times New Roman"/>
          <w:sz w:val="17"/>
          <w:szCs w:val="17"/>
          <w:color w:val="auto"/>
        </w:rPr>
        <w:t xml:space="preserve">If, in the written opinion of independent counsel chosen by the Company, there is a substantial probability that the Company has or will become obligated to pay additional interest on the Notes as described under </w:t>
      </w:r>
      <w:r>
        <w:rPr>
          <w:rFonts w:ascii="Times New Roman" w:cs="Times New Roman" w:eastAsia="Times New Roman" w:hAnsi="Times New Roman"/>
          <w:sz w:val="17"/>
          <w:szCs w:val="17"/>
          <w:b w:val="1"/>
          <w:bCs w:val="1"/>
          <w:color w:val="auto"/>
        </w:rPr>
        <w:t>Additional Amounts</w:t>
      </w:r>
      <w:r>
        <w:rPr>
          <w:rFonts w:ascii="Times New Roman" w:cs="Times New Roman" w:eastAsia="Times New Roman" w:hAnsi="Times New Roman"/>
          <w:sz w:val="17"/>
          <w:szCs w:val="17"/>
          <w:color w:val="auto"/>
        </w:rPr>
        <w:t xml:space="preserve"> above, as a result of any Trigger Event (as defined below) occurring on or after the Issue Date, then the Company may, at its option, upon not less than 30 nor more than 60 days’ prior notice to the Noteholders for the time being of the Notes redeem the Notes in whole, but not in part, at a redemption price equal to 100% of the principal amount thereof plus accrued interest, if any, to the date fixed for redemption, provided that no such notice of redemption shall be given earlier than 90 days prior to the earliest date on which the Company would be obligated to pay such additional interest were a payment in respect of the Notes due on such date and, at the time such notification of redemption is given, such obligation to pay such additional interest remains in effect. Prior to the publication of any notice of redemption pursuant to this paragraph, the Company shall deliver to the Fiscal Agent (i) a certificate stating that the Company is entitled to effect such redemption and that the conditions precedent to the right of the Company to so redeem have occurred and</w:t>
      </w:r>
    </w:p>
    <w:p>
      <w:pPr>
        <w:spacing w:after="0" w:line="5" w:lineRule="exact"/>
        <w:rPr>
          <w:sz w:val="20"/>
          <w:szCs w:val="20"/>
          <w:color w:val="auto"/>
        </w:rPr>
      </w:pPr>
    </w:p>
    <w:p>
      <w:pPr>
        <w:ind w:left="420" w:right="360" w:firstLine="8"/>
        <w:spacing w:after="0" w:line="260" w:lineRule="auto"/>
        <w:tabs>
          <w:tab w:leader="none" w:pos="68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independent counsel chosen by the Company to the effect that there is a substantial probability that the Company has or will become obligated to pay additional interest on the Notes.</w:t>
      </w:r>
    </w:p>
    <w:p>
      <w:pPr>
        <w:spacing w:after="0" w:line="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Trigger Event </w:t>
      </w:r>
      <w:r>
        <w:rPr>
          <w:rFonts w:ascii="Times New Roman" w:cs="Times New Roman" w:eastAsia="Times New Roman" w:hAnsi="Times New Roman"/>
          <w:sz w:val="18"/>
          <w:szCs w:val="18"/>
          <w:color w:val="auto"/>
        </w:rPr>
        <w:t>means any of the following events:</w:t>
      </w:r>
    </w:p>
    <w:p>
      <w:pPr>
        <w:spacing w:after="0" w:line="135" w:lineRule="exact"/>
        <w:rPr>
          <w:sz w:val="20"/>
          <w:szCs w:val="20"/>
          <w:color w:val="auto"/>
        </w:rPr>
      </w:pPr>
    </w:p>
    <w:p>
      <w:pPr>
        <w:ind w:left="960" w:right="20" w:hanging="532"/>
        <w:spacing w:after="0" w:line="266" w:lineRule="auto"/>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or amendment to, the laws (or any regulations or rulings promulgated thereunder) of the United States or any political subdivision or taxing authority thereof or therein, or any change in official position regarding the application or interpretation of such laws, regulations or rulings,</w:t>
      </w:r>
    </w:p>
    <w:p>
      <w:pPr>
        <w:spacing w:after="0" w:line="81" w:lineRule="exact"/>
        <w:rPr>
          <w:rFonts w:ascii="Times New Roman" w:cs="Times New Roman" w:eastAsia="Times New Roman" w:hAnsi="Times New Roman"/>
          <w:sz w:val="18"/>
          <w:szCs w:val="18"/>
          <w:color w:val="auto"/>
        </w:rPr>
      </w:pPr>
    </w:p>
    <w:p>
      <w:pPr>
        <w:ind w:left="960" w:right="60" w:hanging="532"/>
        <w:spacing w:after="0" w:line="282" w:lineRule="auto"/>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taken by a taxing authority of the United States or any political subdivision thereof or therein affecting taxation, which action is generally applied or is taken with respect to the Company,</w:t>
      </w:r>
    </w:p>
    <w:p>
      <w:pPr>
        <w:spacing w:after="0" w:line="67" w:lineRule="exact"/>
        <w:rPr>
          <w:rFonts w:ascii="Times New Roman" w:cs="Times New Roman" w:eastAsia="Times New Roman" w:hAnsi="Times New Roman"/>
          <w:sz w:val="18"/>
          <w:szCs w:val="18"/>
          <w:color w:val="auto"/>
        </w:rPr>
      </w:pPr>
    </w:p>
    <w:p>
      <w:pPr>
        <w:ind w:left="960" w:right="120" w:hanging="532"/>
        <w:spacing w:after="0" w:line="282" w:lineRule="auto"/>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decision rendered by a court of competent jurisdiction in the United States or any political subdivision thereof or therein, whether or not such decision was rendered with respect to the Company,</w:t>
      </w:r>
    </w:p>
    <w:p>
      <w:pPr>
        <w:spacing w:after="0" w:line="67" w:lineRule="exact"/>
        <w:rPr>
          <w:rFonts w:ascii="Times New Roman" w:cs="Times New Roman" w:eastAsia="Times New Roman" w:hAnsi="Times New Roman"/>
          <w:sz w:val="18"/>
          <w:szCs w:val="18"/>
          <w:color w:val="auto"/>
        </w:rPr>
      </w:pPr>
    </w:p>
    <w:p>
      <w:pPr>
        <w:ind w:left="960" w:right="360" w:hanging="532"/>
        <w:spacing w:after="0" w:line="282" w:lineRule="auto"/>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private letter ruling or technical advice memorandum issued by the National Office of the United States Internal Revenue Service on substantially the same facts as those affecting the Company, or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34" w:name="page35"/>
    <w:bookmarkEnd w:id="34"/>
    <w:p>
      <w:pPr>
        <w:ind w:left="964" w:right="20" w:hanging="532"/>
        <w:spacing w:after="0" w:line="266" w:lineRule="auto"/>
        <w:tabs>
          <w:tab w:leader="none" w:pos="96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change, amendment, application, interpretation or execution of the laws of the United States (or any regulations or rulings promulgated thereunder) shall have been officially proposed, and the Company determines that such obligation cannot be avoided by the use of reasonable measures then available to the Company.</w:t>
      </w:r>
    </w:p>
    <w:p>
      <w:pPr>
        <w:spacing w:after="0" w:line="81" w:lineRule="exact"/>
        <w:rPr>
          <w:sz w:val="20"/>
          <w:szCs w:val="20"/>
          <w:color w:val="auto"/>
        </w:rPr>
      </w:pPr>
    </w:p>
    <w:p>
      <w:pPr>
        <w:ind w:left="424" w:right="20" w:hanging="431"/>
        <w:spacing w:after="0" w:line="258" w:lineRule="auto"/>
        <w:tabs>
          <w:tab w:leader="none" w:pos="404" w:val="left"/>
        </w:tabs>
        <w:rPr>
          <w:sz w:val="20"/>
          <w:szCs w:val="20"/>
          <w:color w:val="auto"/>
        </w:rPr>
      </w:pPr>
      <w:r>
        <w:rPr>
          <w:rFonts w:ascii="Times New Roman" w:cs="Times New Roman" w:eastAsia="Times New Roman" w:hAnsi="Times New Roman"/>
          <w:sz w:val="18"/>
          <w:szCs w:val="18"/>
          <w:color w:val="auto"/>
        </w:rPr>
        <w:t>9.6</w:t>
        <w:tab/>
        <w:t>Notice of redemption of the Notes shall be given not less than 30 or more than 60 days prior to the date fixed for redemption, all as provided in the Fiscal and Paying Agency Agreement. Notice having been given, the Notes shall (except as otherwise provided in Clause 9.5 above) become due and payable on the date fixed for redemption and (upon presentation and surrender thereof) will be paid at the redemption price, together with Additional Amounts, if any, and accrued interest to the date fixed for redemption at the place or places of payment and in the manner specified herein.</w:t>
      </w:r>
    </w:p>
    <w:p>
      <w:pPr>
        <w:spacing w:after="0" w:line="89" w:lineRule="exact"/>
        <w:rPr>
          <w:sz w:val="20"/>
          <w:szCs w:val="20"/>
          <w:color w:val="auto"/>
        </w:rPr>
      </w:pPr>
    </w:p>
    <w:p>
      <w:pPr>
        <w:ind w:left="424" w:right="40" w:hanging="431"/>
        <w:spacing w:after="0" w:line="258" w:lineRule="auto"/>
        <w:tabs>
          <w:tab w:leader="none" w:pos="404" w:val="left"/>
        </w:tabs>
        <w:rPr>
          <w:sz w:val="20"/>
          <w:szCs w:val="20"/>
          <w:color w:val="auto"/>
        </w:rPr>
      </w:pPr>
      <w:r>
        <w:rPr>
          <w:rFonts w:ascii="Times New Roman" w:cs="Times New Roman" w:eastAsia="Times New Roman" w:hAnsi="Times New Roman"/>
          <w:sz w:val="18"/>
          <w:szCs w:val="18"/>
          <w:color w:val="auto"/>
        </w:rPr>
        <w:t>9.7</w:t>
        <w:tab/>
        <w:t>The Company may at any time purchase Notes in the open market or otherwise at any price. Any purchase by tender offer shall be made available to all Noteholders alike. The Notes so purchased, while held by or on behalf of the Company, shall not entitle the Noteholder to vote at any meetings of the Noteholders or by way of electronic consents given through the relevant clearing systems as envisaged by schedule 2 and shall not be deemed to be outstanding for the purposes of calculating quorums at meetings of the Noteholders or for the purposes of the provisions of Clause 14 below.</w:t>
      </w:r>
    </w:p>
    <w:p>
      <w:pPr>
        <w:spacing w:after="0" w:line="89" w:lineRule="exact"/>
        <w:rPr>
          <w:sz w:val="20"/>
          <w:szCs w:val="20"/>
          <w:color w:val="auto"/>
        </w:rPr>
      </w:pPr>
    </w:p>
    <w:p>
      <w:pPr>
        <w:ind w:left="424" w:right="4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9.8</w:t>
        <w:tab/>
        <w:t>All Notes redeemed or purchased by the Company (other than any Notes purchased in the ordinary course of business of dealing in securities) will be canceled and may not be re-issued or resold.</w:t>
      </w:r>
    </w:p>
    <w:p>
      <w:pPr>
        <w:spacing w:after="0" w:line="306" w:lineRule="exact"/>
        <w:rPr>
          <w:sz w:val="20"/>
          <w:szCs w:val="20"/>
          <w:color w:val="auto"/>
        </w:rPr>
      </w:pPr>
    </w:p>
    <w:p>
      <w:pPr>
        <w:ind w:left="424" w:hanging="424"/>
        <w:spacing w:after="0"/>
        <w:tabs>
          <w:tab w:leader="none" w:pos="424"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EVENTS OF DEFAULT</w:t>
      </w:r>
    </w:p>
    <w:p>
      <w:pPr>
        <w:spacing w:after="0" w:line="131" w:lineRule="exact"/>
        <w:rPr>
          <w:sz w:val="20"/>
          <w:szCs w:val="20"/>
          <w:color w:val="auto"/>
        </w:rPr>
      </w:pPr>
    </w:p>
    <w:p>
      <w:pPr>
        <w:ind w:left="424" w:right="500" w:hanging="431"/>
        <w:spacing w:after="0" w:line="286" w:lineRule="auto"/>
        <w:rPr>
          <w:sz w:val="20"/>
          <w:szCs w:val="20"/>
          <w:color w:val="auto"/>
        </w:rPr>
      </w:pPr>
      <w:r>
        <w:rPr>
          <w:rFonts w:ascii="Times New Roman" w:cs="Times New Roman" w:eastAsia="Times New Roman" w:hAnsi="Times New Roman"/>
          <w:sz w:val="18"/>
          <w:szCs w:val="18"/>
          <w:color w:val="auto"/>
        </w:rPr>
        <w:t xml:space="preserve">10.1 The occurrence of any of the following events shall constitute an event of default (herein referred to as an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hereunder with respect to the Notes:</w:t>
      </w:r>
    </w:p>
    <w:p>
      <w:pPr>
        <w:spacing w:after="0" w:line="64" w:lineRule="exact"/>
        <w:rPr>
          <w:sz w:val="20"/>
          <w:szCs w:val="20"/>
          <w:color w:val="auto"/>
        </w:rPr>
      </w:pPr>
    </w:p>
    <w:p>
      <w:pPr>
        <w:ind w:left="964" w:hanging="532"/>
        <w:spacing w:after="0"/>
        <w:tabs>
          <w:tab w:leader="none" w:pos="96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due and punctual payment of the principal of any Note as and when the same shall become due and payable; or</w:t>
      </w:r>
    </w:p>
    <w:p>
      <w:pPr>
        <w:spacing w:after="0" w:line="130" w:lineRule="exact"/>
        <w:rPr>
          <w:rFonts w:ascii="Times New Roman" w:cs="Times New Roman" w:eastAsia="Times New Roman" w:hAnsi="Times New Roman"/>
          <w:sz w:val="18"/>
          <w:szCs w:val="18"/>
          <w:color w:val="auto"/>
        </w:rPr>
      </w:pPr>
    </w:p>
    <w:p>
      <w:pPr>
        <w:ind w:left="964" w:hanging="532"/>
        <w:spacing w:after="0" w:line="282" w:lineRule="auto"/>
        <w:tabs>
          <w:tab w:leader="none" w:pos="96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or any Additional Amounts as and when the same shall become due and payable, which continues for a period of 30 days; or</w:t>
      </w:r>
    </w:p>
    <w:p>
      <w:pPr>
        <w:spacing w:after="0" w:line="67" w:lineRule="exact"/>
        <w:rPr>
          <w:rFonts w:ascii="Times New Roman" w:cs="Times New Roman" w:eastAsia="Times New Roman" w:hAnsi="Times New Roman"/>
          <w:sz w:val="18"/>
          <w:szCs w:val="18"/>
          <w:color w:val="auto"/>
        </w:rPr>
      </w:pPr>
    </w:p>
    <w:p>
      <w:pPr>
        <w:ind w:left="964" w:right="80" w:hanging="532"/>
        <w:spacing w:after="0" w:line="258" w:lineRule="auto"/>
        <w:tabs>
          <w:tab w:leader="none" w:pos="96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on the part of the Company in the performance or observation of any other term, covenant or agreement on its part in the Notes or in the Fiscal and Paying Agency Agreement, which continues for a period of 30 days after the date on which written notice, by registered or certified mail, of such failure requiring the Company to remedy the same shall have been received by the Company from the Noteholders of at least 25% in aggregate principal amount of the Notes then outstanding, specifying such failure and requiring the same to be remedied and stating that such is a “notice of default” hereunder; or</w:t>
      </w:r>
    </w:p>
    <w:p>
      <w:pPr>
        <w:spacing w:after="0" w:line="88" w:lineRule="exact"/>
        <w:rPr>
          <w:rFonts w:ascii="Times New Roman" w:cs="Times New Roman" w:eastAsia="Times New Roman" w:hAnsi="Times New Roman"/>
          <w:sz w:val="18"/>
          <w:szCs w:val="18"/>
          <w:color w:val="auto"/>
        </w:rPr>
      </w:pPr>
    </w:p>
    <w:p>
      <w:pPr>
        <w:ind w:left="964" w:right="200" w:hanging="532"/>
        <w:spacing w:after="0" w:line="266" w:lineRule="auto"/>
        <w:tabs>
          <w:tab w:leader="none" w:pos="96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fails to fulfill within 30 days from its due date, as extended by any applicable grace or cure period, any payment obligation under any existing Debt (as defined in Clause 11 below) except if the aggregate amount of all such Debt would not exceed 10% of Consolidated Net Assets (as defined in Clause 11 below) of the Company; or</w:t>
      </w:r>
    </w:p>
    <w:p>
      <w:pPr>
        <w:spacing w:after="0" w:line="81" w:lineRule="exact"/>
        <w:rPr>
          <w:rFonts w:ascii="Times New Roman" w:cs="Times New Roman" w:eastAsia="Times New Roman" w:hAnsi="Times New Roman"/>
          <w:sz w:val="18"/>
          <w:szCs w:val="18"/>
          <w:color w:val="auto"/>
        </w:rPr>
      </w:pPr>
    </w:p>
    <w:p>
      <w:pPr>
        <w:ind w:left="964" w:right="60" w:hanging="532"/>
        <w:spacing w:after="0" w:line="261" w:lineRule="auto"/>
        <w:tabs>
          <w:tab w:leader="none" w:pos="96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decree or order of a court or agency or supervisory authority having jurisdiction in the premises for the appointment of a conservator or receiver or liquidator in any insolvency proceedings, readjustment of debt, marshaling of assets and liabilities or similar proceedings of the Company or of all or substantially all of its property, or for the winding-up or liquidation of its affairs, shall have been entered, and such decree or order shall have remained in force undischarged or unstayed for a period of 60 days; or</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24"/>
          </w:cols>
          <w:pgMar w:left="436" w:top="270" w:right="439" w:bottom="1440" w:gutter="0" w:footer="0" w:header="0"/>
        </w:sectPr>
      </w:pPr>
    </w:p>
    <w:bookmarkStart w:id="35" w:name="page36"/>
    <w:bookmarkEnd w:id="35"/>
    <w:p>
      <w:pPr>
        <w:ind w:left="964" w:right="200" w:hanging="532"/>
        <w:spacing w:after="0" w:line="282" w:lineRule="auto"/>
        <w:tabs>
          <w:tab w:leader="none" w:pos="96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shall have consented to the appointment of a conservator or receiver or liquidator, in any insolvency, readjustment of debt, marshaling of assets and liabilities or similar proceedings of the Company or of all or substantially all of its property; or</w:t>
      </w:r>
    </w:p>
    <w:p>
      <w:pPr>
        <w:spacing w:after="0" w:line="67" w:lineRule="exact"/>
        <w:rPr>
          <w:rFonts w:ascii="Times New Roman" w:cs="Times New Roman" w:eastAsia="Times New Roman" w:hAnsi="Times New Roman"/>
          <w:sz w:val="18"/>
          <w:szCs w:val="18"/>
          <w:color w:val="auto"/>
        </w:rPr>
      </w:pPr>
    </w:p>
    <w:p>
      <w:pPr>
        <w:ind w:left="964" w:right="240" w:hanging="532"/>
        <w:spacing w:after="0" w:line="282" w:lineRule="auto"/>
        <w:tabs>
          <w:tab w:leader="none" w:pos="96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filed a petition to take advantage of any applicable insolvency or reorganization statute or voluntarily generally suspended payment of its obligations; or</w:t>
      </w:r>
    </w:p>
    <w:p>
      <w:pPr>
        <w:spacing w:after="0" w:line="67" w:lineRule="exact"/>
        <w:rPr>
          <w:rFonts w:ascii="Times New Roman" w:cs="Times New Roman" w:eastAsia="Times New Roman" w:hAnsi="Times New Roman"/>
          <w:sz w:val="18"/>
          <w:szCs w:val="18"/>
          <w:color w:val="auto"/>
        </w:rPr>
      </w:pPr>
    </w:p>
    <w:p>
      <w:pPr>
        <w:ind w:left="964" w:right="220" w:hanging="532"/>
        <w:spacing w:after="0" w:line="282" w:lineRule="auto"/>
        <w:tabs>
          <w:tab w:leader="none" w:pos="96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provide a notice to Noteholders in the event of a Change in Control Triggering Event or failure to make the Change of Control Payment.</w:t>
      </w:r>
    </w:p>
    <w:p>
      <w:pPr>
        <w:spacing w:after="0" w:line="67" w:lineRule="exact"/>
        <w:rPr>
          <w:sz w:val="20"/>
          <w:szCs w:val="20"/>
          <w:color w:val="auto"/>
        </w:rPr>
      </w:pPr>
    </w:p>
    <w:p>
      <w:pPr>
        <w:ind w:left="424" w:right="20" w:hanging="431"/>
        <w:spacing w:after="0" w:line="253" w:lineRule="auto"/>
        <w:rPr>
          <w:sz w:val="20"/>
          <w:szCs w:val="20"/>
          <w:color w:val="auto"/>
        </w:rPr>
      </w:pPr>
      <w:r>
        <w:rPr>
          <w:rFonts w:ascii="Times New Roman" w:cs="Times New Roman" w:eastAsia="Times New Roman" w:hAnsi="Times New Roman"/>
          <w:sz w:val="18"/>
          <w:szCs w:val="18"/>
          <w:color w:val="auto"/>
        </w:rPr>
        <w:t>10.2 In case one or more of the Events of Default specified above shall have occurred and be continuing with respect to the Notes, any Noteholder, by written notice to the Company and the Fiscal Agent, may identify the applicable Event or Events of Default, declare the principal of its Note or Notes, together with accrued interest and additional amounts, if any, to be due and payable immediately, whereupon such amounts shall become due and payable immediately, unless prior to the receipt of such notice by the Company all such Events of Default have been cured. In case a Noteholder shall have proceeded to enforce any right as set forth herein and such proceedings shall have been discontinued or abandoned for any reason or shall have been determined adversely to such Noteholder, then and in every such case the Company and such Noteholder shall be restored to their respective several positions and rights hereunder, and all rights, remedies and powers of the Company and such Noteholder shall continue as though no such proceeding had been taken. Upon any such declaration being made, interest shall continue to accrue on the Note or Notes affected by such declaration until the Notes shall be paid in full or until the seventh day after the date upon which notice is duly given to the applicable Noteholders in accordance with the provisions of Clause 17 below that the principal amount of such Notes together with accrued interest and additional amounts thereon have been duly paid in full to the Fiscal Agent (provided that sufficient funds have actually been received and are available for such purpose), whichever is earlier.</w:t>
      </w:r>
    </w:p>
    <w:p>
      <w:pPr>
        <w:spacing w:after="0" w:line="95" w:lineRule="exact"/>
        <w:rPr>
          <w:sz w:val="20"/>
          <w:szCs w:val="20"/>
          <w:color w:val="auto"/>
        </w:rPr>
      </w:pPr>
    </w:p>
    <w:p>
      <w:pPr>
        <w:ind w:left="424" w:hanging="431"/>
        <w:spacing w:after="0" w:line="261" w:lineRule="auto"/>
        <w:rPr>
          <w:sz w:val="20"/>
          <w:szCs w:val="20"/>
          <w:color w:val="auto"/>
        </w:rPr>
      </w:pPr>
      <w:r>
        <w:rPr>
          <w:rFonts w:ascii="Times New Roman" w:cs="Times New Roman" w:eastAsia="Times New Roman" w:hAnsi="Times New Roman"/>
          <w:sz w:val="18"/>
          <w:szCs w:val="18"/>
          <w:color w:val="auto"/>
        </w:rPr>
        <w:t>10.3 The Noteholder of this Note shall be entitled to file such proof of claim, amendment of proof of claim, claim, petition or other document as may be necessary or advisable in order to have the claims of such Noteholder allowed in any insolvency proceedings, receivership, conservatorship, reorganization, readjustment of debt, marshaling of assets and liabilities, liquidation, winding-up or other similar proceedings of the Company as a whole or affecting its property.</w:t>
      </w:r>
    </w:p>
    <w:p>
      <w:pPr>
        <w:spacing w:after="0" w:line="324" w:lineRule="exact"/>
        <w:rPr>
          <w:sz w:val="20"/>
          <w:szCs w:val="20"/>
          <w:color w:val="auto"/>
        </w:rPr>
      </w:pPr>
    </w:p>
    <w:p>
      <w:pPr>
        <w:ind w:left="424" w:hanging="424"/>
        <w:spacing w:after="0"/>
        <w:tabs>
          <w:tab w:leader="none" w:pos="424"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COVENANTS OF THE COMPANY</w:t>
      </w:r>
    </w:p>
    <w:p>
      <w:pPr>
        <w:spacing w:after="0" w:line="135" w:lineRule="exact"/>
        <w:rPr>
          <w:sz w:val="20"/>
          <w:szCs w:val="20"/>
          <w:color w:val="auto"/>
        </w:rPr>
      </w:pPr>
    </w:p>
    <w:p>
      <w:pPr>
        <w:ind w:left="424" w:hanging="431"/>
        <w:spacing w:after="0" w:line="254" w:lineRule="auto"/>
        <w:rPr>
          <w:sz w:val="20"/>
          <w:szCs w:val="20"/>
          <w:color w:val="auto"/>
        </w:rPr>
      </w:pPr>
      <w:r>
        <w:rPr>
          <w:rFonts w:ascii="Times New Roman" w:cs="Times New Roman" w:eastAsia="Times New Roman" w:hAnsi="Times New Roman"/>
          <w:sz w:val="18"/>
          <w:szCs w:val="18"/>
          <w:color w:val="auto"/>
        </w:rPr>
        <w:t>11.1 Except as permitted under the Amended and Restated Five-Year Credit Agreement dated as of May 27, 2022, among the Company, as Borrower, and the initial lenders therein and JPMorgan Chase Bank, N.A., as Administrative Agent, as may be further amended, restated, modified, renewed, refunded, replaced or refinanced in whole or in part, on an unsecured basis, from time to time, the Company will not pledge, mortgage, encumber or otherwise grant, or permit any of its Subsidiaries to pledge, mortgage, encumber or otherwise grant, a security interest in any properties or assets owned by the Company or any of its Subsidiaries to secure Debt without securing the Notes equally and ratably with all Debt secured by such security interest, unless, after giving effect thereto, the aggregate amount of all such other Debt would not exceed 10% of Consolidated Net Assets of the Company (</w:t>
      </w:r>
      <w:r>
        <w:rPr>
          <w:rFonts w:ascii="Times New Roman" w:cs="Times New Roman" w:eastAsia="Times New Roman" w:hAnsi="Times New Roman"/>
          <w:sz w:val="18"/>
          <w:szCs w:val="18"/>
          <w:b w:val="1"/>
          <w:bCs w:val="1"/>
          <w:color w:val="auto"/>
        </w:rPr>
        <w:t>Excluded Debt</w:t>
      </w:r>
      <w:r>
        <w:rPr>
          <w:rFonts w:ascii="Times New Roman" w:cs="Times New Roman" w:eastAsia="Times New Roman" w:hAnsi="Times New Roman"/>
          <w:sz w:val="18"/>
          <w:szCs w:val="18"/>
          <w:color w:val="auto"/>
        </w:rPr>
        <w:t xml:space="preserve">). The term </w:t>
      </w:r>
      <w:r>
        <w:rPr>
          <w:rFonts w:ascii="Times New Roman" w:cs="Times New Roman" w:eastAsia="Times New Roman" w:hAnsi="Times New Roman"/>
          <w:sz w:val="18"/>
          <w:szCs w:val="18"/>
          <w:b w:val="1"/>
          <w:bCs w:val="1"/>
          <w:color w:val="auto"/>
        </w:rPr>
        <w:t>Debt</w:t>
      </w:r>
      <w:r>
        <w:rPr>
          <w:rFonts w:ascii="Times New Roman" w:cs="Times New Roman" w:eastAsia="Times New Roman" w:hAnsi="Times New Roman"/>
          <w:sz w:val="18"/>
          <w:szCs w:val="18"/>
          <w:color w:val="auto"/>
        </w:rPr>
        <w:t xml:space="preserve"> means indebtedness for money borrowed or evidenced by bonds, notes, debentures or other debt securities and which is reflected as a liability on the consolidated balance sheet, at the date of issuance, of the Company and its Subsidiaries in accordance with generally accepted accounting</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84"/>
          </w:cols>
          <w:pgMar w:left="436" w:top="270" w:right="479" w:bottom="1440" w:gutter="0" w:footer="0" w:header="0"/>
        </w:sectPr>
      </w:pPr>
    </w:p>
    <w:bookmarkStart w:id="36" w:name="page37"/>
    <w:bookmarkEnd w:id="36"/>
    <w:p>
      <w:pPr>
        <w:ind w:left="424" w:right="18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principles as in effect in the United States on the date hereof. The term </w:t>
      </w:r>
      <w:r>
        <w:rPr>
          <w:rFonts w:ascii="Times New Roman" w:cs="Times New Roman" w:eastAsia="Times New Roman" w:hAnsi="Times New Roman"/>
          <w:sz w:val="18"/>
          <w:szCs w:val="18"/>
          <w:b w:val="1"/>
          <w:bCs w:val="1"/>
          <w:color w:val="auto"/>
        </w:rPr>
        <w:t>Consolidated Net Assets</w:t>
      </w:r>
      <w:r>
        <w:rPr>
          <w:rFonts w:ascii="Times New Roman" w:cs="Times New Roman" w:eastAsia="Times New Roman" w:hAnsi="Times New Roman"/>
          <w:sz w:val="18"/>
          <w:szCs w:val="18"/>
          <w:color w:val="auto"/>
        </w:rPr>
        <w:t xml:space="preserve"> means the total assets appearing on the most recently prepared consolidated balance sheet of the Company and its Subsidiaries as at the end of the fiscal quarter of the Company, prepared in accordance with generally accepted accounting principles in the United States, less all current liabilities (due within one year) as shown on such balance sheet.</w:t>
      </w:r>
    </w:p>
    <w:p>
      <w:pPr>
        <w:spacing w:after="0" w:line="86" w:lineRule="exact"/>
        <w:rPr>
          <w:sz w:val="20"/>
          <w:szCs w:val="20"/>
          <w:color w:val="auto"/>
        </w:rPr>
      </w:pPr>
    </w:p>
    <w:p>
      <w:pPr>
        <w:ind w:left="424" w:right="20" w:hanging="431"/>
        <w:spacing w:after="0" w:line="261" w:lineRule="auto"/>
        <w:rPr>
          <w:sz w:val="20"/>
          <w:szCs w:val="20"/>
          <w:color w:val="auto"/>
        </w:rPr>
      </w:pPr>
      <w:r>
        <w:rPr>
          <w:rFonts w:ascii="Times New Roman" w:cs="Times New Roman" w:eastAsia="Times New Roman" w:hAnsi="Times New Roman"/>
          <w:sz w:val="18"/>
          <w:szCs w:val="18"/>
          <w:color w:val="auto"/>
        </w:rPr>
        <w:t>11.2 Sale and leaseback transactions by the Company or any Subsidiary of any Principal Property (as defined below) (except for temporary leases for a term of not more than three years and except for leases between the Company and a Subsidiary or between Subsidiaries) are prohibited unless</w:t>
      </w:r>
    </w:p>
    <w:p>
      <w:pPr>
        <w:ind w:left="424" w:right="80" w:firstLine="8"/>
        <w:spacing w:after="0" w:line="252" w:lineRule="auto"/>
        <w:tabs>
          <w:tab w:leader="none" w:pos="66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or such Subsidiary would be entitled to issue, assume or guarantee Debt secured by the property involved at least equal in amount to the Attributable Debt (as defined below) in respect of such transaction without equally and ratably securing the Notes (provided that such Attributable Debt shall thereupon be deemed to be Debt subject to the provisions of the preceding paragraph) or (b) an amount in cash equal to such Attributable Debt is applied to the retirement (other than any mandatory retirement) of long-term non-subordinated Debt of the Company or long-term Debt of a Subsidiary. </w:t>
      </w:r>
      <w:r>
        <w:rPr>
          <w:rFonts w:ascii="Times New Roman" w:cs="Times New Roman" w:eastAsia="Times New Roman" w:hAnsi="Times New Roman"/>
          <w:sz w:val="18"/>
          <w:szCs w:val="18"/>
          <w:b w:val="1"/>
          <w:bCs w:val="1"/>
          <w:color w:val="auto"/>
        </w:rPr>
        <w:t>Attributable Debt</w:t>
      </w:r>
      <w:r>
        <w:rPr>
          <w:rFonts w:ascii="Times New Roman" w:cs="Times New Roman" w:eastAsia="Times New Roman" w:hAnsi="Times New Roman"/>
          <w:sz w:val="18"/>
          <w:szCs w:val="18"/>
          <w:color w:val="auto"/>
        </w:rPr>
        <w:t xml:space="preserve"> means the present value (discounted at an appropriate rate) of the obligation of a lessee for rental payments during the remaining term of any lease.</w:t>
      </w:r>
    </w:p>
    <w:p>
      <w:pPr>
        <w:spacing w:after="0" w:line="91" w:lineRule="exact"/>
        <w:rPr>
          <w:sz w:val="20"/>
          <w:szCs w:val="20"/>
          <w:color w:val="auto"/>
        </w:rPr>
      </w:pPr>
    </w:p>
    <w:p>
      <w:pPr>
        <w:ind w:left="424" w:hanging="431"/>
        <w:spacing w:after="0" w:line="255" w:lineRule="auto"/>
        <w:rPr>
          <w:sz w:val="20"/>
          <w:szCs w:val="20"/>
          <w:color w:val="auto"/>
        </w:rPr>
      </w:pPr>
      <w:r>
        <w:rPr>
          <w:rFonts w:ascii="Times New Roman" w:cs="Times New Roman" w:eastAsia="Times New Roman" w:hAnsi="Times New Roman"/>
          <w:sz w:val="18"/>
          <w:szCs w:val="18"/>
          <w:color w:val="auto"/>
        </w:rPr>
        <w:t xml:space="preserve">11.3 The term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xml:space="preserve"> means any corporation, association, or other business entity which is consolidated in the Company’s accounts and any corporation, association, or other business entity of which at least a majority of the outstanding stock or ownership units having voting power under ordinary circumstances to elect a majority of the board of directors, managers or trustees or equivalents thereof of said corporation, association, or other business entity shall at the time be owned by the Company or by the Company and one or more Subsidiaries or by one or more Subsidiaries. The term </w:t>
      </w:r>
      <w:r>
        <w:rPr>
          <w:rFonts w:ascii="Times New Roman" w:cs="Times New Roman" w:eastAsia="Times New Roman" w:hAnsi="Times New Roman"/>
          <w:sz w:val="18"/>
          <w:szCs w:val="18"/>
          <w:b w:val="1"/>
          <w:bCs w:val="1"/>
          <w:color w:val="auto"/>
        </w:rPr>
        <w:t>Principal Property</w:t>
      </w:r>
      <w:r>
        <w:rPr>
          <w:rFonts w:ascii="Times New Roman" w:cs="Times New Roman" w:eastAsia="Times New Roman" w:hAnsi="Times New Roman"/>
          <w:sz w:val="18"/>
          <w:szCs w:val="18"/>
          <w:color w:val="auto"/>
        </w:rPr>
        <w:t xml:space="preserve"> means any office or facility which is owned by the Company or any Subsidiary, unless the Board of Directors of the Company (or any duly authorized committee thereof) by resolution declares that such office or facility, together with all other office and facilities previously so declared, is not of material importance to the total business conducted by the Company and its Subsidiaries as an entirety.</w:t>
      </w:r>
    </w:p>
    <w:p>
      <w:pPr>
        <w:spacing w:after="0" w:line="333" w:lineRule="exact"/>
        <w:rPr>
          <w:sz w:val="20"/>
          <w:szCs w:val="20"/>
          <w:color w:val="auto"/>
        </w:rPr>
      </w:pPr>
    </w:p>
    <w:p>
      <w:pPr>
        <w:ind w:left="424" w:hanging="424"/>
        <w:spacing w:after="0"/>
        <w:tabs>
          <w:tab w:leader="none" w:pos="424"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 OF CONTROL</w:t>
      </w:r>
    </w:p>
    <w:p>
      <w:pPr>
        <w:spacing w:after="0" w:line="121" w:lineRule="exact"/>
        <w:rPr>
          <w:rFonts w:ascii="Times New Roman" w:cs="Times New Roman" w:eastAsia="Times New Roman" w:hAnsi="Times New Roman"/>
          <w:sz w:val="18"/>
          <w:szCs w:val="18"/>
          <w:b w:val="1"/>
          <w:bCs w:val="1"/>
          <w:color w:val="auto"/>
        </w:rPr>
      </w:pPr>
    </w:p>
    <w:p>
      <w:pPr>
        <w:ind w:left="444" w:right="1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the occurrence of a Change of Control Triggering Event, the Company will offer to repurchase all outstanding Notes at a purchase price in cash equal to 101% of the aggregate principal amount of the Notes repurchased plus accrued and unpaid interest on the Notes repurchased to the date of purchase (subject to the right of the Noteholders of record on the relevant record date to receive interest due on the relevant interest payment date) as provided in, and subject to the terms of, the Fiscal and Paying Agency Agreement.</w:t>
      </w:r>
    </w:p>
    <w:p>
      <w:pPr>
        <w:spacing w:after="0" w:line="324"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REPLACEMENT, EXCHANGE AND TRANSFER OF NOTES</w:t>
      </w:r>
    </w:p>
    <w:p>
      <w:pPr>
        <w:spacing w:after="0" w:line="121" w:lineRule="exact"/>
        <w:rPr>
          <w:rFonts w:ascii="Times New Roman" w:cs="Times New Roman" w:eastAsia="Times New Roman" w:hAnsi="Times New Roman"/>
          <w:sz w:val="18"/>
          <w:szCs w:val="18"/>
          <w:b w:val="1"/>
          <w:bCs w:val="1"/>
          <w:color w:val="auto"/>
        </w:rPr>
      </w:pPr>
    </w:p>
    <w:p>
      <w:pPr>
        <w:ind w:left="444"/>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case any Note shall become mutilated, defaced or be apparently destroyed, lost or stolen, the Company in its discretion may execute, and, upon the written request of the Company, the Fiscal Agent shall authenticate and deliver, all at the expense of the Noteholder, a new Note bearing a number not contemporaneously outstanding, in exchange and substitution for the mutilated or defaced Note (and upon surrender thereof, or in lieu of and in substitution for the apparently destroyed, lost or stolen Note). In every case the applicant for a substitute Note shall furnish to the Company and to the Fiscal Agent such security or indemnity as may be required by them to indemnify and defend and to hold each of them and any agent of the Company or the Fiscal Agent harmless and, in every case of destruction, loss or theft evidence to their satisfaction of the apparent destruction, loss or theft of such Note and of the ownership thereof. Upon the issuance of any substitute Note, the Company may require the payment of a sum sufficient to cover any tax or other governmental or insurance charge that may be imposed in relation thereto and any other expenses (including the fees and expenses of the Fiscal Agent) connected therewith. Mutilated or defaced Notes must be surrendered before a replacement will be issued.</w:t>
      </w:r>
    </w:p>
    <w:p>
      <w:pPr>
        <w:spacing w:after="0" w:line="12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84"/>
          </w:cols>
          <w:pgMar w:left="436" w:top="266" w:right="479" w:bottom="1440" w:gutter="0" w:footer="0" w:header="0"/>
        </w:sectPr>
      </w:pPr>
    </w:p>
    <w:bookmarkStart w:id="37" w:name="page38"/>
    <w:bookmarkEnd w:id="37"/>
    <w:p>
      <w:pPr>
        <w:ind w:left="424" w:hanging="424"/>
        <w:spacing w:after="0"/>
        <w:tabs>
          <w:tab w:leader="none" w:pos="424"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MODIFICATIONS AND AMENDMENTS; WAIVER</w:t>
      </w:r>
    </w:p>
    <w:p>
      <w:pPr>
        <w:spacing w:after="0" w:line="135" w:lineRule="exact"/>
        <w:rPr>
          <w:sz w:val="20"/>
          <w:szCs w:val="20"/>
          <w:color w:val="auto"/>
        </w:rPr>
      </w:pPr>
    </w:p>
    <w:p>
      <w:pPr>
        <w:ind w:left="424" w:right="20" w:hanging="431"/>
        <w:spacing w:after="0" w:line="258" w:lineRule="auto"/>
        <w:rPr>
          <w:sz w:val="20"/>
          <w:szCs w:val="20"/>
          <w:color w:val="auto"/>
        </w:rPr>
      </w:pPr>
      <w:r>
        <w:rPr>
          <w:rFonts w:ascii="Times New Roman" w:cs="Times New Roman" w:eastAsia="Times New Roman" w:hAnsi="Times New Roman"/>
          <w:sz w:val="18"/>
          <w:szCs w:val="18"/>
          <w:color w:val="auto"/>
        </w:rPr>
        <w:t>14.1 The Fiscal and Paying Agency Agreement or the terms and conditions of the Notes may be amended by the Company and the Fiscal Agent, without the consent of the Noteholder of any Note, for the purposes of curing any ambiguity, or of curing, correcting or supplementing any defective provisions contained therein or herein or for any other purpose which the Company and the Fiscal Agent may deem necessary or desirable and which will not be inconsistent with the Notes and which will not adversely affect the interests of the Noteholders, in the sole opinion of the Company.</w:t>
      </w:r>
    </w:p>
    <w:p>
      <w:pPr>
        <w:spacing w:after="0" w:line="89" w:lineRule="exact"/>
        <w:rPr>
          <w:sz w:val="20"/>
          <w:szCs w:val="20"/>
          <w:color w:val="auto"/>
        </w:rPr>
      </w:pPr>
    </w:p>
    <w:p>
      <w:pPr>
        <w:ind w:left="424" w:right="760" w:hanging="431"/>
        <w:spacing w:after="0" w:line="282" w:lineRule="auto"/>
        <w:rPr>
          <w:sz w:val="20"/>
          <w:szCs w:val="20"/>
          <w:color w:val="auto"/>
        </w:rPr>
      </w:pPr>
      <w:r>
        <w:rPr>
          <w:rFonts w:ascii="Times New Roman" w:cs="Times New Roman" w:eastAsia="Times New Roman" w:hAnsi="Times New Roman"/>
          <w:sz w:val="18"/>
          <w:szCs w:val="18"/>
          <w:color w:val="auto"/>
        </w:rPr>
        <w:t>14.2 The terms of Schedule 2 of the Fiscal and Paying Agency Agreement for meetings (including by way of conference call or by use of a videoconference platform) or actions of Noteholders, including the modification of any provisions of the Notes, are incorporated herein.</w:t>
      </w:r>
    </w:p>
    <w:p>
      <w:pPr>
        <w:spacing w:after="0" w:line="67" w:lineRule="exact"/>
        <w:rPr>
          <w:sz w:val="20"/>
          <w:szCs w:val="20"/>
          <w:color w:val="auto"/>
        </w:rPr>
      </w:pPr>
    </w:p>
    <w:p>
      <w:pPr>
        <w:ind w:left="424" w:right="220" w:hanging="431"/>
        <w:spacing w:after="0" w:line="266" w:lineRule="auto"/>
        <w:rPr>
          <w:sz w:val="20"/>
          <w:szCs w:val="20"/>
          <w:color w:val="auto"/>
        </w:rPr>
      </w:pPr>
      <w:r>
        <w:rPr>
          <w:rFonts w:ascii="Times New Roman" w:cs="Times New Roman" w:eastAsia="Times New Roman" w:hAnsi="Times New Roman"/>
          <w:sz w:val="18"/>
          <w:szCs w:val="18"/>
          <w:color w:val="auto"/>
        </w:rPr>
        <w:t>14.3 No provision of this Note shall alter or impair the obligation of the Company, which is absolute and unconditional, to pay the principal of and interest on this Note at the places, at the respective times, at the rate and in the coin or currency herein prescribed, subject only to the provisions for the modifications set forth in Schedule 2 of the Fiscal and Paying Agency Agreement.</w:t>
      </w:r>
    </w:p>
    <w:p>
      <w:pPr>
        <w:spacing w:after="0" w:line="320" w:lineRule="exact"/>
        <w:rPr>
          <w:sz w:val="20"/>
          <w:szCs w:val="20"/>
          <w:color w:val="auto"/>
        </w:rPr>
      </w:pPr>
    </w:p>
    <w:p>
      <w:pPr>
        <w:ind w:left="424" w:hanging="424"/>
        <w:spacing w:after="0"/>
        <w:tabs>
          <w:tab w:leader="none" w:pos="424"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NON-BUSINESS DAY</w:t>
      </w:r>
    </w:p>
    <w:p>
      <w:pPr>
        <w:spacing w:after="0" w:line="121" w:lineRule="exact"/>
        <w:rPr>
          <w:rFonts w:ascii="Times New Roman" w:cs="Times New Roman" w:eastAsia="Times New Roman" w:hAnsi="Times New Roman"/>
          <w:sz w:val="18"/>
          <w:szCs w:val="18"/>
          <w:b w:val="1"/>
          <w:bCs w:val="1"/>
          <w:color w:val="auto"/>
        </w:rPr>
      </w:pPr>
    </w:p>
    <w:p>
      <w:pPr>
        <w:ind w:left="444" w:right="10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If the date for payment on any Note is not a business day, then the Noteholder thereof shall not be entitled to payment of the amount due until the next following business day nor to any further interest or other payment in respect of such delay. For these purposes, </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xml:space="preserve"> means, in respect of any place of presentation, any day on which banks are open for presentation and payment of bearer debt securities and for dealings in foreign currencies in such place of presentation and, in the case of payment by transfer to a euro account, on which the Trans-European Automated Real-time Gross Settlement Express Transfer (System, or any successor or replacement for that system, is operating.</w:t>
      </w:r>
    </w:p>
    <w:p>
      <w:pPr>
        <w:spacing w:after="0" w:line="327"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FISCAL AGENT</w:t>
      </w:r>
    </w:p>
    <w:p>
      <w:pPr>
        <w:spacing w:after="0" w:line="121" w:lineRule="exact"/>
        <w:rPr>
          <w:rFonts w:ascii="Times New Roman" w:cs="Times New Roman" w:eastAsia="Times New Roman" w:hAnsi="Times New Roman"/>
          <w:sz w:val="18"/>
          <w:szCs w:val="18"/>
          <w:b w:val="1"/>
          <w:bCs w:val="1"/>
          <w:color w:val="auto"/>
        </w:rPr>
      </w:pPr>
    </w:p>
    <w:p>
      <w:pPr>
        <w:ind w:left="444"/>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acting under the Fiscal and Paying Agency Agreement and in connection with the Notes, the Fiscal Agent is acting solely as agent of the Company and does not assume any obligation towards or relationship of agency or trust for or with the Noteholders, except that any funds held by the Fiscal Agent for payment of principal of or interest on, or Additional Amounts with respect to, any Note shall be held by it and applied as set forth herein, but need not be segregated from other funds held by it, except as required by law. For a description of the duties and the immunities and rights of the Fiscal Agent under the Fiscal and Paying Agency Agreement, reference is made to the Fiscal and Paying Agency Agreement, and the obligations of the Fiscal Agent to the Noteholders of the Notes are subject to such immunities and rights.</w:t>
      </w:r>
    </w:p>
    <w:p>
      <w:pPr>
        <w:spacing w:after="0" w:line="331"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p>
    <w:p>
      <w:pPr>
        <w:spacing w:after="0" w:line="135" w:lineRule="exact"/>
        <w:rPr>
          <w:sz w:val="20"/>
          <w:szCs w:val="20"/>
          <w:color w:val="auto"/>
        </w:rPr>
      </w:pPr>
    </w:p>
    <w:p>
      <w:pPr>
        <w:ind w:left="424" w:right="20" w:hanging="431"/>
        <w:spacing w:after="0" w:line="256" w:lineRule="auto"/>
        <w:rPr>
          <w:sz w:val="20"/>
          <w:szCs w:val="20"/>
          <w:color w:val="auto"/>
        </w:rPr>
      </w:pPr>
      <w:r>
        <w:rPr>
          <w:rFonts w:ascii="Times New Roman" w:cs="Times New Roman" w:eastAsia="Times New Roman" w:hAnsi="Times New Roman"/>
          <w:sz w:val="18"/>
          <w:szCs w:val="18"/>
          <w:color w:val="auto"/>
        </w:rPr>
        <w:t>17.1 While any Notes are represented by one or more Global Notes, all notices to Noteholders shall be delivered to Euroclear and Clearstream, as applicable, for communication to entitled account Noteholders. So long as the Notes are listed on the Official List of Euronext Dublin and its rules so require, all notices to Noteholders will also be published by the Company by delivery to the Companies Announcement Office in Dublin. If publication as provided above is not practicable, notice will be given in such other manner, and shall be deemed to have been given on such date, as the Company may approve. In the case of Definitive Notes, notices will be mailed to Noteholders by first-class mail or other equivalent means at their respective addresses as they appear on the records of the Registrar.</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4"/>
          </w:cols>
          <w:pgMar w:left="436" w:top="266" w:right="459" w:bottom="1440" w:gutter="0" w:footer="0" w:header="0"/>
        </w:sectPr>
      </w:pPr>
    </w:p>
    <w:bookmarkStart w:id="38" w:name="page39"/>
    <w:bookmarkEnd w:id="38"/>
    <w:p>
      <w:pPr>
        <w:ind w:left="424" w:right="160" w:hanging="43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17.2 If and so long as the Notes are listed on any other securities exchange, notices will also be given in accordance with any applicable requirements of such securities exchange.</w:t>
      </w:r>
    </w:p>
    <w:p>
      <w:pPr>
        <w:spacing w:after="0" w:line="67" w:lineRule="exact"/>
        <w:rPr>
          <w:sz w:val="20"/>
          <w:szCs w:val="20"/>
          <w:color w:val="auto"/>
        </w:rPr>
      </w:pPr>
    </w:p>
    <w:p>
      <w:pPr>
        <w:ind w:left="424" w:right="80" w:hanging="431"/>
        <w:spacing w:after="0" w:line="261" w:lineRule="auto"/>
        <w:rPr>
          <w:sz w:val="20"/>
          <w:szCs w:val="20"/>
          <w:color w:val="auto"/>
        </w:rPr>
      </w:pPr>
      <w:r>
        <w:rPr>
          <w:rFonts w:ascii="Times New Roman" w:cs="Times New Roman" w:eastAsia="Times New Roman" w:hAnsi="Times New Roman"/>
          <w:sz w:val="18"/>
          <w:szCs w:val="18"/>
          <w:color w:val="auto"/>
        </w:rPr>
        <w:t>17.3 Notices given by publication will be deemed given on the first date on which publication is made. Notices delivered to Euroclear and Clearstream will be deemed given on the date when delivered. Notices given by first-class mail or other equivalent means will be deemed given seven days after mailing whether or not the addressee receives any such notice. Failure to mail a notice or communication to a Noteholder or any defect in it shall not affect its sufficiency with respect to other Noteholders.</w:t>
      </w:r>
    </w:p>
    <w:p>
      <w:pPr>
        <w:spacing w:after="0" w:line="324" w:lineRule="exact"/>
        <w:rPr>
          <w:sz w:val="20"/>
          <w:szCs w:val="20"/>
          <w:color w:val="auto"/>
        </w:rPr>
      </w:pPr>
    </w:p>
    <w:p>
      <w:pPr>
        <w:ind w:left="424" w:hanging="424"/>
        <w:spacing w:after="0"/>
        <w:tabs>
          <w:tab w:leader="none" w:pos="424"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FURTHER ISSUES OF NOTES</w:t>
      </w:r>
    </w:p>
    <w:p>
      <w:pPr>
        <w:spacing w:after="0" w:line="121" w:lineRule="exact"/>
        <w:rPr>
          <w:rFonts w:ascii="Times New Roman" w:cs="Times New Roman" w:eastAsia="Times New Roman" w:hAnsi="Times New Roman"/>
          <w:sz w:val="18"/>
          <w:szCs w:val="18"/>
          <w:b w:val="1"/>
          <w:bCs w:val="1"/>
          <w:color w:val="auto"/>
        </w:rPr>
      </w:pPr>
    </w:p>
    <w:p>
      <w:pPr>
        <w:ind w:left="444" w:right="1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may from time to time without the consent of the Noteholders create and issue further securities having the same terms and conditions as the Notes in all respects (or in all respects except for the first payment or interest thereon) and so that such further issue shall be consolidated and form a single series with the outstanding securities of any series (including the Notes) or upon such terms as the Company may determine at the time of their issue, provided that the Company will not issue any additional Notes unless such additional Notes do not cause holders of Notes to become subject to any United States reporting obligation or any United States withholding tax which holders of Notes would otherwise not have been subject to had the Company not issued the further Notes. References herein to the Notes include (unless the context otherwise requires) any other securities issued pursuant to this clause and forming a single series with the Notes.</w:t>
      </w:r>
    </w:p>
    <w:p>
      <w:pPr>
        <w:spacing w:after="0" w:line="333"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w:t>
      </w:r>
    </w:p>
    <w:p>
      <w:pPr>
        <w:spacing w:after="0" w:line="121"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Notes shall be construed in accordance with and governed by the laws of the State of New York, United States of America.</w:t>
      </w:r>
    </w:p>
    <w:p>
      <w:pPr>
        <w:spacing w:after="0" w:line="369"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AUTHENTICATION</w:t>
      </w:r>
    </w:p>
    <w:p>
      <w:pPr>
        <w:spacing w:after="0" w:line="121" w:lineRule="exact"/>
        <w:rPr>
          <w:rFonts w:ascii="Times New Roman" w:cs="Times New Roman" w:eastAsia="Times New Roman" w:hAnsi="Times New Roman"/>
          <w:sz w:val="18"/>
          <w:szCs w:val="18"/>
          <w:b w:val="1"/>
          <w:bCs w:val="1"/>
          <w:color w:val="auto"/>
        </w:rPr>
      </w:pPr>
    </w:p>
    <w:p>
      <w:pPr>
        <w:ind w:left="444" w:right="1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Note attached thereto shall become valid or obligatory until the certificate of authentication thereon shall have been duly signed by the Fiscal Agent acting under the Fiscal and Paying Agency Agreement.</w:t>
      </w:r>
    </w:p>
    <w:p>
      <w:pPr>
        <w:spacing w:after="0" w:line="265" w:lineRule="exact"/>
        <w:rPr>
          <w:rFonts w:ascii="Times New Roman" w:cs="Times New Roman" w:eastAsia="Times New Roman" w:hAnsi="Times New Roman"/>
          <w:sz w:val="18"/>
          <w:szCs w:val="18"/>
          <w:b w:val="1"/>
          <w:bCs w:val="1"/>
          <w:color w:val="auto"/>
        </w:rPr>
      </w:pPr>
    </w:p>
    <w:p>
      <w:pPr>
        <w:ind w:left="264" w:hanging="264"/>
        <w:spacing w:after="0"/>
        <w:tabs>
          <w:tab w:leader="none" w:pos="264"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WARRANTY OF THE COMPANY</w:t>
      </w:r>
    </w:p>
    <w:p>
      <w:pPr>
        <w:spacing w:after="0" w:line="121" w:lineRule="exact"/>
        <w:rPr>
          <w:sz w:val="20"/>
          <w:szCs w:val="20"/>
          <w:color w:val="auto"/>
        </w:rPr>
      </w:pPr>
    </w:p>
    <w:p>
      <w:pPr>
        <w:ind w:left="444"/>
        <w:spacing w:after="0" w:line="266" w:lineRule="auto"/>
        <w:rPr>
          <w:sz w:val="20"/>
          <w:szCs w:val="20"/>
          <w:color w:val="auto"/>
        </w:rPr>
      </w:pPr>
      <w:r>
        <w:rPr>
          <w:rFonts w:ascii="Times New Roman" w:cs="Times New Roman" w:eastAsia="Times New Roman" w:hAnsi="Times New Roman"/>
          <w:sz w:val="18"/>
          <w:szCs w:val="18"/>
          <w:color w:val="auto"/>
        </w:rPr>
        <w:t>Subject to Clause 20, the Company hereby certifies and warrants that all acts, conditions and things required to be done and performed and to have happened precedent to the creation and issuance of the Notes and to constitute the same legal, valid and binding obligations of the Company enforceable in accordance with their terms, have been done and performed and have happened in compliance with all applicable laws.</w:t>
      </w:r>
    </w:p>
    <w:p>
      <w:pPr>
        <w:spacing w:after="0" w:line="320" w:lineRule="exact"/>
        <w:rPr>
          <w:sz w:val="20"/>
          <w:szCs w:val="20"/>
          <w:color w:val="auto"/>
        </w:rPr>
      </w:pPr>
    </w:p>
    <w:p>
      <w:pPr>
        <w:ind w:left="424" w:hanging="424"/>
        <w:spacing w:after="0"/>
        <w:tabs>
          <w:tab w:leader="none" w:pos="424"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ISINS AND COMMON CODES</w:t>
      </w:r>
    </w:p>
    <w:p>
      <w:pPr>
        <w:spacing w:after="0" w:line="121" w:lineRule="exact"/>
        <w:rPr>
          <w:rFonts w:ascii="Times New Roman" w:cs="Times New Roman" w:eastAsia="Times New Roman" w:hAnsi="Times New Roman"/>
          <w:sz w:val="18"/>
          <w:szCs w:val="18"/>
          <w:b w:val="1"/>
          <w:bCs w:val="1"/>
          <w:color w:val="auto"/>
        </w:rPr>
      </w:pPr>
    </w:p>
    <w:p>
      <w:pPr>
        <w:ind w:left="444" w:right="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caused ISINs and Common Codes to be printed on the Notes and has directed the Fiscal Agent to use ISINs and Common Codes in notices of redemption as a convenience to Noteholders. No representation is made as to the correctness of such numbers either as printed on the Notes or as contained in any notice of redemption or repurchase, and reliance may be placed only on the other identification numbers printed on the Notes. The Company shall promptly notify the Fiscal Agent of any change in the ISINs or Common Codes.</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4"/>
          </w:cols>
          <w:pgMar w:left="436" w:top="270" w:right="459" w:bottom="1440" w:gutter="0" w:footer="0" w:header="0"/>
        </w:sectPr>
      </w:pPr>
    </w:p>
    <w:bookmarkStart w:id="39" w:name="page40"/>
    <w:bookmarkEnd w:id="39"/>
    <w:p>
      <w:pPr>
        <w:ind w:left="424" w:hanging="424"/>
        <w:spacing w:after="0"/>
        <w:tabs>
          <w:tab w:leader="none" w:pos="424"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DESCRIPTIVE HEADINGS</w:t>
      </w:r>
    </w:p>
    <w:p>
      <w:pPr>
        <w:spacing w:after="0" w:line="121" w:lineRule="exact"/>
        <w:rPr>
          <w:rFonts w:ascii="Times New Roman" w:cs="Times New Roman" w:eastAsia="Times New Roman" w:hAnsi="Times New Roman"/>
          <w:sz w:val="18"/>
          <w:szCs w:val="18"/>
          <w:b w:val="1"/>
          <w:bCs w:val="1"/>
          <w:color w:val="auto"/>
        </w:rPr>
      </w:pPr>
    </w:p>
    <w:p>
      <w:pPr>
        <w:ind w:left="444" w:righ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descriptive headings appearing in these Terms and Conditions are for convenience of reference only and shall not alter, limit or define the provisions hereof.</w:t>
      </w:r>
    </w:p>
    <w:p>
      <w:pPr>
        <w:spacing w:after="0" w:line="306"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PRESCRIPTION</w:t>
      </w:r>
    </w:p>
    <w:p>
      <w:pPr>
        <w:spacing w:after="0" w:line="121" w:lineRule="exact"/>
        <w:rPr>
          <w:rFonts w:ascii="Times New Roman" w:cs="Times New Roman" w:eastAsia="Times New Roman" w:hAnsi="Times New Roman"/>
          <w:sz w:val="18"/>
          <w:szCs w:val="18"/>
          <w:b w:val="1"/>
          <w:bCs w:val="1"/>
          <w:color w:val="auto"/>
        </w:rPr>
      </w:pPr>
    </w:p>
    <w:p>
      <w:pPr>
        <w:ind w:left="444"/>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Claims against the Company for the payment of principal or premium, if any, on the Notes will be prescribed ten years after the applicable due date for payment thereof. Claims against the Company for the payment of interest will be prescribed five years after the applicable due date for the payment of interest.</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4"/>
          </w:cols>
          <w:pgMar w:left="436" w:top="266" w:right="459"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FISCAL AGENT, REGISTRAR, TRANSFER AGENT AND</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PRINCIPAL PAYING AGENT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Citibank, N.A., London Branch</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Citigroup Centre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 Canada Square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Canary Wharf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London E14 5LB</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United Kingdom</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9019"/>
          </w:cols>
          <w:pgMar w:left="1440" w:top="266" w:right="1440"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ASSIGNMENT FORM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assign this Note, fill in the form below: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or we assign and transfer this Note 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5"/>
              </w:rPr>
              <w:t>and irrevocably appoint [ </w:t>
            </w:r>
          </w:p>
        </w:tc>
        <w:tc>
          <w:tcPr>
            <w:tcW w:w="91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agent to transfer this Note on the books of the Company. The agent may substitute another to act for him.</w:t>
            </w:r>
          </w:p>
        </w:tc>
      </w:tr>
      <w:tr>
        <w:trPr>
          <w:trHeight w:val="297"/>
        </w:trPr>
        <w:tc>
          <w:tcPr>
            <w:tcW w:w="4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r>
        <w:trPr>
          <w:trHeight w:val="493"/>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15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1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Your Signature:</w:t>
            </w:r>
          </w:p>
        </w:tc>
        <w:tc>
          <w:tcPr>
            <w:tcW w:w="4640" w:type="dxa"/>
            <w:vAlign w:val="bottom"/>
            <w:tcBorders>
              <w:bottom w:val="single" w:sz="8" w:color="auto"/>
            </w:tcBorders>
          </w:tcPr>
          <w:p>
            <w:pPr>
              <w:spacing w:after="0"/>
              <w:rPr>
                <w:sz w:val="24"/>
                <w:szCs w:val="24"/>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 exactly as your name appears on the other side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699516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20"/>
          </w:cols>
          <w:pgMar w:left="440" w:top="266" w:right="439" w:bottom="1440" w:gutter="0" w:footer="0" w:header="0"/>
        </w:sectPr>
      </w:pPr>
    </w:p>
    <w:bookmarkStart w:id="42" w:name="page43"/>
    <w:bookmarkEnd w:id="42"/>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CERTIFICATE TO BE DELIVERED UPON EXCHANGE OR REGISTRATION OF NOTES</w:t>
      </w:r>
    </w:p>
    <w:p>
      <w:pPr>
        <w:spacing w:after="0" w:line="229" w:lineRule="exact"/>
        <w:rPr>
          <w:sz w:val="20"/>
          <w:szCs w:val="20"/>
          <w:color w:val="auto"/>
        </w:rPr>
      </w:pPr>
    </w:p>
    <w:p>
      <w:pPr>
        <w:ind w:left="4" w:right="60"/>
        <w:spacing w:after="0" w:line="282" w:lineRule="auto"/>
        <w:rPr>
          <w:sz w:val="20"/>
          <w:szCs w:val="20"/>
          <w:color w:val="auto"/>
        </w:rPr>
      </w:pPr>
      <w:r>
        <w:rPr>
          <w:rFonts w:ascii="Times New Roman" w:cs="Times New Roman" w:eastAsia="Times New Roman" w:hAnsi="Times New Roman"/>
          <w:sz w:val="18"/>
          <w:szCs w:val="18"/>
          <w:color w:val="auto"/>
        </w:rPr>
        <w:t>This certificate relates to €         principal amount of Notes held in (check applicable space)         book-entry or         definitive form by the undersigned.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1246505</wp:posOffset>
            </wp:positionH>
            <wp:positionV relativeFrom="paragraph">
              <wp:posOffset>-185420</wp:posOffset>
            </wp:positionV>
            <wp:extent cx="4572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57200" cy="8255"/>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-185420</wp:posOffset>
            </wp:positionV>
            <wp:extent cx="4572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57200" cy="8255"/>
                    </a:xfrm>
                    <a:prstGeom prst="rect">
                      <a:avLst/>
                    </a:prstGeom>
                    <a:noFill/>
                  </pic:spPr>
                </pic:pic>
              </a:graphicData>
            </a:graphic>
          </wp:anchor>
        </w:drawing>
        <w:drawing>
          <wp:anchor simplePos="0" relativeHeight="251657728" behindDoc="1" locked="0" layoutInCell="0" allowOverlap="1">
            <wp:simplePos x="0" y="0"/>
            <wp:positionH relativeFrom="column">
              <wp:posOffset>5589905</wp:posOffset>
            </wp:positionH>
            <wp:positionV relativeFrom="paragraph">
              <wp:posOffset>-185420</wp:posOffset>
            </wp:positionV>
            <wp:extent cx="4572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14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undersigned (check one box below):</w:t>
      </w:r>
    </w:p>
    <w:p>
      <w:pPr>
        <w:spacing w:after="0" w:line="131" w:lineRule="exact"/>
        <w:rPr>
          <w:sz w:val="20"/>
          <w:szCs w:val="20"/>
          <w:color w:val="auto"/>
        </w:rPr>
      </w:pPr>
    </w:p>
    <w:p>
      <w:pPr>
        <w:ind w:left="424" w:right="100" w:hanging="424"/>
        <w:spacing w:after="0" w:line="266" w:lineRule="auto"/>
        <w:tabs>
          <w:tab w:leader="none" w:pos="424" w:val="left"/>
        </w:tabs>
        <w:numPr>
          <w:ilvl w:val="0"/>
          <w:numId w:val="5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has requested the Fiscal Agent by written order to deliver in exchange for its beneficial interest in the Global Note held by the Depositary a Note or Notes in definitive, registered form of authorized denominations and an aggregate principal amount equal to its beneficial interest in such Global Note (or the portion thereof indicated above); or</w:t>
      </w:r>
    </w:p>
    <w:p>
      <w:pPr>
        <w:spacing w:after="0" w:line="81" w:lineRule="exact"/>
        <w:rPr>
          <w:rFonts w:ascii="MS PGothic" w:cs="MS PGothic" w:eastAsia="MS PGothic" w:hAnsi="MS PGothic"/>
          <w:sz w:val="18"/>
          <w:szCs w:val="18"/>
          <w:color w:val="auto"/>
        </w:rPr>
      </w:pPr>
    </w:p>
    <w:p>
      <w:pPr>
        <w:ind w:left="424" w:hanging="424"/>
        <w:spacing w:after="0"/>
        <w:tabs>
          <w:tab w:leader="none" w:pos="424" w:val="left"/>
        </w:tabs>
        <w:numPr>
          <w:ilvl w:val="0"/>
          <w:numId w:val="5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has requested the Fiscal Agent by written order to exchange or register the transfer of a Note or Notes.</w:t>
      </w:r>
    </w:p>
    <w:p>
      <w:pPr>
        <w:spacing w:after="0" w:line="225" w:lineRule="exact"/>
        <w:rPr>
          <w:sz w:val="20"/>
          <w:szCs w:val="20"/>
          <w:color w:val="auto"/>
        </w:rPr>
      </w:pPr>
    </w:p>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In connection with any transfer of any of the Notes evidenced by this certificate occurring prior to the date which is 40 days after the later of the date of original issuance of such Notes and the last date, if any, on which such Notes were owned by the Company or any affiliate of the Company or such later date as may be required by applicable law, the undersigned confirms that such Notes are being transferred in accordance with its terms:</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CHECK ONE BOX BELOW</w:t>
      </w:r>
    </w:p>
    <w:p>
      <w:pPr>
        <w:spacing w:after="0" w:line="211" w:lineRule="exact"/>
        <w:rPr>
          <w:sz w:val="20"/>
          <w:szCs w:val="20"/>
          <w:color w:val="auto"/>
        </w:rPr>
      </w:pPr>
    </w:p>
    <w:p>
      <w:pPr>
        <w:ind w:left="404" w:hanging="404"/>
        <w:spacing w:after="0" w:line="207" w:lineRule="exact"/>
        <w:tabs>
          <w:tab w:leader="none" w:pos="404" w:val="left"/>
        </w:tabs>
        <w:numPr>
          <w:ilvl w:val="0"/>
          <w:numId w:val="5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to the Company; or</w:t>
      </w:r>
    </w:p>
    <w:p>
      <w:pPr>
        <w:spacing w:after="0" w:line="117" w:lineRule="exact"/>
        <w:rPr>
          <w:rFonts w:ascii="Times New Roman" w:cs="Times New Roman" w:eastAsia="Times New Roman" w:hAnsi="Times New Roman"/>
          <w:sz w:val="18"/>
          <w:szCs w:val="18"/>
          <w:color w:val="auto"/>
        </w:rPr>
      </w:pPr>
    </w:p>
    <w:p>
      <w:pPr>
        <w:ind w:left="404" w:hanging="404"/>
        <w:spacing w:after="0" w:line="207" w:lineRule="exact"/>
        <w:tabs>
          <w:tab w:leader="none" w:pos="404" w:val="left"/>
        </w:tabs>
        <w:numPr>
          <w:ilvl w:val="0"/>
          <w:numId w:val="5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to the Registrar for registration in the name of the Holder, without transfer; or</w:t>
      </w:r>
    </w:p>
    <w:p>
      <w:pPr>
        <w:spacing w:after="0" w:line="117" w:lineRule="exact"/>
        <w:rPr>
          <w:rFonts w:ascii="Times New Roman" w:cs="Times New Roman" w:eastAsia="Times New Roman" w:hAnsi="Times New Roman"/>
          <w:sz w:val="18"/>
          <w:szCs w:val="18"/>
          <w:color w:val="auto"/>
        </w:rPr>
      </w:pPr>
    </w:p>
    <w:p>
      <w:pPr>
        <w:ind w:left="404" w:hanging="404"/>
        <w:spacing w:after="0" w:line="207" w:lineRule="exact"/>
        <w:tabs>
          <w:tab w:leader="none" w:pos="404" w:val="left"/>
        </w:tabs>
        <w:numPr>
          <w:ilvl w:val="0"/>
          <w:numId w:val="5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pursuant to an effective registration statement under the Securities Act of 1933; or</w:t>
      </w:r>
    </w:p>
    <w:p>
      <w:pPr>
        <w:spacing w:after="0" w:line="117" w:lineRule="exact"/>
        <w:rPr>
          <w:rFonts w:ascii="Times New Roman" w:cs="Times New Roman" w:eastAsia="Times New Roman" w:hAnsi="Times New Roman"/>
          <w:sz w:val="18"/>
          <w:szCs w:val="18"/>
          <w:color w:val="auto"/>
        </w:rPr>
      </w:pPr>
    </w:p>
    <w:p>
      <w:pPr>
        <w:ind w:left="1004" w:right="640" w:hanging="1004"/>
        <w:spacing w:after="0" w:line="226" w:lineRule="exact"/>
        <w:tabs>
          <w:tab w:leader="none" w:pos="410" w:val="left"/>
        </w:tabs>
        <w:numPr>
          <w:ilvl w:val="0"/>
          <w:numId w:val="5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pursuant to offers and sales to non-U.S. person that occur outside the United States within the meaning of Regulation S under the Securities Act of 1933; or</w:t>
      </w:r>
    </w:p>
    <w:p>
      <w:pPr>
        <w:spacing w:after="0" w:line="89" w:lineRule="exact"/>
        <w:rPr>
          <w:rFonts w:ascii="Times New Roman" w:cs="Times New Roman" w:eastAsia="Times New Roman" w:hAnsi="Times New Roman"/>
          <w:sz w:val="18"/>
          <w:szCs w:val="18"/>
          <w:color w:val="auto"/>
        </w:rPr>
      </w:pPr>
    </w:p>
    <w:p>
      <w:pPr>
        <w:ind w:left="404" w:hanging="404"/>
        <w:spacing w:after="0" w:line="207" w:lineRule="exact"/>
        <w:tabs>
          <w:tab w:leader="none" w:pos="404" w:val="left"/>
        </w:tabs>
        <w:numPr>
          <w:ilvl w:val="0"/>
          <w:numId w:val="5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pursuant to another exemption from registration under the Securities Act of 1933.</w:t>
      </w:r>
    </w:p>
    <w:p>
      <w:pPr>
        <w:spacing w:after="0" w:line="266" w:lineRule="exact"/>
        <w:rPr>
          <w:sz w:val="20"/>
          <w:szCs w:val="20"/>
          <w:color w:val="auto"/>
        </w:rPr>
      </w:pPr>
    </w:p>
    <w:p>
      <w:pPr>
        <w:ind w:left="4" w:right="120"/>
        <w:spacing w:after="0" w:line="258" w:lineRule="auto"/>
        <w:rPr>
          <w:sz w:val="20"/>
          <w:szCs w:val="20"/>
          <w:color w:val="auto"/>
        </w:rPr>
      </w:pPr>
      <w:r>
        <w:rPr>
          <w:rFonts w:ascii="Times New Roman" w:cs="Times New Roman" w:eastAsia="Times New Roman" w:hAnsi="Times New Roman"/>
          <w:sz w:val="18"/>
          <w:szCs w:val="18"/>
          <w:color w:val="auto"/>
        </w:rPr>
        <w:t xml:space="preserve">Unless one of the boxes is checked, the Fiscal Agent and the Registrar will refuse to register any of the Notes evidenced by this certificate in the name of any person other than the registered Noteholder thereof; </w:t>
      </w:r>
      <w:r>
        <w:rPr>
          <w:rFonts w:ascii="Times New Roman" w:cs="Times New Roman" w:eastAsia="Times New Roman" w:hAnsi="Times New Roman"/>
          <w:sz w:val="18"/>
          <w:szCs w:val="18"/>
          <w:b w:val="1"/>
          <w:b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however</w:t>
      </w:r>
      <w:r>
        <w:rPr>
          <w:rFonts w:ascii="Times New Roman" w:cs="Times New Roman" w:eastAsia="Times New Roman" w:hAnsi="Times New Roman"/>
          <w:sz w:val="18"/>
          <w:szCs w:val="18"/>
          <w:color w:val="auto"/>
        </w:rPr>
        <w:t>, that if box (4) or (5) is checked, the Fiscal Agent may require, prior to registering any such transfer of the Notes, such legal opinions, certifications and other information as the Fiscal Agent, Registrar or Company has reasonably requested to confirm that such transfer is being made pursuant to an exemption from, or in a transaction not subject to, the registration requirements of the Securities Act of 1933.</w:t>
      </w:r>
    </w:p>
    <w:p>
      <w:pPr>
        <w:spacing w:after="0" w:line="200" w:lineRule="exact"/>
        <w:rPr>
          <w:sz w:val="20"/>
          <w:szCs w:val="20"/>
          <w:color w:val="auto"/>
        </w:rPr>
      </w:pPr>
    </w:p>
    <w:p>
      <w:pPr>
        <w:spacing w:after="0" w:line="24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27946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2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Signature Guarantee</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17145</wp:posOffset>
            </wp:positionV>
            <wp:extent cx="672084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20840" cy="8255"/>
                    </a:xfrm>
                    <a:prstGeom prst="rect">
                      <a:avLst/>
                    </a:prstGeom>
                    <a:noFill/>
                  </pic:spPr>
                </pic:pic>
              </a:graphicData>
            </a:graphic>
          </wp:anchor>
        </w:drawing>
      </w:r>
    </w:p>
    <w:p>
      <w:pPr>
        <w:spacing w:after="0" w:line="7" w:lineRule="exact"/>
        <w:rPr>
          <w:sz w:val="20"/>
          <w:szCs w:val="20"/>
          <w:color w:val="auto"/>
        </w:rPr>
      </w:pPr>
    </w:p>
    <w:p>
      <w:pPr>
        <w:ind w:left="6164"/>
        <w:spacing w:after="0"/>
        <w:rPr>
          <w:sz w:val="20"/>
          <w:szCs w:val="20"/>
          <w:color w:val="auto"/>
        </w:rPr>
      </w:pPr>
      <w:r>
        <w:rPr>
          <w:rFonts w:ascii="Times New Roman" w:cs="Times New Roman" w:eastAsia="Times New Roman" w:hAnsi="Times New Roman"/>
          <w:sz w:val="18"/>
          <w:szCs w:val="18"/>
          <w:color w:val="auto"/>
        </w:rPr>
        <w:t>Signature of Signature Guarantee</w:t>
      </w:r>
    </w:p>
    <w:p>
      <w:pPr>
        <w:spacing w:after="0" w:line="153"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44"/>
          </w:cols>
          <w:pgMar w:left="436" w:top="266" w:right="519"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PROVISIONS FOR MEETINGS OF THE NOTEHOLDERS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9019"/>
          </w:cols>
          <w:pgMar w:left="1440" w:top="266" w:right="1440"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8"/>
        </w:trPr>
        <w:tc>
          <w:tcPr>
            <w:tcW w:w="28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6220" w:type="dxa"/>
            <w:vAlign w:val="bottom"/>
          </w:tcPr>
          <w:p>
            <w:pPr>
              <w:jc w:val="right"/>
              <w:ind w:right="4871"/>
              <w:spacing w:after="0"/>
              <w:rPr>
                <w:sz w:val="20"/>
                <w:szCs w:val="20"/>
                <w:color w:val="auto"/>
              </w:rPr>
            </w:pPr>
            <w:r>
              <w:rPr>
                <w:rFonts w:ascii="Times New Roman" w:cs="Times New Roman" w:eastAsia="Times New Roman" w:hAnsi="Times New Roman"/>
                <w:sz w:val="18"/>
                <w:szCs w:val="18"/>
                <w:b w:val="1"/>
                <w:bCs w:val="1"/>
                <w:color w:val="auto"/>
              </w:rPr>
              <w:t>CONTENTS</w:t>
            </w:r>
          </w:p>
        </w:tc>
      </w:tr>
      <w:tr>
        <w:trPr>
          <w:trHeight w:val="408"/>
        </w:trPr>
        <w:tc>
          <w:tcPr>
            <w:tcW w:w="4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Clause</w:t>
            </w:r>
          </w:p>
        </w:tc>
        <w:tc>
          <w:tcPr>
            <w:tcW w:w="6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89"/>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Definitions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Issue of Voting Certificates and Block Voting Instructions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References to Blocking/Release of Notes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Validity of Block Voting Instructions and Forms of Proxy</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Record Date</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Convening of Meeting</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Notice</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Chairman</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Quorum</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Adjournment for Want of Quorum</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Adjourned Meeting</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Notice following Adjournment</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Participation</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Show of Hands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15.</w:t>
            </w: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Poll</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16.</w:t>
            </w: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Votes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17.</w:t>
            </w: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Validity of Votes by Proxies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18.</w:t>
            </w: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Powers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19.</w:t>
            </w: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Extraordinary Resolution Binds all Holders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20.</w:t>
            </w: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Minutes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Written Resolution</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65"/>
        </w:trPr>
        <w:tc>
          <w:tcPr>
            <w:tcW w:w="2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6220" w:type="dxa"/>
            <w:vAlign w:val="bottom"/>
          </w:tcPr>
          <w:p>
            <w:pPr>
              <w:jc w:val="right"/>
              <w:ind w:right="5271"/>
              <w:spacing w:after="0"/>
              <w:rPr>
                <w:sz w:val="20"/>
                <w:szCs w:val="20"/>
                <w:color w:val="auto"/>
              </w:rPr>
            </w:pPr>
            <w:r>
              <w:rPr>
                <w:rFonts w:ascii="Times New Roman" w:cs="Times New Roman" w:eastAsia="Times New Roman" w:hAnsi="Times New Roman"/>
                <w:sz w:val="18"/>
                <w:szCs w:val="18"/>
                <w:color w:val="auto"/>
              </w:rPr>
              <w:t>38</w:t>
            </w:r>
          </w:p>
        </w:tc>
      </w:tr>
    </w:tbl>
    <w:p>
      <w:pPr>
        <w:jc w:val="right"/>
        <w:ind w:right="5271"/>
        <w:spacing w:after="0"/>
        <w:rPr>
          <w:sz w:val="20"/>
          <w:szCs w:val="20"/>
          <w:color w:val="auto"/>
        </w:rPr>
        <w:sectPr>
          <w:pgSz w:w="11900" w:h="16838" w:orient="portrait"/>
          <w:cols w:equalWidth="0" w:num="1">
            <w:col w:w="10960"/>
          </w:cols>
          <w:pgMar w:left="440" w:top="26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45" w:name="page46"/>
    <w:bookmarkEnd w:id="45"/>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PROVISIONS FOR MEETINGS OF THE NOTEHOLDERS</w:t>
      </w:r>
    </w:p>
    <w:p>
      <w:pPr>
        <w:spacing w:after="0" w:line="252" w:lineRule="exact"/>
        <w:rPr>
          <w:sz w:val="20"/>
          <w:szCs w:val="20"/>
          <w:color w:val="auto"/>
        </w:rPr>
      </w:pPr>
    </w:p>
    <w:p>
      <w:pPr>
        <w:ind w:left="424" w:hanging="424"/>
        <w:spacing w:after="0"/>
        <w:tabs>
          <w:tab w:leader="none" w:pos="424"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121"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this Agreement and terms and conditions of the Notes, the following expressions have the following meanings:</w:t>
      </w:r>
    </w:p>
    <w:p>
      <w:pPr>
        <w:spacing w:after="0" w:line="113"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Block Voting Instruction </w:t>
      </w:r>
      <w:r>
        <w:rPr>
          <w:rFonts w:ascii="Times New Roman" w:cs="Times New Roman" w:eastAsia="Times New Roman" w:hAnsi="Times New Roman"/>
          <w:sz w:val="18"/>
          <w:szCs w:val="18"/>
          <w:color w:val="auto"/>
        </w:rPr>
        <w:t>means, in relation to any Meeting, a document in the English language issued by the Registrar:</w:t>
      </w:r>
    </w:p>
    <w:p>
      <w:pPr>
        <w:spacing w:after="0" w:line="130" w:lineRule="exact"/>
        <w:rPr>
          <w:rFonts w:ascii="Times New Roman" w:cs="Times New Roman" w:eastAsia="Times New Roman" w:hAnsi="Times New Roman"/>
          <w:sz w:val="18"/>
          <w:szCs w:val="18"/>
          <w:b w:val="1"/>
          <w:bCs w:val="1"/>
          <w:color w:val="auto"/>
        </w:rPr>
      </w:pPr>
    </w:p>
    <w:p>
      <w:pPr>
        <w:ind w:left="964" w:right="20" w:hanging="532"/>
        <w:spacing w:after="0" w:line="257" w:lineRule="auto"/>
        <w:tabs>
          <w:tab w:leader="none" w:pos="96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certifying (i) that certain specified Notes (the </w:t>
      </w:r>
      <w:r>
        <w:rPr>
          <w:rFonts w:ascii="Times New Roman" w:cs="Times New Roman" w:eastAsia="Times New Roman" w:hAnsi="Times New Roman"/>
          <w:sz w:val="18"/>
          <w:szCs w:val="18"/>
          <w:b w:val="1"/>
          <w:bCs w:val="1"/>
          <w:color w:val="auto"/>
        </w:rPr>
        <w:t>Blocked Notes</w:t>
      </w:r>
      <w:r>
        <w:rPr>
          <w:rFonts w:ascii="Times New Roman" w:cs="Times New Roman" w:eastAsia="Times New Roman" w:hAnsi="Times New Roman"/>
          <w:sz w:val="18"/>
          <w:szCs w:val="18"/>
          <w:color w:val="auto"/>
        </w:rPr>
        <w:t>) have been blocked in an account with a clearing system and will not be released until the conclusion of the Meeting and that the holder of each Blocked Note or a duly authorized person on its behalf has instructed the Registrar that the votes attributable to such Blocked Note are to be cast in a particular way on each resolution to be put to the Meeting; and/or (ii) that each registered holder of certain specified Notes (</w:t>
      </w:r>
      <w:r>
        <w:rPr>
          <w:rFonts w:ascii="Times New Roman" w:cs="Times New Roman" w:eastAsia="Times New Roman" w:hAnsi="Times New Roman"/>
          <w:sz w:val="18"/>
          <w:szCs w:val="18"/>
          <w:b w:val="1"/>
          <w:bCs w:val="1"/>
          <w:color w:val="auto"/>
        </w:rPr>
        <w:t>Relevant Notes</w:t>
      </w:r>
      <w:r>
        <w:rPr>
          <w:rFonts w:ascii="Times New Roman" w:cs="Times New Roman" w:eastAsia="Times New Roman" w:hAnsi="Times New Roman"/>
          <w:sz w:val="18"/>
          <w:szCs w:val="18"/>
          <w:color w:val="auto"/>
        </w:rPr>
        <w:t>) has instructed the Registrar that the votes attributable to each Relevant Note held by it are to be cast in a particular way on each resolution to be put to the Meeting and, in each case, that, during the period of 48 hours before the time fixed for the Meeting, such instructions may not be amended or revoked;</w:t>
      </w:r>
    </w:p>
    <w:p>
      <w:pPr>
        <w:spacing w:after="0" w:line="91" w:lineRule="exact"/>
        <w:rPr>
          <w:rFonts w:ascii="Times New Roman" w:cs="Times New Roman" w:eastAsia="Times New Roman" w:hAnsi="Times New Roman"/>
          <w:sz w:val="18"/>
          <w:szCs w:val="18"/>
          <w:color w:val="auto"/>
        </w:rPr>
      </w:pPr>
    </w:p>
    <w:p>
      <w:pPr>
        <w:ind w:left="964" w:right="80" w:hanging="532"/>
        <w:spacing w:after="0" w:line="282" w:lineRule="auto"/>
        <w:tabs>
          <w:tab w:leader="none" w:pos="96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listing the total principal amount of the Blocked Notes and the Relevant Notes, distinguishing for each resolution between those in respect of which instructions have been given to vote for, or against, the resolution; and</w:t>
      </w:r>
    </w:p>
    <w:p>
      <w:pPr>
        <w:spacing w:after="0" w:line="67" w:lineRule="exact"/>
        <w:rPr>
          <w:rFonts w:ascii="Times New Roman" w:cs="Times New Roman" w:eastAsia="Times New Roman" w:hAnsi="Times New Roman"/>
          <w:sz w:val="18"/>
          <w:szCs w:val="18"/>
          <w:color w:val="auto"/>
        </w:rPr>
      </w:pPr>
    </w:p>
    <w:p>
      <w:pPr>
        <w:ind w:left="964" w:right="400" w:hanging="532"/>
        <w:spacing w:after="0" w:line="282" w:lineRule="auto"/>
        <w:tabs>
          <w:tab w:leader="none" w:pos="96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a named individual or individuals to vote in respect of the Blocked Notes and the Relevant Notes in accordance with such instructions;</w:t>
      </w:r>
    </w:p>
    <w:p>
      <w:pPr>
        <w:spacing w:after="0" w:line="5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Chair </w:t>
      </w:r>
      <w:r>
        <w:rPr>
          <w:rFonts w:ascii="Times New Roman" w:cs="Times New Roman" w:eastAsia="Times New Roman" w:hAnsi="Times New Roman"/>
          <w:sz w:val="18"/>
          <w:szCs w:val="18"/>
          <w:color w:val="auto"/>
        </w:rPr>
        <w:t>means, in relation to any Meeting, the individual who takes the chair in accordance with Clause 8 hereof;</w:t>
      </w:r>
    </w:p>
    <w:p>
      <w:pPr>
        <w:spacing w:after="0" w:line="117" w:lineRule="exact"/>
        <w:rPr>
          <w:sz w:val="20"/>
          <w:szCs w:val="20"/>
          <w:color w:val="auto"/>
        </w:rPr>
      </w:pPr>
    </w:p>
    <w:p>
      <w:pPr>
        <w:ind w:left="444" w:right="1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Extraordinary Resolution </w:t>
      </w:r>
      <w:r>
        <w:rPr>
          <w:rFonts w:ascii="Times New Roman" w:cs="Times New Roman" w:eastAsia="Times New Roman" w:hAnsi="Times New Roman"/>
          <w:sz w:val="18"/>
          <w:szCs w:val="18"/>
          <w:color w:val="auto"/>
        </w:rPr>
        <w:t>means (a) a resolution passed at a Meeting duly convened and held in accordance with these provisions by a majority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not less than three quarters of the votes cast and (b) consent given by way of electronic consents through the relevant clearing system(s) (in a form satisfactory to the Fiscal Agent) by or on behalf of the Noteholders of not less than three quarters in nominal amount of the Notes for the time being outstanding;</w:t>
      </w:r>
    </w:p>
    <w:p>
      <w:pPr>
        <w:spacing w:after="0" w:line="68" w:lineRule="exact"/>
        <w:rPr>
          <w:sz w:val="20"/>
          <w:szCs w:val="20"/>
          <w:color w:val="auto"/>
        </w:rPr>
      </w:pPr>
    </w:p>
    <w:p>
      <w:pPr>
        <w:ind w:left="444"/>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Form of Proxy </w:t>
      </w:r>
      <w:r>
        <w:rPr>
          <w:rFonts w:ascii="Times New Roman" w:cs="Times New Roman" w:eastAsia="Times New Roman" w:hAnsi="Times New Roman"/>
          <w:sz w:val="17"/>
          <w:szCs w:val="17"/>
          <w:color w:val="auto"/>
        </w:rPr>
        <w:t>means, in relation to any Meeting, a document in the English language available from the Registrar signed by a Noteholder or,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case of a corporation, executed under its seal or signed on its behalf by a duly authorized officer and delivered to the Registrar no later than 48 hours before the time fixed for such meeting, appointing a named individual or individuals to vote in respect of the Notes held by such Noteholder.</w:t>
      </w:r>
    </w:p>
    <w:p>
      <w:pPr>
        <w:spacing w:after="0" w:line="4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Meeting </w:t>
      </w:r>
      <w:r>
        <w:rPr>
          <w:rFonts w:ascii="Times New Roman" w:cs="Times New Roman" w:eastAsia="Times New Roman" w:hAnsi="Times New Roman"/>
          <w:sz w:val="18"/>
          <w:szCs w:val="18"/>
          <w:color w:val="auto"/>
        </w:rPr>
        <w:t>means a meeting of Noteholders (whether originally convened or resumed following an adjournment);</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Proxy </w:t>
      </w:r>
      <w:r>
        <w:rPr>
          <w:rFonts w:ascii="Times New Roman" w:cs="Times New Roman" w:eastAsia="Times New Roman" w:hAnsi="Times New Roman"/>
          <w:sz w:val="18"/>
          <w:szCs w:val="18"/>
          <w:color w:val="auto"/>
        </w:rPr>
        <w:t>means, in relation to any Meeting, a person appointed to vote under a Block Voting Instruction or a Form of Proxy other than:</w:t>
      </w:r>
    </w:p>
    <w:p>
      <w:pPr>
        <w:spacing w:after="0" w:line="135" w:lineRule="exact"/>
        <w:rPr>
          <w:sz w:val="20"/>
          <w:szCs w:val="20"/>
          <w:color w:val="auto"/>
        </w:rPr>
      </w:pPr>
    </w:p>
    <w:p>
      <w:pPr>
        <w:ind w:left="964" w:hanging="532"/>
        <w:spacing w:after="0" w:line="282" w:lineRule="auto"/>
        <w:tabs>
          <w:tab w:leader="none" w:pos="96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person whose appointment has been revoked and in relation to whom the Registrar has been notified in writing of such revocation by the time which is 48 hours before the time fixed for such Meeting; and</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04"/>
          </w:cols>
          <w:pgMar w:left="436" w:top="266" w:right="459" w:bottom="1440" w:gutter="0" w:footer="0" w:header="0"/>
        </w:sectPr>
      </w:pPr>
    </w:p>
    <w:bookmarkStart w:id="46" w:name="page47"/>
    <w:bookmarkEnd w:id="46"/>
    <w:p>
      <w:pPr>
        <w:ind w:left="540" w:hanging="532"/>
        <w:spacing w:after="0" w:line="282" w:lineRule="auto"/>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such person appointed to vote at a Meeting which has been adjourned for want of a quorum and who has not been re-appointed to vote at the Meeting when it is resumed;</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Relevant Fraction </w:t>
      </w:r>
      <w:r>
        <w:rPr>
          <w:rFonts w:ascii="Times New Roman" w:cs="Times New Roman" w:eastAsia="Times New Roman" w:hAnsi="Times New Roman"/>
          <w:sz w:val="18"/>
          <w:szCs w:val="18"/>
          <w:color w:val="auto"/>
        </w:rPr>
        <w:t>means:</w:t>
      </w:r>
    </w:p>
    <w:p>
      <w:pPr>
        <w:spacing w:after="0" w:line="135" w:lineRule="exact"/>
        <w:rPr>
          <w:sz w:val="20"/>
          <w:szCs w:val="20"/>
          <w:color w:val="auto"/>
        </w:rPr>
      </w:pPr>
    </w:p>
    <w:p>
      <w:pPr>
        <w:ind w:left="540" w:hanging="532"/>
        <w:spacing w:after="0"/>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business other than voting on an Extraordinary Resolution, one tenth;</w:t>
      </w:r>
    </w:p>
    <w:p>
      <w:pPr>
        <w:spacing w:after="0" w:line="130"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voting on any Extraordinary Resolution other than one relating to a Reserved Matter, one vote more than half; and</w:t>
      </w:r>
    </w:p>
    <w:p>
      <w:pPr>
        <w:spacing w:after="0" w:line="130"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voting on any Extraordinary Resolution relating to a Reserved Matter, three quarters;</w:t>
      </w:r>
    </w:p>
    <w:p>
      <w:pPr>
        <w:spacing w:after="0" w:line="1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however</w:t>
      </w:r>
      <w:r>
        <w:rPr>
          <w:rFonts w:ascii="Times New Roman" w:cs="Times New Roman" w:eastAsia="Times New Roman" w:hAnsi="Times New Roman"/>
          <w:sz w:val="18"/>
          <w:szCs w:val="18"/>
          <w:color w:val="auto"/>
        </w:rPr>
        <w:t>, that, in the case of a Meeting which has resumed after adjournment for want of a quorum it means:</w:t>
      </w:r>
    </w:p>
    <w:p>
      <w:pPr>
        <w:spacing w:after="0" w:line="135" w:lineRule="exact"/>
        <w:rPr>
          <w:sz w:val="20"/>
          <w:szCs w:val="20"/>
          <w:color w:val="auto"/>
        </w:rPr>
      </w:pPr>
    </w:p>
    <w:p>
      <w:pPr>
        <w:ind w:left="540" w:right="380" w:hanging="532"/>
        <w:spacing w:after="0" w:line="282" w:lineRule="auto"/>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business other than voting on an Extraordinary Resolution relating to a Reserved Matter, the fraction of the aggregate principal amount of the outstanding Notes represented or held by the Voters actually present at the Meeting; and</w:t>
      </w:r>
    </w:p>
    <w:p>
      <w:pPr>
        <w:spacing w:after="0" w:line="67"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voting on any Extraordinary Resolution relating to a Reserved Matter, one quarter;</w:t>
      </w:r>
    </w:p>
    <w:p>
      <w:pPr>
        <w:spacing w:after="0" w:line="1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Reserved Matter </w:t>
      </w:r>
      <w:r>
        <w:rPr>
          <w:rFonts w:ascii="Times New Roman" w:cs="Times New Roman" w:eastAsia="Times New Roman" w:hAnsi="Times New Roman"/>
          <w:sz w:val="18"/>
          <w:szCs w:val="18"/>
          <w:color w:val="auto"/>
        </w:rPr>
        <w:t>means any proposal:</w:t>
      </w:r>
    </w:p>
    <w:p>
      <w:pPr>
        <w:spacing w:after="0" w:line="135" w:lineRule="exact"/>
        <w:rPr>
          <w:sz w:val="20"/>
          <w:szCs w:val="20"/>
          <w:color w:val="auto"/>
        </w:rPr>
      </w:pPr>
    </w:p>
    <w:p>
      <w:pPr>
        <w:jc w:val="both"/>
        <w:ind w:left="540" w:right="100" w:hanging="532"/>
        <w:spacing w:after="0" w:line="266" w:lineRule="auto"/>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any date fixed for payment of principal or interest in respect of the Notes, to reduce the amount of principal or interest payable on any date in respect of the Notes or to alter the method of calculating the amount of any payment in respect of the Notes on redemption or maturity or the date for any such payment;</w:t>
      </w:r>
    </w:p>
    <w:p>
      <w:pPr>
        <w:spacing w:after="0" w:line="81" w:lineRule="exact"/>
        <w:rPr>
          <w:rFonts w:ascii="Times New Roman" w:cs="Times New Roman" w:eastAsia="Times New Roman" w:hAnsi="Times New Roman"/>
          <w:sz w:val="18"/>
          <w:szCs w:val="18"/>
          <w:color w:val="auto"/>
        </w:rPr>
      </w:pPr>
    </w:p>
    <w:p>
      <w:pPr>
        <w:ind w:left="540" w:right="140" w:hanging="532"/>
        <w:spacing w:after="0" w:line="266" w:lineRule="auto"/>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the exchange or substitution of the Notes for, or the conversion of the Notes into, shares, bonds or other obligations or securities of the Company or any other person or body corporate formed or to be formed, including, without limitation, pursuant to a Change of Control;</w:t>
      </w:r>
    </w:p>
    <w:p>
      <w:pPr>
        <w:spacing w:after="0" w:line="81"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the currency in which amounts due in respect of the Notes are payable;</w:t>
      </w:r>
    </w:p>
    <w:p>
      <w:pPr>
        <w:spacing w:after="0" w:line="130"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the quorum required at any Meeting or the majority required to pass an Extraordinary Resolution; or</w:t>
      </w:r>
    </w:p>
    <w:p>
      <w:pPr>
        <w:spacing w:after="0" w:line="130"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amend this definition;</w:t>
      </w:r>
    </w:p>
    <w:p>
      <w:pPr>
        <w:spacing w:after="0" w:line="113" w:lineRule="exact"/>
        <w:rPr>
          <w:sz w:val="20"/>
          <w:szCs w:val="20"/>
          <w:color w:val="auto"/>
        </w:rPr>
      </w:pPr>
    </w:p>
    <w:p>
      <w:pPr>
        <w:ind w:left="20" w:right="1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Voter </w:t>
      </w:r>
      <w:r>
        <w:rPr>
          <w:rFonts w:ascii="Times New Roman" w:cs="Times New Roman" w:eastAsia="Times New Roman" w:hAnsi="Times New Roman"/>
          <w:sz w:val="18"/>
          <w:szCs w:val="18"/>
          <w:color w:val="auto"/>
        </w:rPr>
        <w:t>means, in relation to any Meeting (a) a Proxy or (b) (subject to Clause 5 (Record Date) below) a Noteholder;</w:t>
      </w:r>
      <w:r>
        <w:rPr>
          <w:rFonts w:ascii="Times New Roman" w:cs="Times New Roman" w:eastAsia="Times New Roman" w:hAnsi="Times New Roman"/>
          <w:sz w:val="18"/>
          <w:szCs w:val="18"/>
          <w:b w:val="1"/>
          <w:bCs w:val="1"/>
          <w:color w:val="auto"/>
        </w:rPr>
        <w:t xml:space="preserve"> 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however</w:t>
      </w:r>
      <w:r>
        <w:rPr>
          <w:rFonts w:ascii="Times New Roman" w:cs="Times New Roman" w:eastAsia="Times New Roman" w:hAnsi="Times New Roman"/>
          <w:sz w:val="18"/>
          <w:szCs w:val="18"/>
          <w:color w:val="auto"/>
        </w:rPr>
        <w:t>,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Clause 5 (Record Date) below) any Noteholder which has appointed a Proxy under a Block Voting Instruction or Form of Proxy shall not be a “Voter” except to the extent that such appointment has been revoked and the Registrar notified in writing of such revocation at least 48 hours before the time fixed for such Meeting;</w:t>
      </w:r>
    </w:p>
    <w:p>
      <w:pPr>
        <w:spacing w:after="0" w:line="68" w:lineRule="exact"/>
        <w:rPr>
          <w:sz w:val="20"/>
          <w:szCs w:val="20"/>
          <w:color w:val="auto"/>
        </w:rPr>
      </w:pPr>
    </w:p>
    <w:p>
      <w:pPr>
        <w:jc w:val="both"/>
        <w:ind w:left="20" w:right="3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Written Resolution </w:t>
      </w:r>
      <w:r>
        <w:rPr>
          <w:rFonts w:ascii="Times New Roman" w:cs="Times New Roman" w:eastAsia="Times New Roman" w:hAnsi="Times New Roman"/>
          <w:sz w:val="18"/>
          <w:szCs w:val="18"/>
          <w:color w:val="auto"/>
        </w:rPr>
        <w:t>means a resolution in writing signed by or on behalf of all holders of Notes who for the time being are entitled to receive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of a Meeting in accordance with the provisions of this Schedule, whether contained in one document or several documents in the same form, each signed by or on behalf of one or more such holders of the Notes;</w:t>
      </w:r>
    </w:p>
    <w:p>
      <w:pPr>
        <w:spacing w:after="0" w:line="10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540"/>
          </w:cols>
          <w:pgMar w:left="860" w:top="270" w:right="499" w:bottom="1440" w:gutter="0" w:footer="0" w:header="0"/>
        </w:sectPr>
      </w:pPr>
    </w:p>
    <w:bookmarkStart w:id="47" w:name="page48"/>
    <w:bookmarkEnd w:id="47"/>
    <w:p>
      <w:pPr>
        <w:jc w:val="both"/>
        <w:ind w:left="444" w:right="180"/>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24 hours </w:t>
      </w:r>
      <w:r>
        <w:rPr>
          <w:rFonts w:ascii="Times New Roman" w:cs="Times New Roman" w:eastAsia="Times New Roman" w:hAnsi="Times New Roman"/>
          <w:sz w:val="18"/>
          <w:szCs w:val="18"/>
          <w:color w:val="auto"/>
        </w:rPr>
        <w:t>means a period of 24 hours including all or part of a day upon which banks are open for business in both the places where the relevant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is to be held and in each of the places where each Paying Agent has its office as specified in Clause 18 of the Fiscal and Paying Agency Agreement (disregarding for this purpose the day upon which such Meeting is to be held) and such period shall be extended by one period or, to the extent necessary, more periods of 24 hours until there is included as aforesaid all or part of a day upon which banks are open for business as aforesaid; and</w:t>
      </w:r>
    </w:p>
    <w:p>
      <w:pPr>
        <w:spacing w:after="0" w:line="7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48 hours </w:t>
      </w:r>
      <w:r>
        <w:rPr>
          <w:rFonts w:ascii="Times New Roman" w:cs="Times New Roman" w:eastAsia="Times New Roman" w:hAnsi="Times New Roman"/>
          <w:sz w:val="18"/>
          <w:szCs w:val="18"/>
          <w:color w:val="auto"/>
        </w:rPr>
        <w:t>means two consecutive periods of 24 hours.</w:t>
      </w:r>
    </w:p>
    <w:p>
      <w:pPr>
        <w:spacing w:after="0" w:line="374" w:lineRule="exact"/>
        <w:rPr>
          <w:sz w:val="20"/>
          <w:szCs w:val="20"/>
          <w:color w:val="auto"/>
        </w:rPr>
      </w:pPr>
    </w:p>
    <w:p>
      <w:pPr>
        <w:ind w:left="424" w:hanging="424"/>
        <w:spacing w:after="0"/>
        <w:tabs>
          <w:tab w:leader="none" w:pos="424"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ISSUE OF VOTING CERTIFICATES AND BLOCK VOTING INSTRUCTIONS</w:t>
      </w:r>
    </w:p>
    <w:p>
      <w:pPr>
        <w:spacing w:after="0" w:line="121" w:lineRule="exact"/>
        <w:rPr>
          <w:rFonts w:ascii="Times New Roman" w:cs="Times New Roman" w:eastAsia="Times New Roman" w:hAnsi="Times New Roman"/>
          <w:sz w:val="18"/>
          <w:szCs w:val="18"/>
          <w:b w:val="1"/>
          <w:bCs w:val="1"/>
          <w:color w:val="auto"/>
        </w:rPr>
      </w:pPr>
    </w:p>
    <w:p>
      <w:pPr>
        <w:ind w:left="444"/>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 of an interest in a Note may require the Registrar to issue a Block Voting Instruction by arranging (to the satisfaction of the Registrar) for such Note to be blocked in an account with a clearing system not later than 48 hours before the time fixed for the relevant Meeting. The registered holder of a Note may require the Registrar to issue a Block Voting Instruction by delivering to the Registrar written instructions not later than 48 hours before the time fixed for the relevant meeting. Any registered holder of a Note may obtain an uncompleted and unexecuted Form of Proxy from the Registrar. A Block Voting Instruction shall be valid until the release of Blocked Notes to which it relates. A Form of Proxy and a Block Voting Instruction cannot be outstanding simultaneously in respect of the same Note.</w:t>
      </w:r>
    </w:p>
    <w:p>
      <w:pPr>
        <w:spacing w:after="0" w:line="331"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REFERENCES TO BLOCKING/RELEASE OF NOTES</w:t>
      </w:r>
    </w:p>
    <w:p>
      <w:pPr>
        <w:spacing w:after="0" w:line="121" w:lineRule="exact"/>
        <w:rPr>
          <w:rFonts w:ascii="Times New Roman" w:cs="Times New Roman" w:eastAsia="Times New Roman" w:hAnsi="Times New Roman"/>
          <w:sz w:val="18"/>
          <w:szCs w:val="18"/>
          <w:b w:val="1"/>
          <w:bCs w:val="1"/>
          <w:color w:val="auto"/>
        </w:rPr>
      </w:pPr>
    </w:p>
    <w:p>
      <w:pPr>
        <w:ind w:left="444" w:right="1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Where Notes are represented by Global Note Certificates and/or are held within a clearing system, references to the blocking, or release, of Notes shall be construed in accordance with the usual practices (including blocking the relevant account) of such clearing system.</w:t>
      </w:r>
    </w:p>
    <w:p>
      <w:pPr>
        <w:spacing w:after="0" w:line="306"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VALIDITY OF BLOCK VOTING INSTRUCTIONS AND FORMS OF PROXY</w:t>
      </w:r>
    </w:p>
    <w:p>
      <w:pPr>
        <w:spacing w:after="0" w:line="121" w:lineRule="exact"/>
        <w:rPr>
          <w:rFonts w:ascii="Times New Roman" w:cs="Times New Roman" w:eastAsia="Times New Roman" w:hAnsi="Times New Roman"/>
          <w:sz w:val="18"/>
          <w:szCs w:val="18"/>
          <w:b w:val="1"/>
          <w:bCs w:val="1"/>
          <w:color w:val="auto"/>
        </w:rPr>
      </w:pPr>
    </w:p>
    <w:p>
      <w:pPr>
        <w:ind w:left="444" w:right="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Block Voting Instructions and Forms of Proxy shall be valid only if they are deposited at the office of the Registrar as specified in Clause 18 of the Fiscal and Paying Agency Agreement, or at some other place approved by the Registrar, at least 24 hours before the time fixed for the relevant Meeting or the Chair decides otherwise before the Meeting proceeds to business. If the Registrar requires, a notarized copy of each Block Voting Instruction and Form of Proxy and satisfactory proof of the identity of each Proxy named therein shall be produced at the Meeting. The Registrar shall not be obliged to investigate the validity of any Block Voting Instruction or Form of Proxy or the authority of any Proxy.</w:t>
      </w:r>
    </w:p>
    <w:p>
      <w:pPr>
        <w:spacing w:after="0" w:line="327"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RECORD DATE</w:t>
      </w:r>
    </w:p>
    <w:p>
      <w:pPr>
        <w:spacing w:after="0" w:line="121" w:lineRule="exact"/>
        <w:rPr>
          <w:rFonts w:ascii="Times New Roman" w:cs="Times New Roman" w:eastAsia="Times New Roman" w:hAnsi="Times New Roman"/>
          <w:sz w:val="18"/>
          <w:szCs w:val="18"/>
          <w:b w:val="1"/>
          <w:bCs w:val="1"/>
          <w:color w:val="auto"/>
        </w:rPr>
      </w:pPr>
    </w:p>
    <w:p>
      <w:pPr>
        <w:ind w:left="444" w:right="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may fix a record date for the purposes of any Meeting or any resumption thereof following its adjournment for want of a quorum; provided that such record date is not more than 30 days prior to the time fixed for such Meeting or (as the case may be) its resumption. The person in whose name a Note is registered in the Register on the record date at close of business in the city in which the Registrar has its office, as specified in Clause 18 of the Fiscal and Paying Agency Agreement, shall be deemed to be the holder of such Note for the purpose of such Meeting and notwithstanding any subsequent transfer of such Note or entries in the Register.</w:t>
      </w:r>
    </w:p>
    <w:p>
      <w:pPr>
        <w:spacing w:after="0" w:line="327"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CONVENING OF MEETING</w:t>
      </w:r>
    </w:p>
    <w:p>
      <w:pPr>
        <w:spacing w:after="0" w:line="121" w:lineRule="exact"/>
        <w:rPr>
          <w:rFonts w:ascii="Times New Roman" w:cs="Times New Roman" w:eastAsia="Times New Roman" w:hAnsi="Times New Roman"/>
          <w:sz w:val="18"/>
          <w:szCs w:val="18"/>
          <w:b w:val="1"/>
          <w:bCs w:val="1"/>
          <w:color w:val="auto"/>
        </w:rPr>
      </w:pPr>
    </w:p>
    <w:p>
      <w:pPr>
        <w:ind w:left="444" w:right="1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may convene a Meeting at any time, and shall be obliged to do so upon the request in writing of Noteholders holding not less than one tenth of the aggregate principal amount of the outstanding Notes.</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24"/>
          </w:cols>
          <w:pgMar w:left="436" w:top="266" w:right="439" w:bottom="1440" w:gutter="0" w:footer="0" w:header="0"/>
        </w:sectPr>
      </w:pPr>
    </w:p>
    <w:bookmarkStart w:id="48" w:name="page49"/>
    <w:bookmarkEnd w:id="48"/>
    <w:p>
      <w:pPr>
        <w:ind w:left="424" w:hanging="424"/>
        <w:spacing w:after="0"/>
        <w:tabs>
          <w:tab w:leader="none" w:pos="424"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w:t>
      </w:r>
    </w:p>
    <w:p>
      <w:pPr>
        <w:spacing w:after="0" w:line="121" w:lineRule="exact"/>
        <w:rPr>
          <w:rFonts w:ascii="Times New Roman" w:cs="Times New Roman" w:eastAsia="Times New Roman" w:hAnsi="Times New Roman"/>
          <w:sz w:val="18"/>
          <w:szCs w:val="18"/>
          <w:b w:val="1"/>
          <w:bCs w:val="1"/>
          <w:color w:val="auto"/>
        </w:rPr>
      </w:pPr>
    </w:p>
    <w:p>
      <w:pPr>
        <w:ind w:left="444" w:right="20"/>
        <w:spacing w:after="0" w:line="27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At least 21 days’ notice (exclusive of the day on which the notice is given and of the day on which the relevant Meeting is to be held) specifying the date, time and place of the Meeting (which need not be a physical place and instead may be by way of conference call, including by use of a videoconference platform) shall be given to the Noteholders and the Registrar (with a copy to the Company). The notice shall set out the full text of any resolutions to be proposed and shall state that the Notes may be blocked in clearing systems for the purposes of appointing Proxies under Block Voting Instructions until 48 hours before the time fixed for the Meeting and that Noteholders may also appoint Proxies either under a Block Voting Instruction by delivering written instructions to the Registrar or by executing and delivering a Form of Proxy to the office of the Registrar, as specified in Clause 18 of the Fiscal and Paying Agency Agreement, in either case until 48 hours before the time fixed for the Meeting.</w:t>
      </w:r>
    </w:p>
    <w:p>
      <w:pPr>
        <w:spacing w:after="0" w:line="315"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CHAIR</w:t>
      </w:r>
    </w:p>
    <w:p>
      <w:pPr>
        <w:spacing w:after="0" w:line="121" w:lineRule="exact"/>
        <w:rPr>
          <w:rFonts w:ascii="Times New Roman" w:cs="Times New Roman" w:eastAsia="Times New Roman" w:hAnsi="Times New Roman"/>
          <w:sz w:val="18"/>
          <w:szCs w:val="18"/>
          <w:b w:val="1"/>
          <w:bCs w:val="1"/>
          <w:color w:val="auto"/>
        </w:rPr>
      </w:pPr>
    </w:p>
    <w:p>
      <w:pPr>
        <w:ind w:left="444" w:right="1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individual (who may, but need not, be a Noteholder) nominated in writing by the Company may take the chair at any Meeting but, if no such nomination is made or if the individual nominated is not present within 15 minutes after the time fixed for the Meeting, those present shall elect one of themselves to take the chair failing which, the Company may appoint a Chair. The Chair of an adjourned Meeting need not be the same person as was the Chair of the original Meeting.</w:t>
      </w:r>
    </w:p>
    <w:p>
      <w:pPr>
        <w:spacing w:after="0" w:line="324"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QUORUM</w:t>
      </w:r>
    </w:p>
    <w:p>
      <w:pPr>
        <w:spacing w:after="0" w:line="121" w:lineRule="exact"/>
        <w:rPr>
          <w:rFonts w:ascii="Times New Roman" w:cs="Times New Roman" w:eastAsia="Times New Roman" w:hAnsi="Times New Roman"/>
          <w:sz w:val="18"/>
          <w:szCs w:val="18"/>
          <w:b w:val="1"/>
          <w:bCs w:val="1"/>
          <w:color w:val="auto"/>
        </w:rPr>
      </w:pPr>
    </w:p>
    <w:p>
      <w:pPr>
        <w:ind w:left="444" w:right="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quorum at any Meeting shall be at least two Voters representing or holding not less than the Relevant Fraction of the aggregate principal amount of the outstanding Notes; </w:t>
      </w:r>
      <w:r>
        <w:rPr>
          <w:rFonts w:ascii="Times New Roman" w:cs="Times New Roman" w:eastAsia="Times New Roman" w:hAnsi="Times New Roman"/>
          <w:sz w:val="18"/>
          <w:szCs w:val="18"/>
          <w:b w:val="1"/>
          <w:b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however</w:t>
      </w:r>
      <w:r>
        <w:rPr>
          <w:rFonts w:ascii="Times New Roman" w:cs="Times New Roman" w:eastAsia="Times New Roman" w:hAnsi="Times New Roman"/>
          <w:sz w:val="18"/>
          <w:szCs w:val="18"/>
          <w:color w:val="auto"/>
        </w:rPr>
        <w:t>, that, so long as at least the Relevant Fraction of the aggregate principal amount of the outstanding Notes is represented by the Global Note Certificates or a single Individual Note Certificate, a single Vote appointed in relation thereto or being the holder of the Notes represented thereby shall be deemed to be two Voters for the purpose of forming a quorum.</w:t>
      </w:r>
    </w:p>
    <w:p>
      <w:pPr>
        <w:spacing w:after="0" w:line="324"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ADJOURNMENT FOR WANT OF QUORUM</w:t>
      </w:r>
    </w:p>
    <w:p>
      <w:pPr>
        <w:spacing w:after="0" w:line="121"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within 15 minutes after the time fixed for any Meeting a quorum is not present, then:</w:t>
      </w:r>
    </w:p>
    <w:p>
      <w:pPr>
        <w:spacing w:after="0" w:line="130" w:lineRule="exact"/>
        <w:rPr>
          <w:rFonts w:ascii="Times New Roman" w:cs="Times New Roman" w:eastAsia="Times New Roman" w:hAnsi="Times New Roman"/>
          <w:sz w:val="18"/>
          <w:szCs w:val="18"/>
          <w:b w:val="1"/>
          <w:bCs w:val="1"/>
          <w:color w:val="auto"/>
        </w:rPr>
      </w:pPr>
    </w:p>
    <w:p>
      <w:pPr>
        <w:ind w:left="964" w:hanging="532"/>
        <w:spacing w:after="0"/>
        <w:tabs>
          <w:tab w:leader="none" w:pos="964"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Meeting requested by Noteholders, it shall be dissolved; and</w:t>
      </w:r>
    </w:p>
    <w:p>
      <w:pPr>
        <w:spacing w:after="0" w:line="130" w:lineRule="exact"/>
        <w:rPr>
          <w:rFonts w:ascii="Times New Roman" w:cs="Times New Roman" w:eastAsia="Times New Roman" w:hAnsi="Times New Roman"/>
          <w:sz w:val="18"/>
          <w:szCs w:val="18"/>
          <w:color w:val="auto"/>
        </w:rPr>
      </w:pPr>
    </w:p>
    <w:p>
      <w:pPr>
        <w:ind w:left="964" w:hanging="532"/>
        <w:spacing w:after="0" w:line="282" w:lineRule="auto"/>
        <w:tabs>
          <w:tab w:leader="none" w:pos="964"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any other Meeting, it shall be adjourned for such period (which shall be not less than 14 days and not more than 42 days) and to such place as the Chair determines; </w:t>
      </w:r>
      <w:r>
        <w:rPr>
          <w:rFonts w:ascii="Times New Roman" w:cs="Times New Roman" w:eastAsia="Times New Roman" w:hAnsi="Times New Roman"/>
          <w:sz w:val="18"/>
          <w:szCs w:val="18"/>
          <w:b w:val="1"/>
          <w:b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however</w:t>
      </w:r>
      <w:r>
        <w:rPr>
          <w:rFonts w:ascii="Times New Roman" w:cs="Times New Roman" w:eastAsia="Times New Roman" w:hAnsi="Times New Roman"/>
          <w:sz w:val="18"/>
          <w:szCs w:val="18"/>
          <w:color w:val="auto"/>
        </w:rPr>
        <w:t>, that:</w:t>
      </w:r>
    </w:p>
    <w:p>
      <w:pPr>
        <w:spacing w:after="0" w:line="67"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Meeting shall be dissolved if the Company so decides; and</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Meeting may be adjourned more than once for want of a quorum.</w:t>
      </w:r>
    </w:p>
    <w:p>
      <w:pPr>
        <w:spacing w:after="0" w:line="36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ADJOURNED MEETING</w:t>
      </w:r>
    </w:p>
    <w:p>
      <w:pPr>
        <w:spacing w:after="0" w:line="121" w:lineRule="exact"/>
        <w:rPr>
          <w:rFonts w:ascii="Times New Roman" w:cs="Times New Roman" w:eastAsia="Times New Roman" w:hAnsi="Times New Roman"/>
          <w:sz w:val="18"/>
          <w:szCs w:val="18"/>
          <w:b w:val="1"/>
          <w:bCs w:val="1"/>
          <w:color w:val="auto"/>
        </w:rPr>
      </w:pPr>
    </w:p>
    <w:p>
      <w:pPr>
        <w:ind w:left="444"/>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Chair may, with the consent of (and shall if directed by) any Meeting, adjourn such Meeting from time to time and from place to place, but no business shall be transacted at any adjourned Meeting except business which might lawfully have been transacted at the Meeting from which the adjournment took place.</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984"/>
          </w:cols>
          <w:pgMar w:left="436" w:top="266" w:right="479" w:bottom="1440" w:gutter="0" w:footer="0" w:header="0"/>
        </w:sectPr>
      </w:pPr>
    </w:p>
    <w:bookmarkStart w:id="49" w:name="page50"/>
    <w:bookmarkEnd w:id="49"/>
    <w:p>
      <w:pPr>
        <w:ind w:left="424" w:hanging="424"/>
        <w:spacing w:after="0"/>
        <w:tabs>
          <w:tab w:leader="none" w:pos="424"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 FOLLOWING ADJOURNMENT</w:t>
      </w:r>
    </w:p>
    <w:p>
      <w:pPr>
        <w:spacing w:after="0" w:line="121"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Clause 7 shall apply to any Meeting which is to be resumed after adjournment for want of a quorum; provided, however, that:</w:t>
      </w:r>
    </w:p>
    <w:p>
      <w:pPr>
        <w:spacing w:after="0" w:line="130" w:lineRule="exact"/>
        <w:rPr>
          <w:rFonts w:ascii="Times New Roman" w:cs="Times New Roman" w:eastAsia="Times New Roman" w:hAnsi="Times New Roman"/>
          <w:sz w:val="18"/>
          <w:szCs w:val="18"/>
          <w:b w:val="1"/>
          <w:bCs w:val="1"/>
          <w:color w:val="auto"/>
        </w:rPr>
      </w:pPr>
    </w:p>
    <w:p>
      <w:pPr>
        <w:ind w:left="964" w:right="700" w:hanging="532"/>
        <w:spacing w:after="0" w:line="282" w:lineRule="auto"/>
        <w:tabs>
          <w:tab w:leader="none" w:pos="964"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days’ notice (exclusive of the day on which the notice is given and of the day on which the Meeting is to be resumed) shall be sufficient; and</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shall specifically set out the quorum requirements which will apply when the Meeting resumes.</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It shall not be necessary to give notice of the resumption of a Meeting which has been adjourned for any other reason.</w:t>
      </w:r>
    </w:p>
    <w:p>
      <w:pPr>
        <w:spacing w:after="0" w:line="370" w:lineRule="exact"/>
        <w:rPr>
          <w:sz w:val="20"/>
          <w:szCs w:val="20"/>
          <w:color w:val="auto"/>
        </w:rPr>
      </w:pPr>
    </w:p>
    <w:p>
      <w:pPr>
        <w:ind w:left="424" w:hanging="424"/>
        <w:spacing w:after="0"/>
        <w:tabs>
          <w:tab w:leader="none" w:pos="424"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PARTICIPATION</w:t>
      </w:r>
    </w:p>
    <w:p>
      <w:pPr>
        <w:spacing w:after="0" w:line="121"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may attend and speak at a Meeting:</w:t>
      </w:r>
    </w:p>
    <w:p>
      <w:pPr>
        <w:spacing w:after="0" w:line="130" w:lineRule="exact"/>
        <w:rPr>
          <w:rFonts w:ascii="Times New Roman" w:cs="Times New Roman" w:eastAsia="Times New Roman" w:hAnsi="Times New Roman"/>
          <w:sz w:val="18"/>
          <w:szCs w:val="18"/>
          <w:b w:val="1"/>
          <w:bCs w:val="1"/>
          <w:color w:val="auto"/>
        </w:rPr>
      </w:pPr>
    </w:p>
    <w:p>
      <w:pPr>
        <w:ind w:left="964" w:hanging="532"/>
        <w:spacing w:after="0"/>
        <w:tabs>
          <w:tab w:leader="none" w:pos="964"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Voters;</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representatives of the Company and the Registrar;</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advisers of the Company;</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counsel to the Company and the Registrar; and</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person approved by the Meeting.</w:t>
      </w:r>
    </w:p>
    <w:p>
      <w:pPr>
        <w:spacing w:after="0" w:line="36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SHOW OF HANDS</w:t>
      </w:r>
    </w:p>
    <w:p>
      <w:pPr>
        <w:spacing w:after="0" w:line="121" w:lineRule="exact"/>
        <w:rPr>
          <w:rFonts w:ascii="Times New Roman" w:cs="Times New Roman" w:eastAsia="Times New Roman" w:hAnsi="Times New Roman"/>
          <w:sz w:val="18"/>
          <w:szCs w:val="18"/>
          <w:b w:val="1"/>
          <w:bCs w:val="1"/>
          <w:color w:val="auto"/>
        </w:rPr>
      </w:pPr>
    </w:p>
    <w:p>
      <w:pPr>
        <w:ind w:left="444" w:right="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Every question submitted to a Meeting shall be decided in the first instance by a show of hands. Unless a poll is validly demanded before or at the time that the result is declared, the Chair’s declaration that on a show of hands a resolution has been passed, passed by a particular majority, rejected or rejected by a particular majority shall be conclusive, without proof of the number of votes cast for, or against, the resolution. Where there is only one Voter, this clause shall not apply and the resolution will immediately be decided by means of a poll.</w:t>
      </w:r>
    </w:p>
    <w:p>
      <w:pPr>
        <w:spacing w:after="0" w:line="283" w:lineRule="exact"/>
        <w:rPr>
          <w:rFonts w:ascii="Times New Roman" w:cs="Times New Roman" w:eastAsia="Times New Roman" w:hAnsi="Times New Roman"/>
          <w:sz w:val="18"/>
          <w:szCs w:val="18"/>
          <w:b w:val="1"/>
          <w:bCs w:val="1"/>
          <w:color w:val="auto"/>
        </w:rPr>
      </w:pPr>
    </w:p>
    <w:p>
      <w:pPr>
        <w:ind w:left="264" w:hanging="264"/>
        <w:spacing w:after="0"/>
        <w:tabs>
          <w:tab w:leader="none" w:pos="264"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POLL</w:t>
      </w:r>
    </w:p>
    <w:p>
      <w:pPr>
        <w:spacing w:after="0" w:line="121" w:lineRule="exact"/>
        <w:rPr>
          <w:sz w:val="20"/>
          <w:szCs w:val="20"/>
          <w:color w:val="auto"/>
        </w:rPr>
      </w:pPr>
    </w:p>
    <w:p>
      <w:pPr>
        <w:ind w:left="444"/>
        <w:spacing w:after="0" w:line="261" w:lineRule="auto"/>
        <w:rPr>
          <w:sz w:val="20"/>
          <w:szCs w:val="20"/>
          <w:color w:val="auto"/>
        </w:rPr>
      </w:pPr>
      <w:r>
        <w:rPr>
          <w:rFonts w:ascii="Times New Roman" w:cs="Times New Roman" w:eastAsia="Times New Roman" w:hAnsi="Times New Roman"/>
          <w:sz w:val="18"/>
          <w:szCs w:val="18"/>
          <w:color w:val="auto"/>
        </w:rPr>
        <w:t>A demand for a poll shall be valid if it is made by the Chair, the Company or one or more Voters representing or holding not less than one fiftieth of the aggregate principal amount of the outstanding Notes. The poll may be taken immediately or after such adjournment as the Chair directs, but any poll demanded on the election of the Chair or on any question of adjournment shall be taken at the Meeting without adjournment. A valid demand for a poll shall not prevent the continuation of the relevant Meeting for any other business as the Chair directs.</w:t>
      </w:r>
    </w:p>
    <w:p>
      <w:pPr>
        <w:spacing w:after="0" w:line="324" w:lineRule="exact"/>
        <w:rPr>
          <w:sz w:val="20"/>
          <w:szCs w:val="20"/>
          <w:color w:val="auto"/>
        </w:rPr>
      </w:pPr>
    </w:p>
    <w:p>
      <w:pPr>
        <w:ind w:left="424" w:hanging="424"/>
        <w:spacing w:after="0"/>
        <w:tabs>
          <w:tab w:leader="none" w:pos="424"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VOTES</w:t>
      </w:r>
    </w:p>
    <w:p>
      <w:pPr>
        <w:spacing w:after="0" w:line="121"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Every Voter shall have:</w:t>
      </w:r>
    </w:p>
    <w:p>
      <w:pPr>
        <w:spacing w:after="0" w:line="130" w:lineRule="exact"/>
        <w:rPr>
          <w:rFonts w:ascii="Times New Roman" w:cs="Times New Roman" w:eastAsia="Times New Roman" w:hAnsi="Times New Roman"/>
          <w:sz w:val="18"/>
          <w:szCs w:val="18"/>
          <w:b w:val="1"/>
          <w:bCs w:val="1"/>
          <w:color w:val="auto"/>
        </w:rPr>
      </w:pPr>
    </w:p>
    <w:p>
      <w:pPr>
        <w:ind w:left="964" w:hanging="532"/>
        <w:spacing w:after="0"/>
        <w:tabs>
          <w:tab w:leader="none" w:pos="964"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show of hands, one vote; and</w:t>
      </w:r>
    </w:p>
    <w:p>
      <w:pPr>
        <w:spacing w:after="0" w:line="15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964"/>
          </w:cols>
          <w:pgMar w:left="436" w:top="266" w:right="499" w:bottom="1440" w:gutter="0" w:footer="0" w:header="0"/>
        </w:sectPr>
      </w:pPr>
    </w:p>
    <w:bookmarkStart w:id="50" w:name="page51"/>
    <w:bookmarkEnd w:id="50"/>
    <w:p>
      <w:pPr>
        <w:ind w:left="444" w:right="1040" w:hanging="12"/>
        <w:spacing w:after="0" w:line="375" w:lineRule="auto"/>
        <w:tabs>
          <w:tab w:leader="none" w:pos="97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a poll, one vote in respect of each €1,000 in aggregate face amount of the outstanding Note(s) represented or held by him. In the case of a voting tie the Chair shall have a casting vote.</w:t>
      </w:r>
    </w:p>
    <w:p>
      <w:pPr>
        <w:spacing w:after="0" w:line="1" w:lineRule="exact"/>
        <w:rPr>
          <w:sz w:val="20"/>
          <w:szCs w:val="20"/>
          <w:color w:val="auto"/>
        </w:rPr>
      </w:pPr>
    </w:p>
    <w:p>
      <w:pPr>
        <w:ind w:left="444" w:right="120"/>
        <w:spacing w:after="0" w:line="282" w:lineRule="auto"/>
        <w:rPr>
          <w:sz w:val="20"/>
          <w:szCs w:val="20"/>
          <w:color w:val="auto"/>
        </w:rPr>
      </w:pPr>
      <w:r>
        <w:rPr>
          <w:rFonts w:ascii="Times New Roman" w:cs="Times New Roman" w:eastAsia="Times New Roman" w:hAnsi="Times New Roman"/>
          <w:sz w:val="18"/>
          <w:szCs w:val="18"/>
          <w:color w:val="auto"/>
        </w:rPr>
        <w:t>Unless the terms of any Block Voting Instruction state otherwise, a Voter shall not be obliged to exercise all the votes to which he is entitled or to cast all the votes which he exercises in the same way.</w:t>
      </w:r>
    </w:p>
    <w:p>
      <w:pPr>
        <w:spacing w:after="0" w:line="306" w:lineRule="exact"/>
        <w:rPr>
          <w:sz w:val="20"/>
          <w:szCs w:val="20"/>
          <w:color w:val="auto"/>
        </w:rPr>
      </w:pPr>
    </w:p>
    <w:p>
      <w:pPr>
        <w:ind w:left="424" w:hanging="424"/>
        <w:spacing w:after="0"/>
        <w:tabs>
          <w:tab w:leader="none" w:pos="424"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VALIDITY OF VOTES BY PROXIES</w:t>
      </w:r>
    </w:p>
    <w:p>
      <w:pPr>
        <w:spacing w:after="0" w:line="121" w:lineRule="exact"/>
        <w:rPr>
          <w:rFonts w:ascii="Times New Roman" w:cs="Times New Roman" w:eastAsia="Times New Roman" w:hAnsi="Times New Roman"/>
          <w:sz w:val="18"/>
          <w:szCs w:val="18"/>
          <w:b w:val="1"/>
          <w:bCs w:val="1"/>
          <w:color w:val="auto"/>
        </w:rPr>
      </w:pPr>
    </w:p>
    <w:p>
      <w:pPr>
        <w:ind w:left="444"/>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Any vote by a Proxy in accordance with the relevant Form of Proxy or Block Voting Instruction shall be valid even if such Form of Proxy or (as the case may be) Block Voting Instruction or any instruction pursuant to which it was given has been amended or revoked, </w:t>
      </w:r>
      <w:r>
        <w:rPr>
          <w:rFonts w:ascii="Times New Roman" w:cs="Times New Roman" w:eastAsia="Times New Roman" w:hAnsi="Times New Roman"/>
          <w:sz w:val="18"/>
          <w:szCs w:val="18"/>
          <w:b w:val="1"/>
          <w:bCs w:val="1"/>
          <w:color w:val="auto"/>
        </w:rPr>
        <w:t>provided</w:t>
      </w:r>
      <w:r>
        <w:rPr>
          <w:rFonts w:ascii="Times New Roman" w:cs="Times New Roman" w:eastAsia="Times New Roman" w:hAnsi="Times New Roman"/>
          <w:sz w:val="18"/>
          <w:szCs w:val="18"/>
          <w:color w:val="auto"/>
        </w:rPr>
        <w:t xml:space="preserve"> that the Registrar has not been notified in writing of such amendment or revocation by the time which is 48 hours before the time fixed for the relevant Meeting. Unless revoked, any appointment of a Proxy under a Block Voting Instruction or Form of Proxy in relation to a Meeting shall remain in force in relation to any resumption of such Meeting following an adjournment; </w:t>
      </w:r>
      <w:r>
        <w:rPr>
          <w:rFonts w:ascii="Times New Roman" w:cs="Times New Roman" w:eastAsia="Times New Roman" w:hAnsi="Times New Roman"/>
          <w:sz w:val="18"/>
          <w:szCs w:val="18"/>
          <w:b w:val="1"/>
          <w:b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however</w:t>
      </w:r>
      <w:r>
        <w:rPr>
          <w:rFonts w:ascii="Times New Roman" w:cs="Times New Roman" w:eastAsia="Times New Roman" w:hAnsi="Times New Roman"/>
          <w:sz w:val="18"/>
          <w:szCs w:val="18"/>
          <w:color w:val="auto"/>
        </w:rPr>
        <w:t>, that no such appointment of a Proxy in relation to a Meeting originally convened which has been adjourned for want of a quorum shall remain in force in relation to such Meeting when it is resumed. Any person appointed to vote at such a Meeting must be re-appointed under a Block Voting Instruction Proxy or Form of Proxy to vote at the Meeting when it is resumed.</w:t>
      </w:r>
    </w:p>
    <w:p>
      <w:pPr>
        <w:spacing w:after="0" w:line="336"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POWERS</w:t>
      </w:r>
    </w:p>
    <w:p>
      <w:pPr>
        <w:spacing w:after="0" w:line="121"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Meeting shall have power (exercisable by Extraordinary Resolution), without prejudice to any other powers conferred on it or any other person:</w:t>
      </w:r>
    </w:p>
    <w:p>
      <w:pPr>
        <w:spacing w:after="0" w:line="130" w:lineRule="exact"/>
        <w:rPr>
          <w:rFonts w:ascii="Times New Roman" w:cs="Times New Roman" w:eastAsia="Times New Roman" w:hAnsi="Times New Roman"/>
          <w:sz w:val="18"/>
          <w:szCs w:val="18"/>
          <w:b w:val="1"/>
          <w:bCs w:val="1"/>
          <w:color w:val="auto"/>
        </w:rPr>
      </w:pPr>
    </w:p>
    <w:p>
      <w:pPr>
        <w:ind w:left="964" w:hanging="532"/>
        <w:spacing w:after="0"/>
        <w:tabs>
          <w:tab w:leader="none" w:pos="96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any Reserved Matter;</w:t>
      </w:r>
    </w:p>
    <w:p>
      <w:pPr>
        <w:spacing w:after="0" w:line="130" w:lineRule="exact"/>
        <w:rPr>
          <w:rFonts w:ascii="Times New Roman" w:cs="Times New Roman" w:eastAsia="Times New Roman" w:hAnsi="Times New Roman"/>
          <w:sz w:val="18"/>
          <w:szCs w:val="18"/>
          <w:color w:val="auto"/>
        </w:rPr>
      </w:pPr>
    </w:p>
    <w:p>
      <w:pPr>
        <w:ind w:left="964" w:right="120" w:hanging="532"/>
        <w:spacing w:after="0" w:line="282" w:lineRule="auto"/>
        <w:tabs>
          <w:tab w:leader="none" w:pos="96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any proposal by the Company for any modification, abrogation, variation or compromise of any of the terms and conditions of the Notes or any arrangement in respect of the obligations of the Company under or in respect of the Notes;</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substitution of any person for the Company (or any previous substitute) as principal obligor under the Notes;</w:t>
      </w:r>
    </w:p>
    <w:p>
      <w:pPr>
        <w:spacing w:after="0" w:line="130" w:lineRule="exact"/>
        <w:rPr>
          <w:rFonts w:ascii="Times New Roman" w:cs="Times New Roman" w:eastAsia="Times New Roman" w:hAnsi="Times New Roman"/>
          <w:sz w:val="18"/>
          <w:szCs w:val="18"/>
          <w:color w:val="auto"/>
        </w:rPr>
      </w:pPr>
    </w:p>
    <w:p>
      <w:pPr>
        <w:ind w:left="964" w:right="400" w:hanging="532"/>
        <w:spacing w:after="0" w:line="282" w:lineRule="auto"/>
        <w:tabs>
          <w:tab w:leader="none" w:pos="96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waive any breach or authorize any proposed breach by the Company of its obligations under or in respect of the Notes or any act or omission which might otherwise constitute an event of default under the Notes;</w:t>
      </w:r>
    </w:p>
    <w:p>
      <w:pPr>
        <w:spacing w:after="0" w:line="67" w:lineRule="exact"/>
        <w:rPr>
          <w:rFonts w:ascii="Times New Roman" w:cs="Times New Roman" w:eastAsia="Times New Roman" w:hAnsi="Times New Roman"/>
          <w:sz w:val="18"/>
          <w:szCs w:val="18"/>
          <w:color w:val="auto"/>
        </w:rPr>
      </w:pPr>
    </w:p>
    <w:p>
      <w:pPr>
        <w:ind w:left="964" w:right="440" w:hanging="532"/>
        <w:spacing w:after="0" w:line="282" w:lineRule="auto"/>
        <w:tabs>
          <w:tab w:leader="none" w:pos="96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the Registrar or any other person to execute all documents and do all things necessary to give effect to any Extraordinary Resolution;</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give any other authorization or approval which is required to be given by Extraordinary Resolution; and</w:t>
      </w:r>
    </w:p>
    <w:p>
      <w:pPr>
        <w:spacing w:after="0" w:line="130" w:lineRule="exact"/>
        <w:rPr>
          <w:rFonts w:ascii="Times New Roman" w:cs="Times New Roman" w:eastAsia="Times New Roman" w:hAnsi="Times New Roman"/>
          <w:sz w:val="18"/>
          <w:szCs w:val="18"/>
          <w:color w:val="auto"/>
        </w:rPr>
      </w:pPr>
    </w:p>
    <w:p>
      <w:pPr>
        <w:ind w:left="964" w:right="160" w:hanging="532"/>
        <w:spacing w:after="0" w:line="282" w:lineRule="auto"/>
        <w:tabs>
          <w:tab w:leader="none" w:pos="96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appoint any persons as a committee to represent the interests of the Noteholders and to confer upon such committee any powers which the Noteholders could themselves exercise by Extraordinary Resolution.</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04"/>
          </w:cols>
          <w:pgMar w:left="436" w:top="270" w:right="459" w:bottom="1440" w:gutter="0" w:footer="0" w:header="0"/>
        </w:sectPr>
      </w:pPr>
    </w:p>
    <w:bookmarkStart w:id="51" w:name="page52"/>
    <w:bookmarkEnd w:id="51"/>
    <w:p>
      <w:pPr>
        <w:ind w:left="424" w:hanging="424"/>
        <w:spacing w:after="0"/>
        <w:tabs>
          <w:tab w:leader="none" w:pos="424"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EXTRAORDINARY RESOLUTION BINDS ALL HOLDERS</w:t>
      </w:r>
    </w:p>
    <w:p>
      <w:pPr>
        <w:spacing w:after="0" w:line="121" w:lineRule="exact"/>
        <w:rPr>
          <w:rFonts w:ascii="Times New Roman" w:cs="Times New Roman" w:eastAsia="Times New Roman" w:hAnsi="Times New Roman"/>
          <w:sz w:val="18"/>
          <w:szCs w:val="18"/>
          <w:b w:val="1"/>
          <w:bCs w:val="1"/>
          <w:color w:val="auto"/>
        </w:rPr>
      </w:pPr>
    </w:p>
    <w:p>
      <w:pPr>
        <w:ind w:left="444" w:right="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Extraordinary Resolution shall be binding upon all Noteholders whether or not present at the relevant Meeting and whether or not voting on such Extraordinary Resolution (including when passed by way of electronic consent) and each of the Noteholders shall be bound to give effect to it accordingly. Notice of the result of every vote on an Extraordinary Resolution shall be given to the Noteholders and the Paying Agents (with a copy to the Company) within 14 days of the conclusion of the Meeting.</w:t>
      </w:r>
    </w:p>
    <w:p>
      <w:pPr>
        <w:spacing w:after="0" w:line="324"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MINUTES</w:t>
      </w:r>
    </w:p>
    <w:p>
      <w:pPr>
        <w:spacing w:after="0" w:line="119" w:lineRule="exact"/>
        <w:rPr>
          <w:rFonts w:ascii="Times New Roman" w:cs="Times New Roman" w:eastAsia="Times New Roman" w:hAnsi="Times New Roman"/>
          <w:sz w:val="18"/>
          <w:szCs w:val="18"/>
          <w:b w:val="1"/>
          <w:bCs w:val="1"/>
          <w:color w:val="auto"/>
        </w:rPr>
      </w:pPr>
    </w:p>
    <w:p>
      <w:pPr>
        <w:ind w:left="444"/>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Minutes shall be made of all resolutions and proceedings at each Meeting. The Chair shall sign the minutes, which shall be </w:t>
      </w:r>
      <w:r>
        <w:rPr>
          <w:rFonts w:ascii="Times New Roman" w:cs="Times New Roman" w:eastAsia="Times New Roman" w:hAnsi="Times New Roman"/>
          <w:sz w:val="18"/>
          <w:szCs w:val="18"/>
          <w:i w:val="1"/>
          <w:iCs w:val="1"/>
          <w:color w:val="auto"/>
        </w:rPr>
        <w:t>prima facie</w:t>
      </w:r>
      <w:r>
        <w:rPr>
          <w:rFonts w:ascii="Times New Roman" w:cs="Times New Roman" w:eastAsia="Times New Roman" w:hAnsi="Times New Roman"/>
          <w:sz w:val="18"/>
          <w:szCs w:val="18"/>
          <w:color w:val="auto"/>
        </w:rPr>
        <w:t xml:space="preserve"> evidence of the proceedings recorded therein. Unless and until the contrary is proved, every such Meeting in respect of the proceedings of which minutes have been summarized and signed shall be deemed to have been duly convened and held and all resolutions passed or proceedings transacted at it to have been duly passed and transacted.</w:t>
      </w:r>
    </w:p>
    <w:p>
      <w:pPr>
        <w:spacing w:after="0" w:line="326"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WRITTEN RESOLUTION</w:t>
      </w:r>
    </w:p>
    <w:p>
      <w:pPr>
        <w:spacing w:after="0" w:line="121"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Written Resolution shall take effect as if it were an Extraordinary Resolution.</w:t>
      </w:r>
    </w:p>
    <w:p>
      <w:pPr>
        <w:spacing w:after="0" w:line="158"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924"/>
          </w:cols>
          <w:pgMar w:left="436" w:top="266" w:right="539" w:bottom="1440" w:gutter="0" w:footer="0" w:header="0"/>
        </w:sectPr>
      </w:pPr>
    </w:p>
    <w:bookmarkStart w:id="52" w:name="page53"/>
    <w:bookmarkEnd w:id="52"/>
    <w:p>
      <w:pPr>
        <w:jc w:val="right"/>
        <w:ind w:right="38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SIGNATORIES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MANPOWERGROUP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JOHN T. MCGINNIS</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John T. McGinnis</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w:t>
            </w:r>
          </w:p>
        </w:tc>
      </w:tr>
      <w:tr>
        <w:trPr>
          <w:trHeight w:val="234"/>
        </w:trPr>
        <w:tc>
          <w:tcPr>
            <w:tcW w:w="6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Page to Agency Agreement</w:t>
      </w:r>
    </w:p>
    <w:p>
      <w:pPr>
        <w:sectPr>
          <w:pgSz w:w="11900" w:h="16838" w:orient="portrait"/>
          <w:cols w:equalWidth="0" w:num="1">
            <w:col w:w="10019"/>
          </w:cols>
          <w:pgMar w:left="440" w:top="266" w:right="1440"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CITIBANK, N.A., LONDON BRANCH</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as Fiscal Agent, Principal Paying Agent, Registrar and</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220"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DANIEL LECOMBER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Name:</w:t>
        <w:tab/>
        <w:t>Daniel Lecomber</w:t>
      </w:r>
    </w:p>
    <w:p>
      <w:pPr>
        <w:spacing w:after="0" w:line="2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Page to Agency Agreement</w:t>
      </w:r>
    </w:p>
    <w:p>
      <w:pPr>
        <w:sectPr>
          <w:pgSz w:w="11900" w:h="16838" w:orient="portrait"/>
          <w:cols w:equalWidth="0" w:num="1">
            <w:col w:w="10019"/>
          </w:cols>
          <w:pgMar w:left="440" w:top="266" w:right="1440"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182880</wp:posOffset>
            </wp:positionV>
            <wp:extent cx="69951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225425</wp:posOffset>
            </wp:positionV>
            <wp:extent cx="69951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414020</wp:posOffset>
            </wp:positionV>
            <wp:extent cx="1680210" cy="3771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68021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CREDIT AGREEMENT</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dated as of</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December 15, 2025</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among</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MANPOWERGROUP INC.</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The Lenders Party Hereto</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0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BNP PARIBAS and</w:t>
      </w:r>
    </w:p>
    <w:p>
      <w:pPr>
        <w:spacing w:after="0" w:line="2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CITIBANK, N.A.</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 Co-Syndication Agents</w:t>
      </w:r>
    </w:p>
    <w:p>
      <w:pPr>
        <w:spacing w:after="0" w:line="202"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20"/>
          <w:szCs w:val="20"/>
          <w:color w:val="auto"/>
        </w:rPr>
        <w:t>SOCIÉTÉ GÉNÉRALE,</w:t>
      </w:r>
    </w:p>
    <w:p>
      <w:pPr>
        <w:spacing w:after="0" w:line="24"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color w:val="auto"/>
        </w:rPr>
        <w:t>UNICREDIT BANK GMBH, NEW YORK BRANCH and</w:t>
      </w:r>
    </w:p>
    <w:p>
      <w:pPr>
        <w:spacing w:after="0" w:line="1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U.S. BANK NATIONAL ASSOCIATION</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 Co-Documentation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228600</wp:posOffset>
            </wp:positionV>
            <wp:extent cx="14744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BNP PARIBAS SECURITIES CORP. and</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CITIBANK, N.A.</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 Joint Bookrunners and Joint Lead Arrangers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177165</wp:posOffset>
            </wp:positionV>
            <wp:extent cx="69951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220345</wp:posOffset>
            </wp:positionV>
            <wp:extent cx="69951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4"/>
        </w:trPr>
        <w:tc>
          <w:tcPr>
            <w:tcW w:w="10680" w:type="dxa"/>
            <w:vAlign w:val="bottom"/>
          </w:tcPr>
          <w:p>
            <w:pPr>
              <w:ind w:left="4600"/>
              <w:spacing w:after="0"/>
              <w:rPr>
                <w:sz w:val="20"/>
                <w:szCs w:val="20"/>
                <w:color w:val="auto"/>
              </w:rPr>
            </w:pPr>
            <w:r>
              <w:rPr>
                <w:rFonts w:ascii="Times New Roman" w:cs="Times New Roman" w:eastAsia="Times New Roman" w:hAnsi="Times New Roman"/>
                <w:sz w:val="18"/>
                <w:szCs w:val="18"/>
                <w:color w:val="auto"/>
              </w:rPr>
              <w:t>TABLE OF CONTENTS</w:t>
            </w:r>
          </w:p>
        </w:tc>
        <w:tc>
          <w:tcPr>
            <w:tcW w:w="280" w:type="dxa"/>
            <w:vAlign w:val="bottom"/>
          </w:tcPr>
          <w:p>
            <w:pPr>
              <w:spacing w:after="0"/>
              <w:rPr>
                <w:sz w:val="20"/>
                <w:szCs w:val="20"/>
                <w:color w:val="auto"/>
              </w:rPr>
            </w:pPr>
          </w:p>
        </w:tc>
      </w:tr>
      <w:tr>
        <w:trPr>
          <w:trHeight w:val="392"/>
        </w:trPr>
        <w:tc>
          <w:tcPr>
            <w:tcW w:w="1068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Page</w:t>
            </w:r>
          </w:p>
        </w:tc>
      </w:tr>
      <w:tr>
        <w:trPr>
          <w:trHeight w:val="304"/>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SECTION 1.01. Defined Terms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SECTION 1.02. Classification of Loans and Borrowings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SECTION 1.03. Terms Generally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SECTION 1.04. Accounting Terms; GAAP; Pro Forma Calculations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SECTION 1.05. Interest Rates; Benchmark Notification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SECTION 1.06. Status of Obligations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SECTION 1.07. Letter of Credit Amounts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SECTION 1.08. Divisions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4"/>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SECTION 1.09. Exchange Rates; Currency Equivalents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24"/>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ARTICLE II The Credits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0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SECTION 2.01. Commitments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SECTION 2.02. Loans and Borrowings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SECTION 2.03. Requests for Revolving Borrowings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SECTION 2.04. Determination of Dollar Amounts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SECTION 2.05. Swingline Loans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SECTION 2.06. Letters of Credit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SECTION 2.07. Funding of Borrowings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SECTION 2.08. Interest Elections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SECTION 2.09. Termination and Reduction of Commitments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SECTION 2.10. Repayment of Loans; Evidence of Debt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SECTION 2.11. Prepayment of Loans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SECTION 2.12. Fees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SECTION 2.13. Interest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SECTION 2.14. Alternate Rate of Interest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SECTION 2.15. Increased Costs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SECTION 2.16. Break Funding Payments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SECTION 2.17. Taxes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SECTION 2.18. Payments Generally; Pro Rata Treatment; Sharing of Setoffs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SECTION 2.19. Mitigation Obligations; Replacement of Lenders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SECTION 2.20. Expansion Option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SECTION 2.21. Judgment Currency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SECTION 2.22. Defaulting Lenders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34"/>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SECTION 2.23. Extension of Maturity Date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324"/>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ARTICLE III Representations and Warranties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30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SECTION 3.01. Organization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SECTION 3.02. Authorization; Powers; No Conflicts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SECTION 3.03. Approvals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SECTION 3.04. Enforceability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SECTION 3.05. Financial Condition; No Material Adverse Change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SECTION 3.06. Litigation, Environmental Matters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34"/>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SECTION 3.07. Taxes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bl>
    <w:p>
      <w:pPr>
        <w:jc w:val="right"/>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56" w:name="page57"/>
    <w:bookmarkEnd w:id="56"/>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(continued)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68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Page</w:t>
            </w:r>
          </w:p>
        </w:tc>
      </w:tr>
      <w:tr>
        <w:trPr>
          <w:trHeight w:val="28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SECTION 3.08. Securities Exchange Act of 1934</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SECTION 3.09. Margin Regulations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SECTION 3.10. ERISA, Environmental, Health and Safety Requirements of Law</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SECTION 3.11. Investment Company Status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SECTION 3.12. Disclosure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SECTION 3.13. Anti-Corruption Laws and Sanctions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SECTION 3.14. Affected Financial Institutions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4"/>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SECTION 3.15. Outbound Investment Rules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324"/>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ARTICLE IV Conditions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30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SECTION 4.01. Effective Date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34"/>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SECTION 4.02. Each Credit Event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324"/>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ARTICLE V Affirmative Covenants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30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SECTION 5.01. Compliance with Laws, Etc.</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SECTION 5.02. Payment of Taxes, Etc.</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SECTION 5.03. Maintenance of Insurance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SECTION 5.04. Preservation of Corporate Existence, Etc.</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SECTION 5.05. Visitation Rights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SECTION 5.06. Keeping of Books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SECTION 5.07. Maintenance of Properties, Etc.</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SECTION 5.08. Use of Proceeds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4"/>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SECTION 5.09. Reporting Requirements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324"/>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ARTICLE VI Negative Covenants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30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SECTION 6.01. Liens, Etc.</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SECTION 6.02. Mergers, Etc.</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SECTION 6.03. Sales, Etc. of Assets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SECTION 6.04. Securitization Facilities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SECTION 6.05. Accounting Changes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SECTION 6.06. Subsidiary Debt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SECTION 6.07. Change in Nature of Business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SECTION 6.08. Financial Covenants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SECTION 6.09. Outbound Investment Rules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34"/>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SECTION 6.10. Restricted Payments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324"/>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ARTICLE VII Events of Default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30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SECTION 7.01. Events of Default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34"/>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SECTION 7.02. Remedies Upon an Event of Default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bl>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70" w:right="499" w:bottom="1440" w:gutter="0" w:footer="0" w:header="0"/>
        </w:sectPr>
      </w:pPr>
    </w:p>
    <w:bookmarkStart w:id="57" w:name="page58"/>
    <w:bookmarkEnd w:id="57"/>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(continued)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64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Page</w:t>
            </w:r>
          </w:p>
        </w:tc>
      </w:tr>
      <w:tr>
        <w:trPr>
          <w:trHeight w:val="304"/>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ARTICLE VIII The Administrative Agent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30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SECTION 8.01. Authorization and Action</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SECTION 8.02. Administrative Agent’s Reliance, Limitation of Liability, Etc.</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SECTION 8.03. Posting of Communications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SECTION 8.04. The Administrative Agent Individually</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SECTION 8.05. Successor Administrative Agent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SECTION 8.06. Acknowledgements of Lenders and Issuing Banks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SECTION 8.07. Certain ERISA Matters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34"/>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SECTION 8.08. Borrower Communications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324"/>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ARTICLE IX Miscellaneous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30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SECTION 9.01. Notices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SECTION 9.02. Waivers; Amendments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SECTION 9.03. Expenses; Limitation of Liability; Indemnity, Etc.</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SECTION 9.04. Successors and Assigns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SECTION 9.05. Survival</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SECTION 9.06. Counterparts; Integration; Effectiveness; Electronic Execution</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SECTION 9.07. Severability</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SECTION 9.08. Right of Setoff</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SECTION 9.09. Governing Law; Jurisdiction; Consent to Service of Process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SECTION 9.10. WAIVER OF JURY TRIAL</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SECTION 9.11. Headings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SECTION 9.12. Confidentiality</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SECTION 9.13. USA PATRIOT Act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SECTION 9.14. Interest Rate Limitation</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SECTION 9.15. No Fiduciary Duty, etc.</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SECTION 9.16. Acknowledgement and Consent to Bail-In of Affected Financial Institutions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34"/>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SECTION 9.17. Acknowledgement Regarding Any Supported QFCs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bl>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440" w:top="270" w:right="499" w:bottom="1440" w:gutter="0" w:footer="0" w:header="0"/>
        </w:sectPr>
      </w:pPr>
    </w:p>
    <w:bookmarkStart w:id="58" w:name="page59"/>
    <w:bookmarkEnd w:id="58"/>
    <w:p>
      <w:pPr>
        <w:ind w:left="46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SCHEDULES: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2.01A – Commitments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2.01B – Letter of Credit Base Commitments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2.06 – Existing Letters of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6.01 – Existing Liens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A – Form of Assignment and Assumption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B – Form of Opinion of Borrower’s Counsel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C – Form of Increasing Lender Supplement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D – Form of Augmenting Lender Supplement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E – List of Closing Documents</w:t>
      </w:r>
    </w:p>
    <w:p>
      <w:pPr>
        <w:spacing w:after="0" w:line="9" w:lineRule="exact"/>
        <w:rPr>
          <w:sz w:val="20"/>
          <w:szCs w:val="20"/>
          <w:color w:val="auto"/>
        </w:rPr>
      </w:pPr>
    </w:p>
    <w:p>
      <w:pPr>
        <w:ind w:right="3399"/>
        <w:spacing w:after="0" w:line="253" w:lineRule="auto"/>
        <w:rPr>
          <w:sz w:val="20"/>
          <w:szCs w:val="20"/>
          <w:color w:val="auto"/>
        </w:rPr>
      </w:pPr>
      <w:r>
        <w:rPr>
          <w:rFonts w:ascii="Times New Roman" w:cs="Times New Roman" w:eastAsia="Times New Roman" w:hAnsi="Times New Roman"/>
          <w:sz w:val="18"/>
          <w:szCs w:val="18"/>
          <w:color w:val="auto"/>
        </w:rPr>
        <w:t>Exhibit F-1 – Form of U.S. Tax Certificate (Foreign Lenders That Are Not Partnerships) Exhibit F-2 – Form of U.S. Tax Certificate (Foreign Participants That Are Not Partnerships) Exhibit F-3 – Form of U.S. Tax Certificate (Foreign Participants That Are Partnerships) Exhibit F-4 – Form of U.S. Tax Certificate (Foreign Lenders That Are Partnerships) Exhibit G – Form of Note</w:t>
      </w:r>
    </w:p>
    <w:p>
      <w:pPr>
        <w:spacing w:after="0" w:line="200" w:lineRule="exact"/>
        <w:rPr>
          <w:sz w:val="20"/>
          <w:szCs w:val="20"/>
          <w:color w:val="auto"/>
        </w:rPr>
      </w:pPr>
    </w:p>
    <w:p>
      <w:pPr>
        <w:spacing w:after="0" w:line="28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019"/>
          </w:cols>
          <w:pgMar w:left="440" w:top="270" w:right="1440" w:bottom="1440" w:gutter="0" w:footer="0" w:header="0"/>
        </w:sectPr>
      </w:pPr>
    </w:p>
    <w:bookmarkStart w:id="59" w:name="page60"/>
    <w:bookmarkEnd w:id="59"/>
    <w:p>
      <w:pPr>
        <w:ind w:left="4" w:right="30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CREDIT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December 15, 2025 among MANPOWERGROUP INC., the LENDERS from time to time party hereto and JPMORGAN CHASE BANK, N.A., as Administrative Agent.</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The parties hereto agree as follows:</w:t>
      </w:r>
    </w:p>
    <w:p>
      <w:pPr>
        <w:spacing w:after="0" w:line="225" w:lineRule="exact"/>
        <w:rPr>
          <w:sz w:val="20"/>
          <w:szCs w:val="20"/>
          <w:color w:val="auto"/>
        </w:rPr>
      </w:pPr>
    </w:p>
    <w:p>
      <w:pPr>
        <w:ind w:left="5084"/>
        <w:spacing w:after="0"/>
        <w:rPr>
          <w:sz w:val="20"/>
          <w:szCs w:val="20"/>
          <w:color w:val="auto"/>
        </w:rPr>
      </w:pPr>
      <w:r>
        <w:rPr>
          <w:rFonts w:ascii="Times New Roman" w:cs="Times New Roman" w:eastAsia="Times New Roman" w:hAnsi="Times New Roman"/>
          <w:sz w:val="18"/>
          <w:szCs w:val="18"/>
          <w:color w:val="auto"/>
        </w:rPr>
        <w:t>ARTICLE I</w:t>
      </w:r>
    </w:p>
    <w:p>
      <w:pPr>
        <w:spacing w:after="0" w:line="117" w:lineRule="exact"/>
        <w:rPr>
          <w:sz w:val="20"/>
          <w:szCs w:val="20"/>
          <w:color w:val="auto"/>
        </w:rPr>
      </w:pPr>
    </w:p>
    <w:p>
      <w:pPr>
        <w:ind w:left="5104"/>
        <w:spacing w:after="0"/>
        <w:rPr>
          <w:sz w:val="20"/>
          <w:szCs w:val="20"/>
          <w:color w:val="auto"/>
        </w:rPr>
      </w:pPr>
      <w:r>
        <w:rPr>
          <w:rFonts w:ascii="Times New Roman" w:cs="Times New Roman" w:eastAsia="Times New Roman" w:hAnsi="Times New Roman"/>
          <w:sz w:val="18"/>
          <w:szCs w:val="18"/>
          <w:u w:val="single" w:color="auto"/>
          <w:color w:val="auto"/>
        </w:rPr>
        <w:t>Definitions</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As used in this Agreement, the following terms have the meanings specified below:</w:t>
      </w:r>
    </w:p>
    <w:p>
      <w:pPr>
        <w:spacing w:after="0" w:line="117" w:lineRule="exact"/>
        <w:rPr>
          <w:sz w:val="20"/>
          <w:szCs w:val="20"/>
          <w:color w:val="auto"/>
        </w:rPr>
      </w:pPr>
    </w:p>
    <w:p>
      <w:pPr>
        <w:ind w:left="4" w:right="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ABR</w:t>
      </w:r>
      <w:r>
        <w:rPr>
          <w:rFonts w:ascii="Times New Roman" w:cs="Times New Roman" w:eastAsia="Times New Roman" w:hAnsi="Times New Roman"/>
          <w:sz w:val="18"/>
          <w:szCs w:val="18"/>
          <w:color w:val="auto"/>
        </w:rPr>
        <w:t>”, when used in reference to any Loan or Borrowing, refers to such Loan, or the Loans comprising such Borrowing, bearing interest at a rate determined by reference to the Alternate Base Rate. All ABR Loans shall be denominated in Dollars.</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Commitment Lender</w:t>
      </w:r>
      <w:r>
        <w:rPr>
          <w:rFonts w:ascii="Times New Roman" w:cs="Times New Roman" w:eastAsia="Times New Roman" w:hAnsi="Times New Roman"/>
          <w:sz w:val="18"/>
          <w:szCs w:val="18"/>
          <w:color w:val="auto"/>
        </w:rPr>
        <w:t>” has the meaning assigned to such term in Section 2.23(d).</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Negative Covenant Period</w:t>
      </w:r>
      <w:r>
        <w:rPr>
          <w:rFonts w:ascii="Times New Roman" w:cs="Times New Roman" w:eastAsia="Times New Roman" w:hAnsi="Times New Roman"/>
          <w:sz w:val="18"/>
          <w:szCs w:val="18"/>
          <w:color w:val="auto"/>
        </w:rPr>
        <w:t>” means the period beginning January 1, 2026 through and including December 31, 2027.</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Covenant Period</w:t>
      </w:r>
      <w:r>
        <w:rPr>
          <w:rFonts w:ascii="Times New Roman" w:cs="Times New Roman" w:eastAsia="Times New Roman" w:hAnsi="Times New Roman"/>
          <w:sz w:val="18"/>
          <w:szCs w:val="18"/>
          <w:color w:val="auto"/>
        </w:rPr>
        <w:t>” has the meaning assigned to such term in Section 6.08(a).</w:t>
      </w:r>
    </w:p>
    <w:p>
      <w:pPr>
        <w:spacing w:after="0" w:line="225" w:lineRule="exact"/>
        <w:rPr>
          <w:sz w:val="20"/>
          <w:szCs w:val="20"/>
          <w:color w:val="auto"/>
        </w:rPr>
      </w:pPr>
    </w:p>
    <w:p>
      <w:pPr>
        <w:ind w:left="4" w:right="120" w:firstLine="991"/>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Adjusted Daily Simple RFR</w:t>
      </w:r>
      <w:r>
        <w:rPr>
          <w:rFonts w:ascii="Times New Roman" w:cs="Times New Roman" w:eastAsia="Times New Roman" w:hAnsi="Times New Roman"/>
          <w:sz w:val="17"/>
          <w:szCs w:val="17"/>
          <w:color w:val="auto"/>
        </w:rPr>
        <w:t>” means, (i) with respect to any RFR Borrowing denominated in Pounds Sterling, an interest rate per annum equal to the Daily Simple RFR for Pounds Sterling, (ii) with respect to any RFR Borrowing denominated in Swiss Francs, an interest rate per annum equal to the Daily Simple RFR for Swiss Francs, (iii) with respect to any RFR Borrowing denominated in Dollars, an interest rate per annum equal to the Daily Simple RFR for Dollars and (iv) with respect to any RFR Borrowing denominated in Canadian Dollars, an interest rate per annum equal to</w:t>
      </w:r>
    </w:p>
    <w:p>
      <w:pPr>
        <w:spacing w:after="0" w:line="3" w:lineRule="exact"/>
        <w:rPr>
          <w:sz w:val="20"/>
          <w:szCs w:val="20"/>
          <w:color w:val="auto"/>
        </w:rPr>
      </w:pPr>
    </w:p>
    <w:p>
      <w:pPr>
        <w:ind w:left="4" w:hanging="4"/>
        <w:spacing w:after="0" w:line="260" w:lineRule="auto"/>
        <w:tabs>
          <w:tab w:leader="none" w:pos="24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Daily Simple RFR for Canadian Dollars,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0.29547%;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Adjusted Daily Simple RFR as so determined would be less than the Floor, such rate shall be deemed to be equal to the Floor for the purposes of this Agreement.</w:t>
      </w:r>
    </w:p>
    <w:p>
      <w:pPr>
        <w:spacing w:after="0" w:line="181" w:lineRule="exact"/>
        <w:rPr>
          <w:sz w:val="20"/>
          <w:szCs w:val="20"/>
          <w:color w:val="auto"/>
        </w:rPr>
      </w:pPr>
    </w:p>
    <w:p>
      <w:pPr>
        <w:ind w:left="4" w:right="20" w:firstLine="991"/>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Adjusted EURIBO Rate</w:t>
      </w:r>
      <w:r>
        <w:rPr>
          <w:rFonts w:ascii="Times New Roman" w:cs="Times New Roman" w:eastAsia="Times New Roman" w:hAnsi="Times New Roman"/>
          <w:sz w:val="17"/>
          <w:szCs w:val="17"/>
          <w:color w:val="auto"/>
        </w:rPr>
        <w:t xml:space="preserve">” means, with respect to any Term Benchmark Borrowing denominated in euro for any Interest Period, an interest rate per annum equal to (a) the EURIBO Rate for such Interest Period multiplied by (b) the Statutory Reserve Rate;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the Adjusted EURIBO Rate as so determined would be less than the Floor, such rate shall be deemed to be equal to the Floor for the purposes of this Agreement.</w:t>
      </w:r>
    </w:p>
    <w:p>
      <w:pPr>
        <w:spacing w:after="0" w:line="158" w:lineRule="exact"/>
        <w:rPr>
          <w:sz w:val="20"/>
          <w:szCs w:val="20"/>
          <w:color w:val="auto"/>
        </w:rPr>
      </w:pPr>
    </w:p>
    <w:p>
      <w:pPr>
        <w:jc w:val="both"/>
        <w:ind w:left="4" w:right="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Term CORRA Rate</w:t>
      </w:r>
      <w:r>
        <w:rPr>
          <w:rFonts w:ascii="Times New Roman" w:cs="Times New Roman" w:eastAsia="Times New Roman" w:hAnsi="Times New Roman"/>
          <w:sz w:val="18"/>
          <w:szCs w:val="18"/>
          <w:color w:val="auto"/>
        </w:rPr>
        <w:t xml:space="preserve">” means, for purposes of any calculation, the rate per annum equal to (a) Term CORRA for such calculation plus (b) 0.29547% for a one month interest period or 0.32138% for a three month interest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Adjusted Term CORRA Rate as so determined would be less than the Floor, such rate shall be deemed to be equal to the Floor for the purposes of this Agreement.</w:t>
      </w:r>
    </w:p>
    <w:p>
      <w:pPr>
        <w:sectPr>
          <w:pgSz w:w="11900" w:h="16838" w:orient="portrait"/>
          <w:cols w:equalWidth="0" w:num="1">
            <w:col w:w="11004"/>
          </w:cols>
          <w:pgMar w:left="436" w:top="270" w:right="459" w:bottom="1440" w:gutter="0" w:footer="0" w:header="0"/>
        </w:sectPr>
      </w:pPr>
    </w:p>
    <w:bookmarkStart w:id="60" w:name="page61"/>
    <w:bookmarkEnd w:id="60"/>
    <w:p>
      <w:pPr>
        <w:ind w:left="4"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Adjusted Term SOFR Rate</w:t>
      </w:r>
      <w:r>
        <w:rPr>
          <w:rFonts w:ascii="Times New Roman" w:cs="Times New Roman" w:eastAsia="Times New Roman" w:hAnsi="Times New Roman"/>
          <w:sz w:val="18"/>
          <w:szCs w:val="18"/>
          <w:color w:val="auto"/>
        </w:rPr>
        <w:t xml:space="preserve">” means, with respect to any Term Benchmark Borrowing denominated in Dollars for any Interest Period, an interest rate per annum equal to the Term SOFR Rate for such Interest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Adjusted Term SOFR Rate as so determined would be less than the Floor, such rate shall be deemed to be equal to the Floor for the purposes of this Agreement.</w:t>
      </w:r>
    </w:p>
    <w:p>
      <w:pPr>
        <w:spacing w:after="0" w:line="176" w:lineRule="exact"/>
        <w:rPr>
          <w:sz w:val="20"/>
          <w:szCs w:val="20"/>
          <w:color w:val="auto"/>
        </w:rPr>
      </w:pPr>
    </w:p>
    <w:p>
      <w:pPr>
        <w:jc w:val="both"/>
        <w:ind w:left="4" w:right="180" w:firstLine="991"/>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Adjusted TIBO Rate</w:t>
      </w:r>
      <w:r>
        <w:rPr>
          <w:rFonts w:ascii="Times New Roman" w:cs="Times New Roman" w:eastAsia="Times New Roman" w:hAnsi="Times New Roman"/>
          <w:sz w:val="17"/>
          <w:szCs w:val="17"/>
          <w:color w:val="auto"/>
        </w:rPr>
        <w:t xml:space="preserve">” means, with respect to any Term Benchmark Borrowing denominated in Japanese Yen for any Interest Period, an interest rate per annum equal to (a) the TIBO Rate for such Interest Period multiplied by (b) the Statutory Reserve Rate;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the Adjusted TIBO Rate as so determined would be less than the Floor, such rate shall be deemed to be equal to the Floor for the purposes of this Agreement.</w:t>
      </w:r>
    </w:p>
    <w:p>
      <w:pPr>
        <w:spacing w:after="0" w:line="158" w:lineRule="exact"/>
        <w:rPr>
          <w:sz w:val="20"/>
          <w:szCs w:val="20"/>
          <w:color w:val="auto"/>
        </w:rPr>
      </w:pPr>
    </w:p>
    <w:p>
      <w:pPr>
        <w:ind w:left="4" w:right="5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means JPMorgan Chase Bank, N.A. (or any of its designated branch offices or affiliates), in its capacity as administrative agent for the Lenders hereunder.</w:t>
      </w:r>
    </w:p>
    <w:p>
      <w:pPr>
        <w:spacing w:after="0" w:line="162" w:lineRule="exact"/>
        <w:rPr>
          <w:sz w:val="20"/>
          <w:szCs w:val="20"/>
          <w:color w:val="auto"/>
        </w:rPr>
      </w:pPr>
    </w:p>
    <w:p>
      <w:pPr>
        <w:ind w:left="4" w:right="1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Questionnaire</w:t>
      </w:r>
      <w:r>
        <w:rPr>
          <w:rFonts w:ascii="Times New Roman" w:cs="Times New Roman" w:eastAsia="Times New Roman" w:hAnsi="Times New Roman"/>
          <w:sz w:val="18"/>
          <w:szCs w:val="18"/>
          <w:color w:val="auto"/>
        </w:rPr>
        <w:t>” means an Administrative Questionnaire in a form supplied by the Administrative Agent to the Borrower or any Lender, as the context requires.</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225" w:lineRule="exact"/>
        <w:rPr>
          <w:sz w:val="20"/>
          <w:szCs w:val="20"/>
          <w:color w:val="auto"/>
        </w:rPr>
      </w:pPr>
    </w:p>
    <w:p>
      <w:pPr>
        <w:ind w:left="4" w:right="4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as to any Person, any other Person (whether or not existing as at the date hereof) that, directly or indirectly, controls, is controlled by or is under common control with such Person or is a director or officer of such Person. For purposes of this definition, the term “control” (including the terms “controlling”, “controlled by” and “under common control with”) of a Person means the possession, direct or indirect, of the power to vote 5% or more of the Voting Stock of such Person or to direct or cause the direction of the management and policies of such Person, whether through the ownership of Voting Stock, by contract or otherwise.</w:t>
      </w:r>
    </w:p>
    <w:p>
      <w:pPr>
        <w:spacing w:after="0" w:line="18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Agent-Related Person</w:t>
      </w:r>
      <w:r>
        <w:rPr>
          <w:rFonts w:ascii="Times New Roman" w:cs="Times New Roman" w:eastAsia="Times New Roman" w:hAnsi="Times New Roman"/>
          <w:sz w:val="18"/>
          <w:szCs w:val="18"/>
          <w:color w:val="auto"/>
        </w:rPr>
        <w:t>” has the meaning assigned to such term in Section 9.03(d).</w:t>
      </w:r>
    </w:p>
    <w:p>
      <w:pPr>
        <w:spacing w:after="0" w:line="225" w:lineRule="exact"/>
        <w:rPr>
          <w:sz w:val="20"/>
          <w:szCs w:val="20"/>
          <w:color w:val="auto"/>
        </w:rPr>
      </w:pPr>
    </w:p>
    <w:p>
      <w:pPr>
        <w:ind w:left="4" w:right="4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Commitment</w:t>
      </w:r>
      <w:r>
        <w:rPr>
          <w:rFonts w:ascii="Times New Roman" w:cs="Times New Roman" w:eastAsia="Times New Roman" w:hAnsi="Times New Roman"/>
          <w:sz w:val="18"/>
          <w:szCs w:val="18"/>
          <w:color w:val="auto"/>
        </w:rPr>
        <w:t>” means the aggregate of the Commitments of all of the Lenders, as reduced or increased from time to time pursuant to the terms and conditions hereof. The initial Aggregate Commitment as of the Effective Date is $600,000,000.</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Agreed Currencies</w:t>
      </w:r>
      <w:r>
        <w:rPr>
          <w:rFonts w:ascii="Times New Roman" w:cs="Times New Roman" w:eastAsia="Times New Roman" w:hAnsi="Times New Roman"/>
          <w:sz w:val="18"/>
          <w:szCs w:val="18"/>
          <w:color w:val="auto"/>
        </w:rPr>
        <w:t>” means (i) Dollars, (ii) euro, (iii) Pounds Sterling, (iv) Swiss Francs, (v) Japanese Yen, (vi) Canadian Dollars and</w:t>
      </w:r>
    </w:p>
    <w:p>
      <w:pPr>
        <w:spacing w:after="0" w:line="27" w:lineRule="exact"/>
        <w:rPr>
          <w:sz w:val="20"/>
          <w:szCs w:val="20"/>
          <w:color w:val="auto"/>
        </w:rPr>
      </w:pPr>
    </w:p>
    <w:p>
      <w:pPr>
        <w:ind w:left="4" w:right="60" w:hanging="4"/>
        <w:spacing w:after="0" w:line="260" w:lineRule="auto"/>
        <w:tabs>
          <w:tab w:leader="none" w:pos="35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currency (other than Dollars) (x) that is a lawful currency that is readily available and freely transferable and not restricted and able to be converted into Dollars and (y) that is agreed to by the Administrative Agent and each of the Lenders.</w:t>
      </w:r>
    </w:p>
    <w:p>
      <w:pPr>
        <w:spacing w:after="0" w:line="18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assigned to such term in the introductory paragraph hereof.</w:t>
      </w:r>
    </w:p>
    <w:p>
      <w:pPr>
        <w:spacing w:after="0" w:line="225" w:lineRule="exact"/>
        <w:rPr>
          <w:sz w:val="20"/>
          <w:szCs w:val="20"/>
          <w:color w:val="auto"/>
        </w:rPr>
      </w:pPr>
    </w:p>
    <w:p>
      <w:pPr>
        <w:ind w:left="4" w:right="40" w:firstLine="991"/>
        <w:spacing w:after="0" w:line="23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Alternate Base Rate</w:t>
      </w:r>
      <w:r>
        <w:rPr>
          <w:rFonts w:ascii="Times New Roman" w:cs="Times New Roman" w:eastAsia="Times New Roman" w:hAnsi="Times New Roman"/>
          <w:sz w:val="18"/>
          <w:szCs w:val="18"/>
          <w:color w:val="auto"/>
        </w:rPr>
        <w:t xml:space="preserve">” means, for any day, a rate per annum equal to the greatest of (a) the Prime Rate in effect on such day, (b) the NYFRB Rate in effect on such day plus </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 xml:space="preserve"> of 1% and (c) the Adjusted Term SOFR Rate for a one month Interest Period as published two U.S. Government Securities Business Days prior to such day (or if such day is not a U.S. Government Securities Business Day, the immediately preceding U.S. Government Securities Business Day) plus 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purpose of this definition, the Adjusted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Alternate Base Rate due to a change in the Prime Rate, the NYFRB Rate or the Adjusted Term SOFR Rate shall be effective from and including the effective date of such change in the Prime Rate, the NYFRB Rate or the Adjusted Term SOFR Rate, respectively. If the Alternate Base Rate is being used as an alternate rate of interest pursuant to Section 2.14 (for the avoidance of doubt,</w:t>
      </w:r>
    </w:p>
    <w:p>
      <w:pPr>
        <w:spacing w:after="0" w:line="13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4"/>
          </w:cols>
          <w:pgMar w:left="436" w:top="270" w:right="479" w:bottom="1440" w:gutter="0" w:footer="0" w:header="0"/>
        </w:sectPr>
      </w:pPr>
    </w:p>
    <w:bookmarkStart w:id="61" w:name="page62"/>
    <w:bookmarkEnd w:id="6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only until the Benchmark Replacement has been determined pursuant to Section 2.14(b)), then the Alternate Base Rate shall be the greater of clauses</w:t>
      </w:r>
    </w:p>
    <w:p>
      <w:pPr>
        <w:spacing w:after="0" w:line="27" w:lineRule="exact"/>
        <w:rPr>
          <w:sz w:val="20"/>
          <w:szCs w:val="20"/>
          <w:color w:val="auto"/>
        </w:rPr>
      </w:pPr>
    </w:p>
    <w:p>
      <w:pPr>
        <w:ind w:left="4" w:right="300" w:hanging="4"/>
        <w:spacing w:after="0" w:line="260" w:lineRule="auto"/>
        <w:tabs>
          <w:tab w:leader="none" w:pos="24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(b) above and shall be determined without reference to clause (c) above. For the avoidance of doubt, if the Alternate Base Rate as determined pursuant to the foregoing would be less than 1.00%, such rate shall be deemed to be 1.00% for purposes of this Agreement.</w:t>
      </w:r>
    </w:p>
    <w:p>
      <w:pPr>
        <w:spacing w:after="0" w:line="181" w:lineRule="exact"/>
        <w:rPr>
          <w:sz w:val="20"/>
          <w:szCs w:val="20"/>
          <w:color w:val="auto"/>
        </w:rPr>
      </w:pPr>
    </w:p>
    <w:p>
      <w:pPr>
        <w:ind w:left="4" w:right="7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AML Laws</w:t>
      </w:r>
      <w:r>
        <w:rPr>
          <w:rFonts w:ascii="Times New Roman" w:cs="Times New Roman" w:eastAsia="Times New Roman" w:hAnsi="Times New Roman"/>
          <w:sz w:val="18"/>
          <w:szCs w:val="18"/>
          <w:color w:val="auto"/>
        </w:rPr>
        <w:t>” means all laws, rules, and regulations of any jurisdiction applicable to any Lender, the Borrower or the Borrower’s Subsidiaries from time to time concerning or relating to anti-money laundering.</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Ancillary Document</w:t>
      </w:r>
      <w:r>
        <w:rPr>
          <w:rFonts w:ascii="Times New Roman" w:cs="Times New Roman" w:eastAsia="Times New Roman" w:hAnsi="Times New Roman"/>
          <w:sz w:val="18"/>
          <w:szCs w:val="18"/>
          <w:color w:val="auto"/>
        </w:rPr>
        <w:t>” has the meaning assigned to such term in Section 9.06.</w:t>
      </w:r>
    </w:p>
    <w:p>
      <w:pPr>
        <w:spacing w:after="0" w:line="225" w:lineRule="exact"/>
        <w:rPr>
          <w:sz w:val="20"/>
          <w:szCs w:val="20"/>
          <w:color w:val="auto"/>
        </w:rPr>
      </w:pPr>
    </w:p>
    <w:p>
      <w:pPr>
        <w:ind w:left="4" w:right="3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all laws, rules, and regulations of any jurisdiction applicable to the Borrower or any of its Subsidiaries from time to time concerning or relating to bribery or corruption.</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Party</w:t>
      </w:r>
      <w:r>
        <w:rPr>
          <w:rFonts w:ascii="Times New Roman" w:cs="Times New Roman" w:eastAsia="Times New Roman" w:hAnsi="Times New Roman"/>
          <w:sz w:val="18"/>
          <w:szCs w:val="18"/>
          <w:color w:val="auto"/>
        </w:rPr>
        <w:t>” has the meaning assigned to such term in Section 8.03(c).</w:t>
      </w:r>
    </w:p>
    <w:p>
      <w:pPr>
        <w:spacing w:after="0" w:line="225" w:lineRule="exact"/>
        <w:rPr>
          <w:sz w:val="20"/>
          <w:szCs w:val="20"/>
          <w:color w:val="auto"/>
        </w:rPr>
      </w:pPr>
    </w:p>
    <w:p>
      <w:pPr>
        <w:ind w:left="4" w:right="10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Percentage</w:t>
      </w:r>
      <w:r>
        <w:rPr>
          <w:rFonts w:ascii="Times New Roman" w:cs="Times New Roman" w:eastAsia="Times New Roman" w:hAnsi="Times New Roman"/>
          <w:sz w:val="18"/>
          <w:szCs w:val="18"/>
          <w:color w:val="auto"/>
        </w:rPr>
        <w:t xml:space="preserve">” means, with respect to any Lender, the percentage of the Aggregate Commitment represented by such Lender’s Commitment;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Section 2.22 when a Defaulting Lender shall exist, “Applicable Percentage” shall mean the percentage of the Aggregate Commitment (disregarding any Defaulting Lender’s Commitment) represented by such Lender’s Commitment. If the Commitments have terminated or expired, the Applicable Percentages shall be determined based upon the Commitments most recently in effect, giving effect to any assignments and to any Lender’s status as a Defaulting Lender at the time of determination.</w:t>
      </w:r>
    </w:p>
    <w:p>
      <w:pPr>
        <w:spacing w:after="0" w:line="183" w:lineRule="exact"/>
        <w:rPr>
          <w:sz w:val="20"/>
          <w:szCs w:val="20"/>
          <w:color w:val="auto"/>
        </w:rPr>
      </w:pPr>
    </w:p>
    <w:p>
      <w:pPr>
        <w:ind w:left="4" w:right="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Rate</w:t>
      </w:r>
      <w:r>
        <w:rPr>
          <w:rFonts w:ascii="Times New Roman" w:cs="Times New Roman" w:eastAsia="Times New Roman" w:hAnsi="Times New Roman"/>
          <w:sz w:val="18"/>
          <w:szCs w:val="18"/>
          <w:color w:val="auto"/>
        </w:rPr>
        <w:t>” means, for any day, with respect to any Term Benchmark Loan, any RFR Loan or any ABR Loan or with respect to the facility fees payable hereunder, as the case may be, the applicable rate per annum set forth below under the caption “Term Benchmark Spread”, “RFR Spread”, “ABR Spread” or “Facility Fee Rate”, as the case may be, based upon the ratings by Moody’s and S&amp;P, respectively, applicable on such date to the Index Debt:</w:t>
      </w:r>
    </w:p>
    <w:p>
      <w:pPr>
        <w:spacing w:after="0" w:line="190"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17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color w:val="auto"/>
              </w:rPr>
              <w:t>Index Debt Ratings</w:t>
            </w: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w w:val="98"/>
              </w:rPr>
              <w:t>Term</w:t>
            </w:r>
          </w:p>
        </w:tc>
        <w:tc>
          <w:tcPr>
            <w:tcW w:w="88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color w:val="auto"/>
              </w:rPr>
              <w:t>RFR</w:t>
            </w:r>
          </w:p>
        </w:tc>
        <w:tc>
          <w:tcPr>
            <w:tcW w:w="86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color w:val="auto"/>
              </w:rPr>
              <w:t>ABR</w:t>
            </w:r>
          </w:p>
        </w:tc>
        <w:tc>
          <w:tcPr>
            <w:tcW w:w="7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Facility</w:t>
            </w: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color w:val="auto"/>
              </w:rPr>
              <w:t>Benchmark</w:t>
            </w:r>
          </w:p>
        </w:tc>
        <w:tc>
          <w:tcPr>
            <w:tcW w:w="88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78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(S&amp;P/Moody’s)</w:t>
            </w:r>
          </w:p>
        </w:tc>
        <w:tc>
          <w:tcPr>
            <w:tcW w:w="2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Spread</w:t>
            </w:r>
          </w:p>
        </w:tc>
        <w:tc>
          <w:tcPr>
            <w:tcW w:w="40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Spread</w:t>
            </w:r>
          </w:p>
        </w:tc>
        <w:tc>
          <w:tcPr>
            <w:tcW w:w="42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Spread</w:t>
            </w:r>
          </w:p>
        </w:tc>
        <w:tc>
          <w:tcPr>
            <w:tcW w:w="40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w w:val="97"/>
              </w:rPr>
              <w:t>Fee Rate</w:t>
            </w:r>
          </w:p>
        </w:tc>
        <w:tc>
          <w:tcPr>
            <w:tcW w:w="0" w:type="dxa"/>
            <w:vAlign w:val="bottom"/>
          </w:tcPr>
          <w:p>
            <w:pPr>
              <w:spacing w:after="0"/>
              <w:rPr>
                <w:sz w:val="1"/>
                <w:szCs w:val="1"/>
                <w:color w:val="auto"/>
              </w:rPr>
            </w:pPr>
          </w:p>
        </w:tc>
      </w:tr>
      <w:tr>
        <w:trPr>
          <w:trHeight w:val="20"/>
        </w:trPr>
        <w:tc>
          <w:tcPr>
            <w:tcW w:w="57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Category 1:</w:t>
            </w:r>
          </w:p>
        </w:tc>
        <w:tc>
          <w:tcPr>
            <w:tcW w:w="15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80" w:type="dxa"/>
            <w:vAlign w:val="bottom"/>
            <w:vMerge w:val="continue"/>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A/A2 or higher</w:t>
            </w:r>
          </w:p>
        </w:tc>
        <w:tc>
          <w:tcPr>
            <w:tcW w:w="200" w:type="dxa"/>
            <w:vAlign w:val="bottom"/>
            <w:vMerge w:val="continue"/>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0.805%</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0.805%</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Category 2:</w:t>
            </w:r>
          </w:p>
        </w:tc>
        <w:tc>
          <w:tcPr>
            <w:tcW w:w="17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A-/A3</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0.91%</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0.91%</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Category 3:</w:t>
            </w:r>
          </w:p>
        </w:tc>
        <w:tc>
          <w:tcPr>
            <w:tcW w:w="17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BBB+/Baa1</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1.025%</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1.025%</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0.025%</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Category 4:</w:t>
            </w:r>
          </w:p>
        </w:tc>
        <w:tc>
          <w:tcPr>
            <w:tcW w:w="17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BBB/Baa2</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1.125%</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1.125%</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0.125%</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0.125%</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Category 5:</w:t>
            </w:r>
          </w:p>
        </w:tc>
        <w:tc>
          <w:tcPr>
            <w:tcW w:w="17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BBB-/Baa3 or lower</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1.20%</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1.20%</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0.20%</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0.175%</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444" w:right="500"/>
        <w:spacing w:after="0" w:line="266" w:lineRule="auto"/>
        <w:rPr>
          <w:sz w:val="20"/>
          <w:szCs w:val="20"/>
          <w:color w:val="auto"/>
        </w:rPr>
      </w:pPr>
      <w:r>
        <w:rPr>
          <w:rFonts w:ascii="Times New Roman" w:cs="Times New Roman" w:eastAsia="Times New Roman" w:hAnsi="Times New Roman"/>
          <w:sz w:val="18"/>
          <w:szCs w:val="18"/>
          <w:color w:val="auto"/>
        </w:rPr>
        <w:t>For purposes of the foregoing, (i) if neither Moody’s nor S&amp;P shall have in effect a rating for the Index Debt (other than by reason of the circumstances referred to in the last sentence of this definition), then each such rating agency shall be deemed to have established a rating in Category 5; (ii) if only one of Moody’s or S&amp;P shall have in effect a rating for the Index Debt, the Category</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4"/>
          </w:cols>
          <w:pgMar w:left="436" w:top="270" w:right="439" w:bottom="1440" w:gutter="0" w:footer="0" w:header="0"/>
        </w:sectPr>
      </w:pPr>
    </w:p>
    <w:bookmarkStart w:id="62" w:name="page63"/>
    <w:bookmarkEnd w:id="62"/>
    <w:p>
      <w:pPr>
        <w:ind w:left="440"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corresponding to such rating shall be in effect; (iii) if the ratings established or deemed to have been established by Moody’s and S&amp;P for the Index Debt shall fall within different Categories, the Category then in effect shall be based on the higher of the two ratings unless one of the two ratings is two or more Categories lower than the other, in which case the Category then in effect shall be determined by reference to the Category next above that of the lower of the two ratings; and (iv) if the ratings established or deemed to have been established by Moody’s and S&amp;P for the Index Debt shall be changed (other than as a result of a change in the rating system of Moody’s or S&amp;P), such change shall be effective as of the date that is three (3) Business Days after the date on which it is first announced by the applicable rating agency, irrespective of when notice of such change shall have been furnished by the Borrower to the Administrative Agent and the Lenders pursuant to Section 5.09 or otherwise. Each change in the Applicable Rate shall apply during the period commencing on the effective date of such change and ending on the date immediately preceding the effective date of the next such change. If the rating system of Moody’s or S&amp;P shall change, or if either such rating agency shall cease to be in the business of rating corporate debt obligations, the Borrower and the Lenders shall negotiate in good faith to amend this definition to reflect such changed rating system or the unavailability of ratings from such rating agency and, pending the effectiveness of any such amendment, the Applicable Rate shall be determined by reference to the rating most recently in effect prior to such change or cessation.</w:t>
      </w:r>
    </w:p>
    <w:p>
      <w:pPr>
        <w:spacing w:after="0" w:line="190"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Time</w:t>
      </w:r>
      <w:r>
        <w:rPr>
          <w:rFonts w:ascii="Times New Roman" w:cs="Times New Roman" w:eastAsia="Times New Roman" w:hAnsi="Times New Roman"/>
          <w:sz w:val="18"/>
          <w:szCs w:val="18"/>
          <w:color w:val="auto"/>
        </w:rPr>
        <w:t>” means, with respect to any Borrowings and payments in any Foreign Currency, the local time in the place of settlement for such Foreign Currency as may be determined by the Administrative Agent or the applicable Issuing Bank, as the case may be, to be necessary for timely settlement on the relevant date in accordance with normal banking procedures in the place of payment.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Borrower Portal</w:t>
      </w:r>
      <w:r>
        <w:rPr>
          <w:rFonts w:ascii="Times New Roman" w:cs="Times New Roman" w:eastAsia="Times New Roman" w:hAnsi="Times New Roman"/>
          <w:sz w:val="18"/>
          <w:szCs w:val="18"/>
          <w:color w:val="auto"/>
        </w:rPr>
        <w:t>” has the meaning assigned to such term in Section 8.08(a).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Electronic Platform</w:t>
      </w:r>
      <w:r>
        <w:rPr>
          <w:rFonts w:ascii="Times New Roman" w:cs="Times New Roman" w:eastAsia="Times New Roman" w:hAnsi="Times New Roman"/>
          <w:sz w:val="18"/>
          <w:szCs w:val="18"/>
          <w:color w:val="auto"/>
        </w:rPr>
        <w:t>” has the meaning assigned to such term in Section 8.03(a).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has the meaning assigned to such term in Section 9.04(b).</w:t>
      </w:r>
    </w:p>
    <w:p>
      <w:pPr>
        <w:spacing w:after="0" w:line="225" w:lineRule="exact"/>
        <w:rPr>
          <w:sz w:val="20"/>
          <w:szCs w:val="20"/>
          <w:color w:val="auto"/>
        </w:rPr>
      </w:pPr>
    </w:p>
    <w:p>
      <w:pPr>
        <w:ind w:right="6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Arranger</w:t>
      </w:r>
      <w:r>
        <w:rPr>
          <w:rFonts w:ascii="Times New Roman" w:cs="Times New Roman" w:eastAsia="Times New Roman" w:hAnsi="Times New Roman"/>
          <w:sz w:val="18"/>
          <w:szCs w:val="18"/>
          <w:color w:val="auto"/>
        </w:rPr>
        <w:t>” means each of JPMorgan Chase Bank, N.A., BNP Paribas Securities Corp. and Citibank, N.A. in its capacity as a joint bookrunner and a joint lead arranger hereunder.</w:t>
      </w:r>
    </w:p>
    <w:p>
      <w:pPr>
        <w:spacing w:after="0" w:line="162"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means an assignment and assumption agreement entered into by a Lender and an assignee (with the consent of any party whose consent is required by Section 9.04), and accepted by the Administrative Agent,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or any other form (including electronic records generated by the use of an electronic platform) approved by the Administrative Agent.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Augmenting Lender</w:t>
      </w:r>
      <w:r>
        <w:rPr>
          <w:rFonts w:ascii="Times New Roman" w:cs="Times New Roman" w:eastAsia="Times New Roman" w:hAnsi="Times New Roman"/>
          <w:sz w:val="18"/>
          <w:szCs w:val="18"/>
          <w:color w:val="auto"/>
        </w:rPr>
        <w:t>” has the meaning assigned to such term in Section 2.20.</w:t>
      </w:r>
    </w:p>
    <w:p>
      <w:pPr>
        <w:spacing w:after="0" w:line="225"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Availability Period</w:t>
      </w:r>
      <w:r>
        <w:rPr>
          <w:rFonts w:ascii="Times New Roman" w:cs="Times New Roman" w:eastAsia="Times New Roman" w:hAnsi="Times New Roman"/>
          <w:sz w:val="18"/>
          <w:szCs w:val="18"/>
          <w:color w:val="auto"/>
        </w:rPr>
        <w:t>” means the period from and including the Effective Date to but excluding the earlier of the Maturity Date and the date of termination of the Commitments.</w:t>
      </w:r>
    </w:p>
    <w:p>
      <w:pPr>
        <w:spacing w:after="0" w:line="162"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Tenor</w:t>
      </w:r>
      <w:r>
        <w:rPr>
          <w:rFonts w:ascii="Times New Roman" w:cs="Times New Roman" w:eastAsia="Times New Roman" w:hAnsi="Times New Roman"/>
          <w:sz w:val="18"/>
          <w:szCs w:val="18"/>
          <w:color w:val="auto"/>
        </w:rPr>
        <w:t>” means, as of any date of determination and with respect to the then-current Benchmark for any Agreed Currency,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clause (e) of Section 2.14.</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70" w:right="479" w:bottom="1440" w:gutter="0" w:footer="0" w:header="0"/>
        </w:sectPr>
      </w:pPr>
    </w:p>
    <w:bookmarkStart w:id="63" w:name="page64"/>
    <w:bookmarkEnd w:id="63"/>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162" w:lineRule="exact"/>
        <w:rPr>
          <w:sz w:val="20"/>
          <w:szCs w:val="20"/>
          <w:color w:val="auto"/>
        </w:rPr>
      </w:pPr>
    </w:p>
    <w:p>
      <w:pPr>
        <w:ind w:right="14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7" w:lineRule="exact"/>
        <w:rPr>
          <w:sz w:val="20"/>
          <w:szCs w:val="20"/>
          <w:color w:val="auto"/>
        </w:rPr>
      </w:pPr>
    </w:p>
    <w:p>
      <w:pPr>
        <w:ind w:right="120"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Event</w:t>
      </w:r>
      <w:r>
        <w:rPr>
          <w:rFonts w:ascii="Times New Roman" w:cs="Times New Roman" w:eastAsia="Times New Roman" w:hAnsi="Times New Roman"/>
          <w:sz w:val="18"/>
          <w:szCs w:val="18"/>
          <w:color w:val="auto"/>
        </w:rPr>
        <w:t xml:space="preserve">” means, with respect to any Person, such Person becomes the subject of a voluntary or involuntary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or has had any order for relief in such proceeding entered in respect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Bankruptcy Event shall not result solely by virtue of any ownership interest, or the acquisition of any ownership interest, in such Person by a Governmental Authority or instrumentality thereof, unless such ownership interest results in or provides such Person with immunity from the jurisdiction of courts within the United States or from the enforcement of judgments or writs of attachment on its assets or permits such Person (or such Governmental Authority or instrumentality) to reject, repudiate, disavow or disaffirm any contracts or agreements made by such Person.</w:t>
      </w:r>
    </w:p>
    <w:p>
      <w:pPr>
        <w:spacing w:after="0" w:line="188"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w:t>
      </w:r>
      <w:r>
        <w:rPr>
          <w:rFonts w:ascii="Times New Roman" w:cs="Times New Roman" w:eastAsia="Times New Roman" w:hAnsi="Times New Roman"/>
          <w:sz w:val="18"/>
          <w:szCs w:val="18"/>
          <w:color w:val="auto"/>
        </w:rPr>
        <w:t xml:space="preserve">” means, initially, with respect to any (i) RFR Loan in any Agreed Currency, the applicable Relevant Rate for such Agreed Currency or (ii) Term Benchmark Loan in any Agreed Currency, the Relevant Rate for such Agreed Currency;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Benchmark Transition Event or a Term CORRA Reelection Event and the related Benchmark Replacement Date have occurred with respect to the applicable Relevant Rate or the then-current Benchmark for such Agreed Currency, then “Benchmark” means the applicable Benchmark Replacement to the extent that such Benchmark Replacement has replaced such prior benchmark rate pursuant to clause (b) of Section 2.14.</w:t>
      </w:r>
    </w:p>
    <w:p>
      <w:pPr>
        <w:spacing w:after="0" w:line="183"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xml:space="preserve">” means, for any Available Tenor, the first alternative set forth in the order below that can be determined by the Administrative Agent for the applicable Benchmark Replacement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any Loan denominated in a Foreign Currency (other than any Loan denominated in Canadian Dollars), “Benchmark Replacement” shall mean the alternative set forth in (2) below:</w:t>
      </w:r>
    </w:p>
    <w:p>
      <w:pPr>
        <w:spacing w:after="0" w:line="68" w:lineRule="exact"/>
        <w:rPr>
          <w:sz w:val="20"/>
          <w:szCs w:val="20"/>
          <w:color w:val="auto"/>
        </w:rPr>
      </w:pPr>
    </w:p>
    <w:p>
      <w:pPr>
        <w:ind w:left="440" w:firstLine="419"/>
        <w:spacing w:after="0" w:line="282" w:lineRule="auto"/>
        <w:tabs>
          <w:tab w:leader="none" w:pos="111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Loan denominated in Dollars, the Adjusted Daily Simple RFR for RFR Borrowings denominated in Dollars and/or in the case of any Loan denominated in Canadian Dollars, the Adjusted Daily Simple RFR for RFR Borrowings denominated in Canadian Dollars; or</w:t>
      </w:r>
    </w:p>
    <w:p>
      <w:pPr>
        <w:spacing w:after="0" w:line="53" w:lineRule="exact"/>
        <w:rPr>
          <w:rFonts w:ascii="Times New Roman" w:cs="Times New Roman" w:eastAsia="Times New Roman" w:hAnsi="Times New Roman"/>
          <w:sz w:val="18"/>
          <w:szCs w:val="18"/>
          <w:color w:val="auto"/>
        </w:rPr>
      </w:pPr>
    </w:p>
    <w:p>
      <w:pPr>
        <w:ind w:left="440" w:right="120" w:firstLine="419"/>
        <w:spacing w:after="0" w:line="258" w:lineRule="auto"/>
        <w:tabs>
          <w:tab w:leader="none" w:pos="111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denominated in the applicable Agreed Currency at such time in the United States and (b) the related Benchmark Replacement Adjustment;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70" w:right="439" w:bottom="1440" w:gutter="0" w:footer="0" w:header="0"/>
        </w:sectPr>
      </w:pPr>
    </w:p>
    <w:bookmarkStart w:id="64" w:name="page65"/>
    <w:bookmarkEnd w:id="64"/>
    <w:p>
      <w:pPr>
        <w:ind w:left="440" w:right="220" w:firstLine="423"/>
        <w:spacing w:after="0" w:line="266"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provided</w:t>
      </w:r>
      <w:r>
        <w:rPr>
          <w:rFonts w:ascii="Times New Roman" w:cs="Times New Roman" w:eastAsia="Times New Roman" w:hAnsi="Times New Roman"/>
          <w:sz w:val="18"/>
          <w:szCs w:val="18"/>
          <w:color w:val="auto"/>
        </w:rPr>
        <w:t xml:space="preserve"> that, notwithstanding anything to the contrary in this Agreement or in any other Loan Document, upon the occurrence of a Term CORRA Reelection Event, and the delivery of a Term CORRA Notice, on the applicable Benchmark Replacement Date the “Benchmark Replacement” shall revert to and shall be deemed to be the Adjusted Term CORRA Rate.</w:t>
      </w:r>
    </w:p>
    <w:p>
      <w:pPr>
        <w:spacing w:after="0" w:line="68" w:lineRule="exact"/>
        <w:rPr>
          <w:sz w:val="20"/>
          <w:szCs w:val="20"/>
          <w:color w:val="auto"/>
        </w:rPr>
      </w:pPr>
    </w:p>
    <w:p>
      <w:pPr>
        <w:ind w:left="440" w:right="40" w:firstLine="423"/>
        <w:spacing w:after="0" w:line="282" w:lineRule="auto"/>
        <w:rPr>
          <w:sz w:val="20"/>
          <w:szCs w:val="20"/>
          <w:color w:val="auto"/>
        </w:rPr>
      </w:pPr>
      <w:r>
        <w:rPr>
          <w:rFonts w:ascii="Times New Roman" w:cs="Times New Roman" w:eastAsia="Times New Roman" w:hAnsi="Times New Roman"/>
          <w:sz w:val="18"/>
          <w:szCs w:val="18"/>
          <w:color w:val="auto"/>
        </w:rPr>
        <w:t>If the Benchmark Replacement as determined pursuant to clause (1) or clause (2) would be less than the Floor, the Benchmark Replacement will be deemed to be the Floor for the purposes of this Agreement and the other Loan Documents.</w:t>
      </w:r>
    </w:p>
    <w:p>
      <w:pPr>
        <w:spacing w:after="0" w:line="162"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Adjustment</w:t>
      </w:r>
      <w:r>
        <w:rPr>
          <w:rFonts w:ascii="Times New Roman" w:cs="Times New Roman" w:eastAsia="Times New Roman" w:hAnsi="Times New Roman"/>
          <w:sz w:val="18"/>
          <w:szCs w:val="18"/>
          <w:color w:val="auto"/>
        </w:rPr>
        <w:t>”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Agreed Currency at such time.</w:t>
      </w:r>
    </w:p>
    <w:p>
      <w:pPr>
        <w:spacing w:after="0" w:line="188"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Conforming Changes</w:t>
      </w:r>
      <w:r>
        <w:rPr>
          <w:rFonts w:ascii="Times New Roman" w:cs="Times New Roman" w:eastAsia="Times New Roman" w:hAnsi="Times New Roman"/>
          <w:sz w:val="18"/>
          <w:szCs w:val="18"/>
          <w:color w:val="auto"/>
        </w:rPr>
        <w:t>” means, with respect to any Benchmark Replacement and/or any Term Benchmark Revolving Loan denominated in Dollars or Canadian Dollars, as applicable, any technical, administrative or operational changes (including changes to the definition of “Alternate Base Rate,” the definition of “Business Day,” the definition of “Canadian Prime Rate”, the definition of “U.S. Government Securities Business Day,” the definition of “RFR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exists, in such other manner of administration as the Administrative Agent decides is reasonably necessary in connection with the administration of this Agreement and the other Loan Documents).</w:t>
      </w:r>
    </w:p>
    <w:p>
      <w:pPr>
        <w:spacing w:after="0" w:line="192"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Date</w:t>
      </w:r>
      <w:r>
        <w:rPr>
          <w:rFonts w:ascii="Times New Roman" w:cs="Times New Roman" w:eastAsia="Times New Roman" w:hAnsi="Times New Roman"/>
          <w:sz w:val="18"/>
          <w:szCs w:val="18"/>
          <w:color w:val="auto"/>
        </w:rPr>
        <w:t>” means, with respect to any Benchmark, the earliest to occur of the following events with respect to such then-current Benchmark:</w:t>
      </w:r>
    </w:p>
    <w:p>
      <w:pPr>
        <w:spacing w:after="0" w:line="54" w:lineRule="exact"/>
        <w:rPr>
          <w:sz w:val="20"/>
          <w:szCs w:val="20"/>
          <w:color w:val="auto"/>
        </w:rPr>
      </w:pPr>
    </w:p>
    <w:p>
      <w:pPr>
        <w:ind w:left="440" w:right="40" w:firstLine="419"/>
        <w:spacing w:after="0" w:line="266" w:lineRule="auto"/>
        <w:tabs>
          <w:tab w:leader="none" w:pos="111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65" w:name="page66"/>
    <w:bookmarkEnd w:id="65"/>
    <w:p>
      <w:pPr>
        <w:ind w:left="440" w:right="120" w:firstLine="419"/>
        <w:spacing w:after="0" w:line="256" w:lineRule="auto"/>
        <w:tabs>
          <w:tab w:leader="none" w:pos="111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case of clause (3) of the definition of “Benchmark Transition Event,” the first date on which such Benchmark (or the published component used in the calculation thereof) has been or, if such Benchmark is a term rate, all Available Tenors of such Benchmark (or component thereof) have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(3) and even if such Benchmark (or component thereof) or, if such Benchmark is a term rate, any Available Tenor of such Benchmark (or such component thereof) continues to be provided on such date; or</w:t>
      </w:r>
    </w:p>
    <w:p>
      <w:pPr>
        <w:spacing w:after="0" w:line="79" w:lineRule="exact"/>
        <w:rPr>
          <w:rFonts w:ascii="Times New Roman" w:cs="Times New Roman" w:eastAsia="Times New Roman" w:hAnsi="Times New Roman"/>
          <w:sz w:val="18"/>
          <w:szCs w:val="18"/>
          <w:color w:val="auto"/>
        </w:rPr>
      </w:pPr>
    </w:p>
    <w:p>
      <w:pPr>
        <w:ind w:left="440" w:firstLine="419"/>
        <w:spacing w:after="0" w:line="282" w:lineRule="auto"/>
        <w:tabs>
          <w:tab w:leader="none" w:pos="111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Term CORRA Reelection Event, the date that is thirty (30) days after the date a Term CORRA Notice (if any) is provided to the Lenders and the Borrower pursuant to </w:t>
      </w:r>
      <w:r>
        <w:rPr>
          <w:rFonts w:ascii="Times New Roman" w:cs="Times New Roman" w:eastAsia="Times New Roman" w:hAnsi="Times New Roman"/>
          <w:sz w:val="18"/>
          <w:szCs w:val="18"/>
          <w:u w:val="single" w:color="auto"/>
          <w:color w:val="auto"/>
        </w:rPr>
        <w:t>Section 2.14(c)</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440" w:firstLine="423"/>
        <w:spacing w:after="0" w:line="258" w:lineRule="auto"/>
        <w:rPr>
          <w:sz w:val="20"/>
          <w:szCs w:val="20"/>
          <w:color w:val="auto"/>
        </w:rPr>
      </w:pPr>
      <w:r>
        <w:rPr>
          <w:rFonts w:ascii="Times New Roman" w:cs="Times New Roman" w:eastAsia="Times New Roman" w:hAnsi="Times New Roman"/>
          <w:sz w:val="18"/>
          <w:szCs w:val="18"/>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83"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Event</w:t>
      </w:r>
      <w:r>
        <w:rPr>
          <w:rFonts w:ascii="Times New Roman" w:cs="Times New Roman" w:eastAsia="Times New Roman" w:hAnsi="Times New Roman"/>
          <w:sz w:val="18"/>
          <w:szCs w:val="18"/>
          <w:color w:val="auto"/>
        </w:rPr>
        <w:t>” means, with respect to any Benchmark, the occurrence of one or more of the following events with respect to such then-current Benchmark:</w:t>
      </w:r>
    </w:p>
    <w:p>
      <w:pPr>
        <w:spacing w:after="0" w:line="54" w:lineRule="exact"/>
        <w:rPr>
          <w:sz w:val="20"/>
          <w:szCs w:val="20"/>
          <w:color w:val="auto"/>
        </w:rPr>
      </w:pPr>
    </w:p>
    <w:p>
      <w:pPr>
        <w:ind w:left="440" w:right="20" w:firstLine="419"/>
        <w:spacing w:after="0" w:line="258" w:lineRule="auto"/>
        <w:tabs>
          <w:tab w:leader="none" w:pos="111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such Benchmark (or such component thereof) or, if such Benchmark is a term rate, any Available Tenor of such Benchmark (or such component thereof);</w:t>
      </w:r>
    </w:p>
    <w:p>
      <w:pPr>
        <w:spacing w:after="0" w:line="75" w:lineRule="exact"/>
        <w:rPr>
          <w:rFonts w:ascii="Times New Roman" w:cs="Times New Roman" w:eastAsia="Times New Roman" w:hAnsi="Times New Roman"/>
          <w:sz w:val="18"/>
          <w:szCs w:val="18"/>
          <w:color w:val="auto"/>
        </w:rPr>
      </w:pPr>
    </w:p>
    <w:p>
      <w:pPr>
        <w:ind w:left="440" w:right="140" w:firstLine="419"/>
        <w:spacing w:after="0" w:line="253" w:lineRule="auto"/>
        <w:tabs>
          <w:tab w:leader="none" w:pos="111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public statement or publication of information by the regulatory supervisor for the administrator of such Benchmark (or the published component used in the calculation thereof), the Federal Reserve Board, the NYFRB, the CME Term SOFR Administrator, the CORRA Administrator, the central bank for the Agreed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such Benchmark (or such component thereof) or, if such Benchmark is a term rate, all Available Tenors of such Benchmark (or such component thereof)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such Benchmark (or such component thereof) or, if such Benchmark is a term rate, any Available Tenor of such Benchmark (or such component thereof); or</w:t>
      </w:r>
    </w:p>
    <w:p>
      <w:pPr>
        <w:spacing w:after="0" w:line="86" w:lineRule="exact"/>
        <w:rPr>
          <w:rFonts w:ascii="Times New Roman" w:cs="Times New Roman" w:eastAsia="Times New Roman" w:hAnsi="Times New Roman"/>
          <w:sz w:val="18"/>
          <w:szCs w:val="18"/>
          <w:color w:val="auto"/>
        </w:rPr>
      </w:pPr>
    </w:p>
    <w:p>
      <w:pPr>
        <w:ind w:left="440" w:right="60" w:firstLine="419"/>
        <w:spacing w:after="0" w:line="289" w:lineRule="auto"/>
        <w:tabs>
          <w:tab w:leader="none" w:pos="1118"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public statement or publication of information by the regulatory supervisor for the administrator of such Benchmark (or the published component used in the calculation thereof) announcing that such Benchmark (or such component thereof) or, if such Benchmark is a term rate, all Available Tenors of such Benchmark (or such component thereof) are no longer, or as of a specified future date will no longer be, representative.</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66" w:name="page67"/>
    <w:bookmarkEnd w:id="66"/>
    <w:p>
      <w:pPr>
        <w:ind w:left="440" w:right="60" w:firstLine="423"/>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6"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Section 2.14 and (y) ending at the time that a Benchmark Replacement has replaced such then-current Benchmark for all purposes hereunder and under any Loan Document in accordance with Section 2.14.</w:t>
      </w:r>
    </w:p>
    <w:p>
      <w:pPr>
        <w:spacing w:after="0" w:line="183" w:lineRule="exact"/>
        <w:rPr>
          <w:sz w:val="20"/>
          <w:szCs w:val="20"/>
          <w:color w:val="auto"/>
        </w:rPr>
      </w:pPr>
    </w:p>
    <w:p>
      <w:pPr>
        <w:ind w:right="6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Certification</w:t>
      </w:r>
      <w:r>
        <w:rPr>
          <w:rFonts w:ascii="Times New Roman" w:cs="Times New Roman" w:eastAsia="Times New Roman" w:hAnsi="Times New Roman"/>
          <w:sz w:val="18"/>
          <w:szCs w:val="18"/>
          <w:color w:val="auto"/>
        </w:rPr>
        <w:t>” means a certification regarding beneficial ownership or control as required by the Beneficial Ownership Regulation.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Regulation</w:t>
      </w:r>
      <w:r>
        <w:rPr>
          <w:rFonts w:ascii="Times New Roman" w:cs="Times New Roman" w:eastAsia="Times New Roman" w:hAnsi="Times New Roman"/>
          <w:sz w:val="18"/>
          <w:szCs w:val="18"/>
          <w:color w:val="auto"/>
        </w:rPr>
        <w:t>” means 31 C.F.R. § 1010.230.</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of a party means an “affiliate” (as such term is defined under, and interpreted in accordance with, 12 U.S.C. 1841(k))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such party.</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means ManpowerGroup Inc., a Wisconsin corporation.</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Communications</w:t>
      </w:r>
      <w:r>
        <w:rPr>
          <w:rFonts w:ascii="Times New Roman" w:cs="Times New Roman" w:eastAsia="Times New Roman" w:hAnsi="Times New Roman"/>
          <w:sz w:val="18"/>
          <w:szCs w:val="18"/>
          <w:color w:val="auto"/>
        </w:rPr>
        <w:t>” means, collectively, any Borrowing Request, Interest Election Request, notice of prepayment, notice requesting the issuance, amendment or extension of a Letter of Credit or other notice, demand, communication, information, document or other material provided by or on behalf of the Borrower pursuant to any Loan Document or the transactions contemplated therein which is distributed by the Borrower to the Administrative Agent through an Approved Borrower Portal.</w:t>
      </w:r>
    </w:p>
    <w:p>
      <w:pPr>
        <w:spacing w:after="0" w:line="180" w:lineRule="exact"/>
        <w:rPr>
          <w:sz w:val="20"/>
          <w:szCs w:val="20"/>
          <w:color w:val="auto"/>
        </w:rPr>
      </w:pPr>
    </w:p>
    <w:p>
      <w:pPr>
        <w:ind w:right="4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means (a) Revolving Loans of the same Type, made, converted or continued on the same date and, in the case of Term Benchmark Loans, as to which a single Interest Period is in effect or (b) a Swingline Loan.</w:t>
      </w:r>
    </w:p>
    <w:p>
      <w:pPr>
        <w:spacing w:after="0" w:line="162"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Minimum</w:t>
      </w:r>
      <w:r>
        <w:rPr>
          <w:rFonts w:ascii="Times New Roman" w:cs="Times New Roman" w:eastAsia="Times New Roman" w:hAnsi="Times New Roman"/>
          <w:sz w:val="18"/>
          <w:szCs w:val="18"/>
          <w:color w:val="auto"/>
        </w:rPr>
        <w:t>” means, (i) in respect of Loans denominated in Dollars, $5,000,000, (ii) in respect of Loans denominated in euro, €10,000,000, (iii) in respect of Loans denominated in Pounds Sterling, £5,000,000, (iv) in respect of Loans denominated in Swiss Francs, CHF5,000,000, (v) in respect of Loans denominated in Japanese Yen, ¥100,000,000, (vi) in respect of Loans denominated in Canadian Dollars, CAD$5,000,000 and (vii) in respect of Loans denominated in any other Agreed Currency, the Dollar Amount of $5,000,000.</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60"/>
          </w:cols>
          <w:pgMar w:left="440" w:top="270" w:right="499" w:bottom="1440" w:gutter="0" w:footer="0" w:header="0"/>
        </w:sectPr>
      </w:pPr>
    </w:p>
    <w:bookmarkStart w:id="67" w:name="page68"/>
    <w:bookmarkEnd w:id="67"/>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Borrowing Multiple</w:t>
      </w:r>
      <w:r>
        <w:rPr>
          <w:rFonts w:ascii="Times New Roman" w:cs="Times New Roman" w:eastAsia="Times New Roman" w:hAnsi="Times New Roman"/>
          <w:sz w:val="18"/>
          <w:szCs w:val="18"/>
          <w:color w:val="auto"/>
        </w:rPr>
        <w:t>” means, (i) in respect of Loans denominated in Dollars, $1,000,000, (ii) in respect of Loans denominated in euro,</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€1,000,000, (iii) in respect of Loans denominated in Pounds Sterling, £1,000,000, (iv) in respect of Loans denominated in Swiss Francs, CHF1,000,000,</w:t>
      </w:r>
    </w:p>
    <w:p>
      <w:pPr>
        <w:spacing w:after="0" w:line="9" w:lineRule="exact"/>
        <w:rPr>
          <w:sz w:val="20"/>
          <w:szCs w:val="20"/>
          <w:color w:val="auto"/>
        </w:rPr>
      </w:pPr>
    </w:p>
    <w:p>
      <w:pPr>
        <w:ind w:left="264" w:hanging="264"/>
        <w:spacing w:after="0"/>
        <w:tabs>
          <w:tab w:leader="none" w:pos="26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Loans denominated in Japanese Yen, ¥10,000,000, (vi) in respect of Loans denominated in Canadian Dollars, CAD$1,000,000 and</w:t>
      </w:r>
    </w:p>
    <w:p>
      <w:pPr>
        <w:spacing w:after="0" w:line="9" w:lineRule="exact"/>
        <w:rPr>
          <w:rFonts w:ascii="Times New Roman" w:cs="Times New Roman" w:eastAsia="Times New Roman" w:hAnsi="Times New Roman"/>
          <w:sz w:val="18"/>
          <w:szCs w:val="18"/>
          <w:color w:val="auto"/>
        </w:rPr>
      </w:pPr>
    </w:p>
    <w:p>
      <w:pPr>
        <w:ind w:left="364" w:hanging="364"/>
        <w:spacing w:after="0"/>
        <w:tabs>
          <w:tab w:leader="none" w:pos="36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Loans denominated in any other Agreed Currency, the Dollar Amount of $1,000,000.</w:t>
      </w:r>
    </w:p>
    <w:p>
      <w:pPr>
        <w:spacing w:after="0" w:line="207" w:lineRule="exact"/>
        <w:rPr>
          <w:sz w:val="20"/>
          <w:szCs w:val="20"/>
          <w:color w:val="auto"/>
        </w:rPr>
      </w:pPr>
    </w:p>
    <w:p>
      <w:pPr>
        <w:ind w:left="4" w:right="1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Request</w:t>
      </w:r>
      <w:r>
        <w:rPr>
          <w:rFonts w:ascii="Times New Roman" w:cs="Times New Roman" w:eastAsia="Times New Roman" w:hAnsi="Times New Roman"/>
          <w:sz w:val="18"/>
          <w:szCs w:val="18"/>
          <w:color w:val="auto"/>
        </w:rPr>
        <w:t>” means a request by the Borrower for a Borrowing in accordance with Section 2.03, which shall be substantially in the form approved by the Administrative Agent and separately provided to the Borrower.</w:t>
      </w:r>
    </w:p>
    <w:p>
      <w:pPr>
        <w:spacing w:after="0" w:line="162" w:lineRule="exact"/>
        <w:rPr>
          <w:sz w:val="20"/>
          <w:szCs w:val="20"/>
          <w:color w:val="auto"/>
        </w:rPr>
      </w:pPr>
    </w:p>
    <w:p>
      <w:pPr>
        <w:ind w:left="4" w:right="100" w:firstLine="991"/>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Business Day</w:t>
      </w:r>
      <w:r>
        <w:rPr>
          <w:rFonts w:ascii="Times New Roman" w:cs="Times New Roman" w:eastAsia="Times New Roman" w:hAnsi="Times New Roman"/>
          <w:sz w:val="17"/>
          <w:szCs w:val="17"/>
          <w:color w:val="auto"/>
        </w:rPr>
        <w:t xml:space="preserve">” means, any day (other than a Saturday or a Sunday) on which banks are open for business in New York City;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addition to the foregoing, a Business Day shall be (i) in relation to Loans denominated in euro and in relation to the calculation or computation of the EURIBO Rate, any day which is a TARGET Day, (ii) in relation to Loans denominated in Japanese Yen and in relation to the calculation or computation of the TIBO Rate or the Japanese Prime Rate, any day (other than a Saturday or a Sunday) on which banks are open for business in Japan,</w:t>
      </w:r>
    </w:p>
    <w:p>
      <w:pPr>
        <w:spacing w:after="0" w:line="3" w:lineRule="exact"/>
        <w:rPr>
          <w:sz w:val="20"/>
          <w:szCs w:val="20"/>
          <w:color w:val="auto"/>
        </w:rPr>
      </w:pPr>
    </w:p>
    <w:p>
      <w:pPr>
        <w:ind w:left="4" w:right="60" w:hanging="4"/>
        <w:spacing w:after="0" w:line="252" w:lineRule="auto"/>
        <w:tabs>
          <w:tab w:leader="none" w:pos="31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Loans denominated in Canadian Dollars and in relation to the calculation or computation of CORRA or the Canadian Prime Rate, any day (other than a Saturday or a Sunday) on which banks are open for business in Toronto, (iv) in relation to RFR Loans and any interest rate settings, fundings, disbursements, settlements or payments of any such RFR Loan, or any other dealings in the applicable Agreed Currency of such RFR Loan, any such day that is only an RFR Business Day and (v) in relation to Loans referencing the Adjusted Term SOFR Rate and any interest rate settings, fundings, disbursements, settlements or payments of any such Loans referencing the Adjusted Term SOFR Rate or any other dealings of such Loans referencing the Adjusted Term SOFR Rate, any such day that is a U.S. Government Securities Business Day.</w:t>
      </w:r>
    </w:p>
    <w:p>
      <w:pPr>
        <w:spacing w:after="0" w:line="19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CAD</w:t>
      </w:r>
      <w:r>
        <w:rPr>
          <w:rFonts w:ascii="Times New Roman" w:cs="Times New Roman" w:eastAsia="Times New Roman" w:hAnsi="Times New Roman"/>
          <w:sz w:val="18"/>
          <w:szCs w:val="18"/>
          <w:color w:val="auto"/>
        </w:rPr>
        <w:t>” means the lawful currency of Canada.</w:t>
      </w:r>
    </w:p>
    <w:p>
      <w:pPr>
        <w:spacing w:after="0" w:line="225" w:lineRule="exact"/>
        <w:rPr>
          <w:sz w:val="20"/>
          <w:szCs w:val="20"/>
          <w:color w:val="auto"/>
        </w:rPr>
      </w:pPr>
    </w:p>
    <w:p>
      <w:pPr>
        <w:ind w:left="4"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Prime Rate</w:t>
      </w:r>
      <w:r>
        <w:rPr>
          <w:rFonts w:ascii="Times New Roman" w:cs="Times New Roman" w:eastAsia="Times New Roman" w:hAnsi="Times New Roman"/>
          <w:sz w:val="18"/>
          <w:szCs w:val="18"/>
          <w:color w:val="auto"/>
        </w:rPr>
        <w:t xml:space="preserve">” means, on any day, the rate determined by the Administrative Agent to be the higher of (i) the rate equal to the PRIMCAN Index rate that appears on the Bloomberg screen at 10:15 a.m. Toronto time on such day (or, in the event that the PRIMCAN Index is not published by Bloomberg, any other information services that publishes such index from time to time, as selected by the Administrative Agent in its reasonable discretion) and (ii) the Adjusted Term CORRA Rate for an interest period of one month in effect from time to time plus 1% per annum;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any of the above rates shall be less than 1.00%, such rate shall be deemed to be 1.00% for purposes of this Agreement. Any change in the Canadian Prime Rate due to a change in the PRIMCAN Index or the Adjusted Term CORRA Rate shall be effective from and including the effective date of such change in the PRIMCAN Index or the Adjusted Term CORRA Rate respectively.</w:t>
      </w:r>
    </w:p>
    <w:p>
      <w:pPr>
        <w:spacing w:after="0" w:line="189" w:lineRule="exact"/>
        <w:rPr>
          <w:sz w:val="20"/>
          <w:szCs w:val="20"/>
          <w:color w:val="auto"/>
        </w:rPr>
      </w:pPr>
    </w:p>
    <w:p>
      <w:pPr>
        <w:ind w:left="4" w:right="1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Lease Obligations</w:t>
      </w:r>
      <w:r>
        <w:rPr>
          <w:rFonts w:ascii="Times New Roman" w:cs="Times New Roman" w:eastAsia="Times New Roman" w:hAnsi="Times New Roman"/>
          <w:sz w:val="18"/>
          <w:szCs w:val="18"/>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or financing leases on a balance sheet of such Person under GAAP, and the amount of such obligations shall be the capitalized amount thereof determined in accordance with GAAP.</w:t>
      </w:r>
    </w:p>
    <w:p>
      <w:pPr>
        <w:spacing w:after="0" w:line="180" w:lineRule="exact"/>
        <w:rPr>
          <w:sz w:val="20"/>
          <w:szCs w:val="20"/>
          <w:color w:val="auto"/>
        </w:rPr>
      </w:pPr>
    </w:p>
    <w:p>
      <w:pPr>
        <w:ind w:left="4" w:right="1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CBR Loan</w:t>
      </w:r>
      <w:r>
        <w:rPr>
          <w:rFonts w:ascii="Times New Roman" w:cs="Times New Roman" w:eastAsia="Times New Roman" w:hAnsi="Times New Roman"/>
          <w:sz w:val="18"/>
          <w:szCs w:val="18"/>
          <w:color w:val="auto"/>
        </w:rPr>
        <w:t>” means a Loan that bears interest at a rate determined by reference to the Central Bank Rate, the Japanese Prime Rate or the Canadian Prime Rate.</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CBR Spread</w:t>
      </w:r>
      <w:r>
        <w:rPr>
          <w:rFonts w:ascii="Times New Roman" w:cs="Times New Roman" w:eastAsia="Times New Roman" w:hAnsi="Times New Roman"/>
          <w:sz w:val="18"/>
          <w:szCs w:val="18"/>
          <w:color w:val="auto"/>
        </w:rPr>
        <w:t>” means the Applicable Rate applicable to such Loan that is replaced by a CBR Loan.</w:t>
      </w:r>
    </w:p>
    <w:p>
      <w:pPr>
        <w:spacing w:after="0" w:line="158" w:lineRule="exact"/>
        <w:rPr>
          <w:sz w:val="20"/>
          <w:szCs w:val="20"/>
          <w:color w:val="auto"/>
        </w:rPr>
      </w:pPr>
    </w:p>
    <w:p>
      <w:pPr>
        <w:ind w:left="5464"/>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4"/>
          </w:cols>
          <w:pgMar w:left="436" w:top="270" w:right="479" w:bottom="1440" w:gutter="0" w:footer="0" w:header="0"/>
        </w:sectPr>
      </w:pPr>
    </w:p>
    <w:bookmarkStart w:id="68" w:name="page69"/>
    <w:bookmarkEnd w:id="68"/>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Central Bank Rate</w:t>
      </w:r>
      <w:r>
        <w:rPr>
          <w:rFonts w:ascii="Times New Roman" w:cs="Times New Roman" w:eastAsia="Times New Roman" w:hAnsi="Times New Roman"/>
          <w:sz w:val="18"/>
          <w:szCs w:val="18"/>
          <w:color w:val="auto"/>
        </w:rPr>
        <w:t>” means, the greater of (i) (A) for any Loan denominated in (a) Pounds Sterling, the Bank of England (or any successor thereto)’s “Bank Rate” as published by the Bank of England (or any successor thereto) from time to time, (b) euro, one of the following three rates as may be selected by the Administrative Agent in its reasonable discretion: (1) the fixed rate for the main refinancing operations of the European Central Bank (or any successor thereto), or, if that rate is not published, the minimum bid rate for the main refinancing operations of the European Central Bank (or any successor thereto), each as published by the European Central Bank (or any successor thereto) from time to time, (2) the rate for the marginal lending facility of the European Central Bank (or any successor thereto), as published by the European Central Bank (or any successor thereto) from time to time, or (3) the rate for the deposit facility of the central banking system of the Participating Member States, as published by the European Central Bank (or any successor thereto) from time to time, (c) Swiss Francs, the policy rate of the Swiss National Bank (or any successor thereto) as published by the Swiss National Bank (or any successor thereto) from time to time and (d) any other Foreign Currency determined after the Effective Date, a central bank rate as determined by the Administrative Agent in its reasonable discretion; plus (B) the applicable Central Bank Rate Adjustment and (ii) the Floor.</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Central Bank Rate Adjustment</w:t>
      </w:r>
      <w:r>
        <w:rPr>
          <w:rFonts w:ascii="Times New Roman" w:cs="Times New Roman" w:eastAsia="Times New Roman" w:hAnsi="Times New Roman"/>
          <w:sz w:val="18"/>
          <w:szCs w:val="18"/>
          <w:color w:val="auto"/>
        </w:rPr>
        <w:t>” means, for any day, for any Loan denominated in:</w:t>
      </w:r>
    </w:p>
    <w:p>
      <w:pPr>
        <w:spacing w:after="0" w:line="117" w:lineRule="exact"/>
        <w:rPr>
          <w:sz w:val="20"/>
          <w:szCs w:val="20"/>
          <w:color w:val="auto"/>
        </w:rPr>
      </w:pPr>
    </w:p>
    <w:p>
      <w:pPr>
        <w:ind w:left="440" w:firstLine="419"/>
        <w:spacing w:after="0" w:line="261" w:lineRule="auto"/>
        <w:tabs>
          <w:tab w:leader="none" w:pos="110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euro, a rate equal to the difference (which may be a positive or negative value or zero) of (i) the average of the Adjusted EURIBO Rate for the five most recent Business Days preceding such day for which the EURIBO Screen Rate was available (excluding, from such averaging, the highest and the lowest Adjusted EURIBO Rate applicable during such period of five Business Days)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(ii) the Central Bank Rate in respect of euro in effect on the last Business Day in such period,</w:t>
      </w:r>
    </w:p>
    <w:p>
      <w:pPr>
        <w:spacing w:after="0" w:line="71" w:lineRule="exact"/>
        <w:rPr>
          <w:rFonts w:ascii="Times New Roman" w:cs="Times New Roman" w:eastAsia="Times New Roman" w:hAnsi="Times New Roman"/>
          <w:sz w:val="18"/>
          <w:szCs w:val="18"/>
          <w:color w:val="auto"/>
        </w:rPr>
      </w:pPr>
    </w:p>
    <w:p>
      <w:pPr>
        <w:jc w:val="both"/>
        <w:ind w:left="440" w:right="40" w:firstLine="419"/>
        <w:spacing w:after="0" w:line="258" w:lineRule="auto"/>
        <w:tabs>
          <w:tab w:leader="none" w:pos="111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Pounds Sterling, a rate equal to the difference (which may be a positive or negative value or zero) of (i) the average of Adjusted Daily Simple RFR for Pounds Sterling Borrowings for the five most recent RFR Business Days preceding such day for which Adjusted Daily Simple RFR for Pounds Sterling Borrowings was available (excluding, from such averaging, the highest and the lowest such Adjusted Daily Simple RFR applicable during such period of five RFR Business Days)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(ii) the Central Bank Rate in respect of Pounds Sterling in effect on the last RFR Business Day in such period,</w:t>
      </w:r>
    </w:p>
    <w:p>
      <w:pPr>
        <w:spacing w:after="0" w:line="75" w:lineRule="exact"/>
        <w:rPr>
          <w:rFonts w:ascii="Times New Roman" w:cs="Times New Roman" w:eastAsia="Times New Roman" w:hAnsi="Times New Roman"/>
          <w:sz w:val="18"/>
          <w:szCs w:val="18"/>
          <w:color w:val="auto"/>
        </w:rPr>
      </w:pPr>
    </w:p>
    <w:p>
      <w:pPr>
        <w:ind w:left="440" w:right="40" w:firstLine="419"/>
        <w:spacing w:after="0" w:line="261" w:lineRule="auto"/>
        <w:tabs>
          <w:tab w:leader="none" w:pos="110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Swiss Francs, a rate equal to the difference (which may be a positive or negative value or zero) of (i) the average of Adjusted Daily Simple RFR for Swiss Franc Borrowings for the five most recent RFR Business Days preceding such day for which SARON was available (excluding, from such averaging, the highest and the lowest such Adjusted Daily Simple RFR applicable during such period of five RFR Business Days)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(ii) the Central Bank Rate in respect of Swiss Francs in effect on the last RFR Business Day in such period, and</w:t>
      </w:r>
    </w:p>
    <w:p>
      <w:pPr>
        <w:spacing w:after="0" w:line="71" w:lineRule="exact"/>
        <w:rPr>
          <w:rFonts w:ascii="Times New Roman" w:cs="Times New Roman" w:eastAsia="Times New Roman" w:hAnsi="Times New Roman"/>
          <w:sz w:val="18"/>
          <w:szCs w:val="18"/>
          <w:color w:val="auto"/>
        </w:rPr>
      </w:pPr>
    </w:p>
    <w:p>
      <w:pPr>
        <w:ind w:left="440" w:right="680" w:firstLine="419"/>
        <w:spacing w:after="0" w:line="282" w:lineRule="auto"/>
        <w:tabs>
          <w:tab w:leader="none" w:pos="111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Foreign Currency determined after the Effective Date, an adjustment as determined by the Administrative Agent in its reasonable discretion.</w:t>
      </w:r>
    </w:p>
    <w:p>
      <w:pPr>
        <w:spacing w:after="0" w:line="54" w:lineRule="exact"/>
        <w:rPr>
          <w:sz w:val="20"/>
          <w:szCs w:val="20"/>
          <w:color w:val="auto"/>
        </w:rPr>
      </w:pPr>
    </w:p>
    <w:p>
      <w:pPr>
        <w:ind w:left="440" w:right="160" w:firstLine="423"/>
        <w:spacing w:after="0" w:line="266" w:lineRule="auto"/>
        <w:rPr>
          <w:sz w:val="20"/>
          <w:szCs w:val="20"/>
          <w:color w:val="auto"/>
        </w:rPr>
      </w:pPr>
      <w:r>
        <w:rPr>
          <w:rFonts w:ascii="Times New Roman" w:cs="Times New Roman" w:eastAsia="Times New Roman" w:hAnsi="Times New Roman"/>
          <w:sz w:val="18"/>
          <w:szCs w:val="18"/>
          <w:color w:val="auto"/>
        </w:rPr>
        <w:t>For purposes of this definition, (x) the term Central Bank Rate shall be determined disregarding clause (i)(B) of the definition of such term and (y) the EURIBO Rate on any day shall be based on the EURIBO Screen Rate on such day at approximately the time referred to in the definition of such term for deposits in the applicable Agreed Currency for a maturity of one month.</w:t>
      </w:r>
    </w:p>
    <w:p>
      <w:pPr>
        <w:spacing w:after="0" w:line="176" w:lineRule="exact"/>
        <w:rPr>
          <w:sz w:val="20"/>
          <w:szCs w:val="20"/>
          <w:color w:val="auto"/>
        </w:rPr>
      </w:pPr>
    </w:p>
    <w:p>
      <w:pPr>
        <w:ind w:right="12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means the occurrence after the date of this Agreement of (a) the adoption of or taking effect of any law, rule, regulation or treaty, (b) any change in any law, rule, regulation or treaty or in the administration, interpretation, implementation or application thereof by any Governmental Authority or (c) compliance by any Lender or Issuing Bank (or, for purposes of Section 2.15(b), by any lending office of such Lender or by such Lender’s or Issuing Bank’s holding company, if any) with any request, rule, guideline or directive (whether or not having the force of law) of any Governmental Authority</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69" w:name="page70"/>
    <w:bookmarkEnd w:id="69"/>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made or issued after the date of this Agreement; provided that, notwithstanding anything herein to the contrary, (x) the Dodd-Frank Wall Street Reform and Consumer Protection Act and all requests, rules, guidelines or directives thereunder or issued in connection therewith or in the implementation thereof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Charges</w:t>
      </w:r>
      <w:r>
        <w:rPr>
          <w:rFonts w:ascii="Times New Roman" w:cs="Times New Roman" w:eastAsia="Times New Roman" w:hAnsi="Times New Roman"/>
          <w:sz w:val="18"/>
          <w:szCs w:val="18"/>
          <w:color w:val="auto"/>
        </w:rPr>
        <w:t>” has the meaning assigned to such term in Section 9.14.</w:t>
      </w:r>
    </w:p>
    <w:p>
      <w:pPr>
        <w:spacing w:after="0" w:line="225" w:lineRule="exact"/>
        <w:rPr>
          <w:sz w:val="20"/>
          <w:szCs w:val="20"/>
          <w:color w:val="auto"/>
        </w:rPr>
      </w:pPr>
    </w:p>
    <w:p>
      <w:pPr>
        <w:ind w:right="3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w:t>
      </w:r>
      <w:r>
        <w:rPr>
          <w:rFonts w:ascii="Times New Roman" w:cs="Times New Roman" w:eastAsia="Times New Roman" w:hAnsi="Times New Roman"/>
          <w:sz w:val="18"/>
          <w:szCs w:val="18"/>
          <w:color w:val="auto"/>
        </w:rPr>
        <w:t>”, when used in reference to any Loan or Borrowing, refers to whether such Loan, or the Loans comprising such Borrowing, are Revolving Loans or Swingline Loans.</w:t>
      </w:r>
    </w:p>
    <w:p>
      <w:pPr>
        <w:spacing w:after="0" w:line="162"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CME Term SOFR Administrator</w:t>
      </w:r>
      <w:r>
        <w:rPr>
          <w:rFonts w:ascii="Times New Roman" w:cs="Times New Roman" w:eastAsia="Times New Roman" w:hAnsi="Times New Roman"/>
          <w:sz w:val="18"/>
          <w:szCs w:val="18"/>
          <w:color w:val="auto"/>
        </w:rPr>
        <w:t>” means CME Group Benchmark Administration Limited as administrator of the forward-looking term Secured Overnight Financing Rate (SOFR) (or a successor administrator).</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ind w:right="7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Co-Documentation Agent</w:t>
      </w:r>
      <w:r>
        <w:rPr>
          <w:rFonts w:ascii="Times New Roman" w:cs="Times New Roman" w:eastAsia="Times New Roman" w:hAnsi="Times New Roman"/>
          <w:sz w:val="18"/>
          <w:szCs w:val="18"/>
          <w:color w:val="auto"/>
        </w:rPr>
        <w:t>” means each of Société Générale, UniCredit Bank GmbH, New York Branch and U.S. Bank National Association in its capacity as co-documentation agent for the credit facility evidenced by this Agreement.</w:t>
      </w:r>
    </w:p>
    <w:p>
      <w:pPr>
        <w:spacing w:after="0" w:line="162"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xml:space="preserve">” means, with respect to each Lender, the amount set forth on </w:t>
      </w:r>
      <w:r>
        <w:rPr>
          <w:rFonts w:ascii="Times New Roman" w:cs="Times New Roman" w:eastAsia="Times New Roman" w:hAnsi="Times New Roman"/>
          <w:sz w:val="18"/>
          <w:szCs w:val="18"/>
          <w:u w:val="single" w:color="auto"/>
          <w:color w:val="auto"/>
        </w:rPr>
        <w:t>Schedule 2.01A</w:t>
      </w:r>
      <w:r>
        <w:rPr>
          <w:rFonts w:ascii="Times New Roman" w:cs="Times New Roman" w:eastAsia="Times New Roman" w:hAnsi="Times New Roman"/>
          <w:sz w:val="18"/>
          <w:szCs w:val="18"/>
          <w:color w:val="auto"/>
        </w:rPr>
        <w:t xml:space="preserve"> opposite such Lender’s name under the heading “Commitment”, or in the Assignment and Assumption or other documentation or record (as such term is defined in Section 9-102(a)(70) of the New York Uniform Commercial Code) contemplated hereby pursuant to which such Lender shall have assumed its Commitment, as applicable, and giving effect to (a) any reduction in such amount from time to time pursuant to Section 2.09, (b) any increase from time to time pursuant to Section 2.20 and (c) any reduction or increase in such amount from time to time pursuant to assignments by or to such Lender pursuant to Section 9.04;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no time shall the Revolving Credit Exposure of any Lender exceed its Commitment.</w:t>
      </w:r>
    </w:p>
    <w:p>
      <w:pPr>
        <w:spacing w:after="0" w:line="187" w:lineRule="exact"/>
        <w:rPr>
          <w:sz w:val="20"/>
          <w:szCs w:val="20"/>
          <w:color w:val="auto"/>
        </w:rPr>
      </w:pPr>
    </w:p>
    <w:p>
      <w:pPr>
        <w:jc w:val="both"/>
        <w:ind w:right="160" w:firstLine="991"/>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Communications</w:t>
      </w:r>
      <w:r>
        <w:rPr>
          <w:rFonts w:ascii="Times New Roman" w:cs="Times New Roman" w:eastAsia="Times New Roman" w:hAnsi="Times New Roman"/>
          <w:sz w:val="17"/>
          <w:szCs w:val="17"/>
          <w:color w:val="auto"/>
        </w:rPr>
        <w:t>” means, collectively, any notice, demand, communication, information, document or other material provided by or on behalf of the Borrower pursuant to any Loan Document or the transactions contemplated therein which is distributed by the Administrative Agent, any Lender or any Issuing Bank by means of electronic communications pursuant to Section 8.03, including through an Approved Electronic Platform.</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Computation Date</w:t>
      </w:r>
      <w:r>
        <w:rPr>
          <w:rFonts w:ascii="Times New Roman" w:cs="Times New Roman" w:eastAsia="Times New Roman" w:hAnsi="Times New Roman"/>
          <w:sz w:val="18"/>
          <w:szCs w:val="18"/>
          <w:color w:val="auto"/>
        </w:rPr>
        <w:t>” has the meaning assigned to such term in Section 2.04.</w:t>
      </w:r>
    </w:p>
    <w:p>
      <w:pPr>
        <w:spacing w:after="0" w:line="225" w:lineRule="exact"/>
        <w:rPr>
          <w:sz w:val="20"/>
          <w:szCs w:val="20"/>
          <w:color w:val="auto"/>
        </w:rPr>
      </w:pPr>
    </w:p>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Connection Income Taxes</w:t>
      </w:r>
      <w:r>
        <w:rPr>
          <w:rFonts w:ascii="Times New Roman" w:cs="Times New Roman" w:eastAsia="Times New Roman" w:hAnsi="Times New Roman"/>
          <w:sz w:val="18"/>
          <w:szCs w:val="18"/>
          <w:color w:val="auto"/>
        </w:rPr>
        <w:t>” means Other Connection Taxes that are imposed on or measured by net income (however denominated) or that are franchise Taxes or branch profits Taxes.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w:t>
      </w:r>
      <w:r>
        <w:rPr>
          <w:rFonts w:ascii="Times New Roman" w:cs="Times New Roman" w:eastAsia="Times New Roman" w:hAnsi="Times New Roman"/>
          <w:sz w:val="18"/>
          <w:szCs w:val="18"/>
          <w:color w:val="auto"/>
        </w:rPr>
        <w:t>” refers to the consolidation of accounts in accordance with GAAP.</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Adjusted Debt</w:t>
      </w:r>
      <w:r>
        <w:rPr>
          <w:rFonts w:ascii="Times New Roman" w:cs="Times New Roman" w:eastAsia="Times New Roman" w:hAnsi="Times New Roman"/>
          <w:sz w:val="18"/>
          <w:szCs w:val="18"/>
          <w:color w:val="auto"/>
        </w:rPr>
        <w:t xml:space="preserve">” means the computation of (a) all Debt of the Borrower and its Consolidated Subsidiaries that, in accordance with GAAP, would be classified as indebtedness on a Consolidated balance sheet of the Borrower,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without duplication, the aggregate outstanding investment or claims held at any time by purchasers, assignees or other transferees of (or of interests in) Receivables under Receivables Purchase Agreements (other than in respect of such transactions that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70" w:name="page71"/>
    <w:bookmarkEnd w:id="70"/>
    <w:p>
      <w:pPr>
        <w:ind w:left="4"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constitute a “true sale” in accordance with FASB ASC 860 under GAAP),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(c) cash and cash equivalents (as presented on the face of the Borrower’s quarterly and audited fiscal year balance sheets) in excess of (i) for the fiscal quarters of the Borrower ending June 30, 2025, September 30, 2025 and December 31, 2025, $200,000,000 and (ii) for the fiscal quarter of the Borrower ending March 31, 2026 and each fiscal quarter of the Borrower ending thereafter, $300,000,000.</w:t>
      </w:r>
    </w:p>
    <w:p>
      <w:pPr>
        <w:spacing w:after="0" w:line="180" w:lineRule="exact"/>
        <w:rPr>
          <w:sz w:val="20"/>
          <w:szCs w:val="20"/>
          <w:color w:val="auto"/>
        </w:rPr>
      </w:pPr>
    </w:p>
    <w:p>
      <w:pPr>
        <w:ind w:left="4" w:right="160" w:firstLine="991"/>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EBITDA</w:t>
      </w:r>
      <w:r>
        <w:rPr>
          <w:rFonts w:ascii="Times New Roman" w:cs="Times New Roman" w:eastAsia="Times New Roman" w:hAnsi="Times New Roman"/>
          <w:sz w:val="18"/>
          <w:szCs w:val="18"/>
          <w:color w:val="auto"/>
        </w:rPr>
        <w:t xml:space="preserve">” means, for any period, the sum of the amounts for such period of (i) Consolidated Operating Profit of the Borrower and its Consolidated Subsidiaries for such period, determined in accordance with GAAP,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the sum of the following amounts for such period, in each case to the extent the same shall have been deducted in the calculation of such Consolidated Operating Profit for such period:</w:t>
      </w:r>
    </w:p>
    <w:p>
      <w:pPr>
        <w:spacing w:after="0" w:line="1" w:lineRule="exact"/>
        <w:rPr>
          <w:sz w:val="20"/>
          <w:szCs w:val="20"/>
          <w:color w:val="auto"/>
        </w:rPr>
      </w:pPr>
    </w:p>
    <w:p>
      <w:pPr>
        <w:ind w:left="4" w:hanging="4"/>
        <w:spacing w:after="0" w:line="251" w:lineRule="auto"/>
        <w:tabs>
          <w:tab w:leader="none" w:pos="29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amortization, (B) depreciation, (C) non-cash restructuring or impairment charges reported by the Borrower in respect of, or otherwise allocated to, such period, (D) solely for the calculation of Consolidated EBITDA for the period of four consecutive fiscal quarters ending December 31, 2025, cash restructuring charges, (including, without limitation, severance costs and consulting fees) in an aggregate amount not to exceed $35,000,000, (E) solely for the calculation of Consolidated EBITDA for the periods of four consecutive fiscal quarters ending March 31, 2026, June 30, 2026, September 30, 2026 and December 31, 2026, cash restructuring charges in an aggregate amount not to exceed $75,000,000 for any such period, (F) solely for the calculation of Consolidated EBITDA for the periods of four consecutive fiscal quarters ending March 31, 2027, June 30, 2027, September 30, 2027 and December 31, 2027, cash restructuring charges in an aggregate amount not to exceed the sum of (x) $75,000,000 for any such period and (y) the Cash Restructuring Carry-Forward Amount (if any), and (G) solely for the calculation of Consolidated EBITDA for any of the period of four consecutive fiscal quarters ending March 31, 2028 and each period of four consecutive fiscal quarters ending with each fiscal quarter thereafter, cash restructuring charges in an aggregate amount not to exceed fifteen percent (15%) of Consolidated EBITDA for such period of four consecutive fiscal quarters prior to giving effect to this clause (G),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(iii) to the extent the same shall have been included in the calculation of Consolidated Operating Profit for such period, any extraordinary, or unusual and non-recurring gains (or plus any extraordinary, or unusual and non-recurring, losses) calculated pursuant to GAAP for such period. As used herein, “</w:t>
      </w:r>
      <w:r>
        <w:rPr>
          <w:rFonts w:ascii="Times New Roman" w:cs="Times New Roman" w:eastAsia="Times New Roman" w:hAnsi="Times New Roman"/>
          <w:sz w:val="18"/>
          <w:szCs w:val="18"/>
          <w:u w:val="single" w:color="auto"/>
          <w:color w:val="auto"/>
        </w:rPr>
        <w:t>Cash Restructuring Carry-Forward Amount</w:t>
      </w:r>
      <w:r>
        <w:rPr>
          <w:rFonts w:ascii="Times New Roman" w:cs="Times New Roman" w:eastAsia="Times New Roman" w:hAnsi="Times New Roman"/>
          <w:sz w:val="18"/>
          <w:szCs w:val="18"/>
          <w:color w:val="auto"/>
        </w:rPr>
        <w:t>” means the lesser of (i) $25,000,000 and (ii) the positive difference (if any) between (x) $75,000,000 and (y) the aggregate amount of cash restructuring charges added back to the calculation of Consolidated EBITDA pursuant to clause (E) for the periods of four consecutive fiscal quarters covered by such clause (E) (for the avoidance of doubt if such difference is $0 or a negative amount, the Cash Restructuring Carry-Forward Amount under this definition shall be $0).</w:t>
      </w:r>
    </w:p>
    <w:p>
      <w:pPr>
        <w:spacing w:after="0" w:line="190" w:lineRule="exact"/>
        <w:rPr>
          <w:sz w:val="20"/>
          <w:szCs w:val="20"/>
          <w:color w:val="auto"/>
        </w:rPr>
      </w:pPr>
    </w:p>
    <w:p>
      <w:pPr>
        <w:ind w:left="4"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Interest Expense</w:t>
      </w:r>
      <w:r>
        <w:rPr>
          <w:rFonts w:ascii="Times New Roman" w:cs="Times New Roman" w:eastAsia="Times New Roman" w:hAnsi="Times New Roman"/>
          <w:sz w:val="18"/>
          <w:szCs w:val="18"/>
          <w:color w:val="auto"/>
        </w:rPr>
        <w:t>” means, for any period, the excess of (a) total interest expense, whether paid or accrued (including without limitation interest expense under Capital Lease Obligations that is treated as interest in accordance with GAAP) of the Borrower and its Consolidated Subsidiaries on a Consolidated basis, including, without limitation, all commissions, discounts and other fees and charges owed with respect to letters of credit and net costs under any agreements providing interest rate protection, but excluding however, amortization of discount, the non-service cost component of net periodic pension and post-retirement benefit cost, interest paid in property other than cash or any other interest expense not payable in cash over (b) total interest income, in each case as determined in conformity with GAAP.</w:t>
      </w:r>
    </w:p>
    <w:p>
      <w:pPr>
        <w:spacing w:after="0" w:line="187" w:lineRule="exact"/>
        <w:rPr>
          <w:sz w:val="20"/>
          <w:szCs w:val="20"/>
          <w:color w:val="auto"/>
        </w:rPr>
      </w:pPr>
    </w:p>
    <w:p>
      <w:pPr>
        <w:ind w:left="4"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Earnings</w:t>
      </w:r>
      <w:r>
        <w:rPr>
          <w:rFonts w:ascii="Times New Roman" w:cs="Times New Roman" w:eastAsia="Times New Roman" w:hAnsi="Times New Roman"/>
          <w:sz w:val="18"/>
          <w:szCs w:val="18"/>
          <w:color w:val="auto"/>
        </w:rPr>
        <w:t>” means, for any period, all amounts which would be included under net earnings (or losses) on a consolidated income statement of the Borrower and its Consolidated Subsidiaries for such period, all as determined in accordance with GAAP.</w:t>
      </w:r>
    </w:p>
    <w:p>
      <w:pPr>
        <w:spacing w:after="0" w:line="162" w:lineRule="exact"/>
        <w:rPr>
          <w:sz w:val="20"/>
          <w:szCs w:val="20"/>
          <w:color w:val="auto"/>
        </w:rPr>
      </w:pPr>
    </w:p>
    <w:p>
      <w:pPr>
        <w:ind w:left="4" w:right="2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Operating Profit</w:t>
      </w:r>
      <w:r>
        <w:rPr>
          <w:rFonts w:ascii="Times New Roman" w:cs="Times New Roman" w:eastAsia="Times New Roman" w:hAnsi="Times New Roman"/>
          <w:sz w:val="18"/>
          <w:szCs w:val="18"/>
          <w:color w:val="auto"/>
        </w:rPr>
        <w:t>” means, for any period, revenue less the sum of (a) direct costs, and (b) selling and administrative expenses on a consolidated income statement of the Borrower and its Consolidated Subsidiaries for such period, all as determined in accordance with GAAP.</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4"/>
          </w:cols>
          <w:pgMar w:left="436" w:top="270" w:right="479" w:bottom="1440" w:gutter="0" w:footer="0" w:header="0"/>
        </w:sectPr>
      </w:pPr>
    </w:p>
    <w:bookmarkStart w:id="71" w:name="page72"/>
    <w:bookmarkEnd w:id="71"/>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Consolidated Rental Expense</w:t>
      </w:r>
      <w:r>
        <w:rPr>
          <w:rFonts w:ascii="Times New Roman" w:cs="Times New Roman" w:eastAsia="Times New Roman" w:hAnsi="Times New Roman"/>
          <w:sz w:val="18"/>
          <w:szCs w:val="18"/>
          <w:color w:val="auto"/>
        </w:rPr>
        <w:t>” means, for any period, total rental expense, whether paid or accrued, of the Borrower and its Consolidated Subsidiaries on a Consolidated basis, all as determined in conformity with GAAP.</w:t>
      </w:r>
    </w:p>
    <w:p>
      <w:pPr>
        <w:spacing w:after="0" w:line="162" w:lineRule="exact"/>
        <w:rPr>
          <w:sz w:val="20"/>
          <w:szCs w:val="20"/>
          <w:color w:val="auto"/>
        </w:rPr>
      </w:pPr>
    </w:p>
    <w:p>
      <w:pPr>
        <w:ind w:right="6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Subsidiary</w:t>
      </w:r>
      <w:r>
        <w:rPr>
          <w:rFonts w:ascii="Times New Roman" w:cs="Times New Roman" w:eastAsia="Times New Roman" w:hAnsi="Times New Roman"/>
          <w:sz w:val="18"/>
          <w:szCs w:val="18"/>
          <w:color w:val="auto"/>
        </w:rPr>
        <w:t>” means, at any date with respect to any Person, any Subsidiary thereof the accounts of which would be consolidated with those of such Person in its consolidated financial statements at such date in accordance with GAAP.</w:t>
      </w:r>
    </w:p>
    <w:p>
      <w:pPr>
        <w:spacing w:after="0" w:line="162" w:lineRule="exact"/>
        <w:rPr>
          <w:sz w:val="20"/>
          <w:szCs w:val="20"/>
          <w:color w:val="auto"/>
        </w:rPr>
      </w:pPr>
    </w:p>
    <w:p>
      <w:pPr>
        <w:ind w:right="2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Tangible Assets</w:t>
      </w:r>
      <w:r>
        <w:rPr>
          <w:rFonts w:ascii="Times New Roman" w:cs="Times New Roman" w:eastAsia="Times New Roman" w:hAnsi="Times New Roman"/>
          <w:sz w:val="18"/>
          <w:szCs w:val="18"/>
          <w:color w:val="auto"/>
        </w:rPr>
        <w:t>” means, with respect to any Person at any time of determination, total assets of such Person and its Consolidated Subsidiaries as set forth on the balance sheets most recently delivered to the Lenders pursuant to Section 5.09, excluding all Intangible Assets of such Person and its Consolidated Subsidiaries.</w:t>
      </w:r>
    </w:p>
    <w:p>
      <w:pPr>
        <w:spacing w:after="0" w:line="176" w:lineRule="exact"/>
        <w:rPr>
          <w:sz w:val="20"/>
          <w:szCs w:val="20"/>
          <w:color w:val="auto"/>
        </w:rPr>
      </w:pPr>
    </w:p>
    <w:p>
      <w:pPr>
        <w:ind w:right="4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CORRA</w:t>
      </w:r>
      <w:r>
        <w:rPr>
          <w:rFonts w:ascii="Times New Roman" w:cs="Times New Roman" w:eastAsia="Times New Roman" w:hAnsi="Times New Roman"/>
          <w:sz w:val="18"/>
          <w:szCs w:val="18"/>
          <w:color w:val="auto"/>
        </w:rPr>
        <w:t>” means the Canadian Overnight Repo Rate Average administered and published by the Bank of Canada (or any successor administrator).</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CORRA Administrator</w:t>
      </w:r>
      <w:r>
        <w:rPr>
          <w:rFonts w:ascii="Times New Roman" w:cs="Times New Roman" w:eastAsia="Times New Roman" w:hAnsi="Times New Roman"/>
          <w:sz w:val="18"/>
          <w:szCs w:val="18"/>
          <w:color w:val="auto"/>
        </w:rPr>
        <w:t>” means the Bank of Canada (or any successor administrator).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CORRA Determination Date</w:t>
      </w:r>
      <w:r>
        <w:rPr>
          <w:rFonts w:ascii="Times New Roman" w:cs="Times New Roman" w:eastAsia="Times New Roman" w:hAnsi="Times New Roman"/>
          <w:sz w:val="18"/>
          <w:szCs w:val="18"/>
          <w:color w:val="auto"/>
        </w:rPr>
        <w:t>” has the meaning specified in the definition of “Daily Simple CORRA”.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CORRA Rate Day</w:t>
      </w:r>
      <w:r>
        <w:rPr>
          <w:rFonts w:ascii="Times New Roman" w:cs="Times New Roman" w:eastAsia="Times New Roman" w:hAnsi="Times New Roman"/>
          <w:sz w:val="18"/>
          <w:szCs w:val="18"/>
          <w:color w:val="auto"/>
        </w:rPr>
        <w:t>” has the meaning specified in the definition of “Daily Simple CORRA”.</w:t>
      </w:r>
    </w:p>
    <w:p>
      <w:pPr>
        <w:spacing w:after="0" w:line="225" w:lineRule="exact"/>
        <w:rPr>
          <w:sz w:val="20"/>
          <w:szCs w:val="20"/>
          <w:color w:val="auto"/>
        </w:rPr>
      </w:pPr>
    </w:p>
    <w:p>
      <w:pPr>
        <w:ind w:right="5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Corresponding Tenor</w:t>
      </w:r>
      <w:r>
        <w:rPr>
          <w:rFonts w:ascii="Times New Roman" w:cs="Times New Roman" w:eastAsia="Times New Roman" w:hAnsi="Times New Roman"/>
          <w:sz w:val="18"/>
          <w:szCs w:val="18"/>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62" w:lineRule="exact"/>
        <w:rPr>
          <w:sz w:val="20"/>
          <w:szCs w:val="20"/>
          <w:color w:val="auto"/>
        </w:rPr>
      </w:pPr>
    </w:p>
    <w:p>
      <w:pPr>
        <w:ind w:right="6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Co-Syndication Agent</w:t>
      </w:r>
      <w:r>
        <w:rPr>
          <w:rFonts w:ascii="Times New Roman" w:cs="Times New Roman" w:eastAsia="Times New Roman" w:hAnsi="Times New Roman"/>
          <w:sz w:val="18"/>
          <w:szCs w:val="18"/>
          <w:color w:val="auto"/>
        </w:rPr>
        <w:t>” means each of BNP Pairbas and Citibank, N.A. in its capacity as syndication agent for the credit facility evidenced by this Agreement.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means any of the following:</w:t>
      </w:r>
    </w:p>
    <w:p>
      <w:pPr>
        <w:spacing w:after="0" w:line="117" w:lineRule="exact"/>
        <w:rPr>
          <w:sz w:val="20"/>
          <w:szCs w:val="20"/>
          <w:color w:val="auto"/>
        </w:rPr>
      </w:pPr>
    </w:p>
    <w:p>
      <w:pPr>
        <w:ind w:left="1080" w:hanging="221"/>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entity” as that term is defined in, and interpreted in accordance with, 12 C.F.R. § 252.82(b);</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bank” as that term is defined in, and interpreted in accordance with, 12 C.F.R. § 47.3(b); or</w:t>
      </w:r>
    </w:p>
    <w:p>
      <w:pPr>
        <w:spacing w:after="0" w:line="117"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has the meaning assigned to it in Section 9.17.</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Event</w:t>
      </w:r>
      <w:r>
        <w:rPr>
          <w:rFonts w:ascii="Times New Roman" w:cs="Times New Roman" w:eastAsia="Times New Roman" w:hAnsi="Times New Roman"/>
          <w:sz w:val="18"/>
          <w:szCs w:val="18"/>
          <w:color w:val="auto"/>
        </w:rPr>
        <w:t>” means a Borrowing, the issuance, amendment or extension of a Letter of Credit, an LC Disbursement or any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foregoing.</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Party</w:t>
      </w:r>
      <w:r>
        <w:rPr>
          <w:rFonts w:ascii="Times New Roman" w:cs="Times New Roman" w:eastAsia="Times New Roman" w:hAnsi="Times New Roman"/>
          <w:sz w:val="18"/>
          <w:szCs w:val="18"/>
          <w:color w:val="auto"/>
        </w:rPr>
        <w:t>” means the Administrative Agent, each Issuing Bank, the Swingline Lender or any other Lender.</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40"/>
          </w:cols>
          <w:pgMar w:left="440" w:top="270" w:right="519" w:bottom="1440" w:gutter="0" w:footer="0" w:header="0"/>
        </w:sectPr>
      </w:pPr>
    </w:p>
    <w:bookmarkStart w:id="72" w:name="page73"/>
    <w:bookmarkEnd w:id="72"/>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Daily Simple CORRA</w:t>
      </w:r>
      <w:r>
        <w:rPr>
          <w:rFonts w:ascii="Times New Roman" w:cs="Times New Roman" w:eastAsia="Times New Roman" w:hAnsi="Times New Roman"/>
          <w:sz w:val="18"/>
          <w:szCs w:val="18"/>
          <w:color w:val="auto"/>
        </w:rPr>
        <w:t>” means, for any day (a “</w:t>
      </w:r>
      <w:r>
        <w:rPr>
          <w:rFonts w:ascii="Times New Roman" w:cs="Times New Roman" w:eastAsia="Times New Roman" w:hAnsi="Times New Roman"/>
          <w:sz w:val="18"/>
          <w:szCs w:val="18"/>
          <w:u w:val="single" w:color="auto"/>
          <w:color w:val="auto"/>
        </w:rPr>
        <w:t>CORRA Rate Day</w:t>
      </w:r>
      <w:r>
        <w:rPr>
          <w:rFonts w:ascii="Times New Roman" w:cs="Times New Roman" w:eastAsia="Times New Roman" w:hAnsi="Times New Roman"/>
          <w:sz w:val="18"/>
          <w:szCs w:val="18"/>
          <w:color w:val="auto"/>
        </w:rPr>
        <w:t>”), a rate per annum equal to CORRA for the day (such day, the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CORRA Determination Date</w:t>
      </w:r>
      <w:r>
        <w:rPr>
          <w:rFonts w:ascii="Times New Roman" w:cs="Times New Roman" w:eastAsia="Times New Roman" w:hAnsi="Times New Roman"/>
          <w:sz w:val="18"/>
          <w:szCs w:val="18"/>
          <w:color w:val="auto"/>
        </w:rPr>
        <w:t>”) that is five (5) RFR Business Days prior to (i) if such CORRA Rate Day is an RFR Business Day, such CORRA Rate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Day or (ii) if such CORRA Rate Day is not an RFR Business Day, the RFR Business Day immediately preceding such CORRA Rate Day, in each case,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 such CORRA is published by the CORRA Administrator on the CORRA Administrator’s website. Any change in Daily Simple CORRA due to a</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change in CORRA shall be effective from and including the effective date of such change in CORRA without notice to the Borrower. If by 5:00 p.m.</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(Toronto time) on any given CORRA Determination Date, CORRA in respect of such CORRA Determination Date has not been published on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CORRA Administrator’s website and a Benchmark Replacement Date with respect to the Daily Simple CORRA has not occurred, then CORRA for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such CORRA Determination Date will be CORRA as published in respect of the first preceding RFR Business Day for which such CORRA was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published on the CORRA Administrator’s website, so long as such first preceding RFR Business Day is not more than five (5) RFR Business Days prior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to such CORRA Determination Date.</w:t>
      </w:r>
    </w:p>
    <w:p>
      <w:pPr>
        <w:spacing w:after="0" w:line="20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RFR</w:t>
      </w:r>
      <w:r>
        <w:rPr>
          <w:rFonts w:ascii="Times New Roman" w:cs="Times New Roman" w:eastAsia="Times New Roman" w:hAnsi="Times New Roman"/>
          <w:sz w:val="18"/>
          <w:szCs w:val="18"/>
          <w:color w:val="auto"/>
        </w:rPr>
        <w:t>” means, for any day (an “</w:t>
      </w:r>
      <w:r>
        <w:rPr>
          <w:rFonts w:ascii="Times New Roman" w:cs="Times New Roman" w:eastAsia="Times New Roman" w:hAnsi="Times New Roman"/>
          <w:sz w:val="18"/>
          <w:szCs w:val="18"/>
          <w:u w:val="single" w:color="auto"/>
          <w:color w:val="auto"/>
        </w:rPr>
        <w:t>RFR Interest Day</w:t>
      </w:r>
      <w:r>
        <w:rPr>
          <w:rFonts w:ascii="Times New Roman" w:cs="Times New Roman" w:eastAsia="Times New Roman" w:hAnsi="Times New Roman"/>
          <w:sz w:val="18"/>
          <w:szCs w:val="18"/>
          <w:color w:val="auto"/>
        </w:rPr>
        <w:t>”), an interest rate per annum equal to, for any RFR Loan denominated in</w:t>
      </w:r>
    </w:p>
    <w:p>
      <w:pPr>
        <w:spacing w:after="0" w:line="27" w:lineRule="exact"/>
        <w:rPr>
          <w:sz w:val="20"/>
          <w:szCs w:val="20"/>
          <w:color w:val="auto"/>
        </w:rPr>
      </w:pPr>
    </w:p>
    <w:p>
      <w:pPr>
        <w:ind w:left="4" w:right="340" w:hanging="4"/>
        <w:spacing w:after="0" w:line="265" w:lineRule="auto"/>
        <w:tabs>
          <w:tab w:leader="none" w:pos="219"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Pounds Sterling, SONIA for the day that is five (5) RFR Business Days prior to (A) if such RFR Interest Day is an RFR Business Day, such RFR Interest Day or (B) if such RFR Interest Day is not an RFR Business Day, the RFR Business Day immediately preceding such RFR Interest Day,</w:t>
      </w:r>
    </w:p>
    <w:p>
      <w:pPr>
        <w:ind w:left="4" w:right="420" w:hanging="4"/>
        <w:spacing w:after="0" w:line="265" w:lineRule="auto"/>
        <w:tabs>
          <w:tab w:leader="none" w:pos="269"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Swiss Francs, SARON for the day that is five (5) RFR Business Days prior to (A) if such RFR Interest Day is an RFR Business Day, such RFR Interest Day or (B) if such RFR Interest Day is not an RFR Business Day, the RFR Business Day immediately preceding such RFR Interest Day,</w:t>
      </w:r>
    </w:p>
    <w:p>
      <w:pPr>
        <w:jc w:val="both"/>
        <w:ind w:left="4" w:right="180" w:hanging="4"/>
        <w:spacing w:after="0" w:line="255" w:lineRule="auto"/>
        <w:tabs>
          <w:tab w:leader="none" w:pos="31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Dollars, Daily Simple SOFR (following a Benchmark Transition Event and a Benchmark Replacement Date with respect to the Term SOFR Rate) and (iv) Canadian Dollars, Daily Simple CORRA (following a Benchmark Transition Event and a Benchmark Replacement Date with respect to Term CORRA).</w:t>
      </w:r>
    </w:p>
    <w:p>
      <w:pPr>
        <w:spacing w:after="0" w:line="186" w:lineRule="exact"/>
        <w:rPr>
          <w:sz w:val="20"/>
          <w:szCs w:val="20"/>
          <w:color w:val="auto"/>
        </w:rPr>
      </w:pPr>
    </w:p>
    <w:p>
      <w:pPr>
        <w:ind w:left="4" w:firstLine="991"/>
        <w:spacing w:after="0" w:line="24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SOFR</w:t>
      </w:r>
      <w:r>
        <w:rPr>
          <w:rFonts w:ascii="Times New Roman" w:cs="Times New Roman" w:eastAsia="Times New Roman" w:hAnsi="Times New Roman"/>
          <w:sz w:val="18"/>
          <w:szCs w:val="18"/>
          <w:color w:val="auto"/>
        </w:rPr>
        <w:t>” means, for any day (a “</w:t>
      </w:r>
      <w:r>
        <w:rPr>
          <w:rFonts w:ascii="Times New Roman" w:cs="Times New Roman" w:eastAsia="Times New Roman" w:hAnsi="Times New Roman"/>
          <w:sz w:val="18"/>
          <w:szCs w:val="18"/>
          <w:u w:val="single" w:color="auto"/>
          <w:color w:val="auto"/>
        </w:rPr>
        <w:t>SOFR Rate Day</w:t>
      </w:r>
      <w:r>
        <w:rPr>
          <w:rFonts w:ascii="Times New Roman" w:cs="Times New Roman" w:eastAsia="Times New Roman" w:hAnsi="Times New Roman"/>
          <w:sz w:val="18"/>
          <w:szCs w:val="18"/>
          <w:color w:val="auto"/>
        </w:rPr>
        <w:t>”), a rate per annum equal to SOFR for the day (such day a “</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Determination Date</w:t>
      </w:r>
      <w:r>
        <w:rPr>
          <w:rFonts w:ascii="Times New Roman" w:cs="Times New Roman" w:eastAsia="Times New Roman" w:hAnsi="Times New Roman"/>
          <w:sz w:val="18"/>
          <w:szCs w:val="18"/>
          <w:color w:val="auto"/>
        </w:rPr>
        <w:t>”) that is five (5) RFR Business Days prior to (i) if such SOFR Rate Day is an RFR Business Day, such SOFR Rate Day or (ii) if such SOFR Rate Day is not an RFR Business Day, the RFR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Borrower. If by 5:00 p.m., New York City time, on the second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RFR Business Day immediately following any SOFR Determination Date, SOFR in respect of such SOFR Determination Date has not been published on the SOFR Administrator’s Website and a Benchmark Replacement Date with respect to the Daily Simple SOFR has not occurred, then SOFR for such SOFR Determination Date will be SOFR as published in respect of the first preceding RFR Business Day for which such SOFR was published on the SOFR Administrator’s Website.</w:t>
      </w:r>
    </w:p>
    <w:p>
      <w:pPr>
        <w:spacing w:after="0" w:line="197" w:lineRule="exact"/>
        <w:rPr>
          <w:sz w:val="20"/>
          <w:szCs w:val="20"/>
          <w:color w:val="auto"/>
        </w:rPr>
      </w:pPr>
    </w:p>
    <w:p>
      <w:pPr>
        <w:ind w:left="4" w:firstLine="991"/>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w:t>
      </w:r>
      <w:r>
        <w:rPr>
          <w:rFonts w:ascii="Times New Roman" w:cs="Times New Roman" w:eastAsia="Times New Roman" w:hAnsi="Times New Roman"/>
          <w:sz w:val="18"/>
          <w:szCs w:val="18"/>
          <w:color w:val="auto"/>
        </w:rPr>
        <w:t>” of any Person means, without duplication, (a) all indebtedness of such Person for borrowed money, (b) all obligations of such Person for the deferred purchase price of property or services (other than trade payables incurred in the ordinary course of such Person’s business), (c) all obligations of such Person evidenced by notes, bonds, debentures or other similar instruments, (d) all obligations of such Person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obligations of such Person as lessee under leases that have been or should be, in accordance with GAAP, recorded as capital leases, (f) all obligations, contingent or otherwise, of such Person in respect of acceptances, letters of credit (except for the purposes of Section 7.01(e), other than trade letters of credit, performance bonds (including, without limitation, bonds posted pursuant to governmental rules and regulations) or similar obligations of such parties) or similar extensions of credit, (g) all obligations of such Person in respect of Hedge Agreements, (h) all Debt of others referred to in clauses (a) through (g) above or clause</w:t>
      </w:r>
    </w:p>
    <w:p>
      <w:pPr>
        <w:spacing w:after="0" w:line="6" w:lineRule="exact"/>
        <w:rPr>
          <w:sz w:val="20"/>
          <w:szCs w:val="20"/>
          <w:color w:val="auto"/>
        </w:rPr>
      </w:pPr>
    </w:p>
    <w:p>
      <w:pPr>
        <w:ind w:left="5424" w:right="2680" w:hanging="5424"/>
        <w:spacing w:after="0" w:line="433" w:lineRule="auto"/>
        <w:tabs>
          <w:tab w:leader="none" w:pos="221"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 and other payment obligations guaranteed directly or indirectly in any manner by such Person, or in effect 14</w:t>
      </w:r>
    </w:p>
    <w:p>
      <w:pPr>
        <w:sectPr>
          <w:pgSz w:w="11900" w:h="16838" w:orient="portrait"/>
          <w:cols w:equalWidth="0" w:num="1">
            <w:col w:w="11004"/>
          </w:cols>
          <w:pgMar w:left="436" w:top="270" w:right="459" w:bottom="1440" w:gutter="0" w:footer="0" w:header="0"/>
        </w:sectPr>
      </w:pPr>
    </w:p>
    <w:bookmarkStart w:id="73" w:name="page74"/>
    <w:bookmarkEnd w:id="73"/>
    <w:p>
      <w:pPr>
        <w:ind w:left="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guaranteed directly or indirectly by such Person through an agreement (1) to pay or purchase such Debt or to advance or supply funds for the payment or purchase of such Debt, (2) to purchase, sell or lease (as lessee or lessor) property, or to purchase or sell services, primarily for the purpose of enabling the debtor to make payment of such Debt or to assure the holder of such Debt against loss, (3) to supply funds to or in any other manner invest in the debtor (including any agreement to pay for property or services irrespective of whether such property is received or such services are rendered) or</w:t>
      </w:r>
    </w:p>
    <w:p>
      <w:pPr>
        <w:spacing w:after="0" w:line="3" w:lineRule="exact"/>
        <w:rPr>
          <w:sz w:val="20"/>
          <w:szCs w:val="20"/>
          <w:color w:val="auto"/>
        </w:rPr>
      </w:pPr>
    </w:p>
    <w:p>
      <w:pPr>
        <w:ind w:left="4" w:right="160" w:hanging="4"/>
        <w:spacing w:after="0" w:line="255" w:lineRule="auto"/>
        <w:tabs>
          <w:tab w:leader="none" w:pos="25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to assure a creditor against loss, and (i) all Debt referred to in clauses (a) through (h) above secured by (or for which the holder of such Debt has an existing right, contingent or otherwise, to be secured by) any Lien on property (including, without limitation, accounts and contract rights) owned by such Person, even though such Person has not assumed or become liable for the payment of such Debt.</w:t>
      </w:r>
    </w:p>
    <w:p>
      <w:pPr>
        <w:spacing w:after="0" w:line="186" w:lineRule="exact"/>
        <w:rPr>
          <w:sz w:val="20"/>
          <w:szCs w:val="20"/>
          <w:color w:val="auto"/>
        </w:rPr>
      </w:pPr>
    </w:p>
    <w:p>
      <w:pPr>
        <w:ind w:left="4" w:right="2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event or condition which constitutes an Event of Default or which upon notice, lapse of time or both would, unless cured or waived, become an Event of Default.</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 applicable.</w:t>
      </w:r>
    </w:p>
    <w:p>
      <w:pPr>
        <w:spacing w:after="0" w:line="20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means any Lender that (a) has failed, within two (2) Business Days of the date required to be funded or paid, to</w:t>
      </w:r>
    </w:p>
    <w:p>
      <w:pPr>
        <w:spacing w:after="0" w:line="27" w:lineRule="exact"/>
        <w:rPr>
          <w:sz w:val="20"/>
          <w:szCs w:val="20"/>
          <w:color w:val="auto"/>
        </w:rPr>
      </w:pPr>
    </w:p>
    <w:p>
      <w:pPr>
        <w:ind w:left="4" w:hanging="4"/>
        <w:spacing w:after="0" w:line="265" w:lineRule="auto"/>
        <w:tabs>
          <w:tab w:leader="none" w:pos="219"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fund any portion of its Loans, (ii) fund any portion of its participations in Letters of Credit or Swingline Loans or (iii) pay over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the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w:t>
      </w:r>
    </w:p>
    <w:p>
      <w:pPr>
        <w:spacing w:after="0" w:line="1" w:lineRule="exact"/>
        <w:rPr>
          <w:rFonts w:ascii="Times New Roman" w:cs="Times New Roman" w:eastAsia="Times New Roman" w:hAnsi="Times New Roman"/>
          <w:sz w:val="17"/>
          <w:szCs w:val="17"/>
          <w:color w:val="auto"/>
        </w:rPr>
      </w:pPr>
    </w:p>
    <w:p>
      <w:pPr>
        <w:ind w:left="4" w:right="40" w:hanging="4"/>
        <w:spacing w:after="0" w:line="253" w:lineRule="auto"/>
        <w:tabs>
          <w:tab w:leader="none" w:pos="249"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failed, within three (3) Business Days after request by a Credit Party, acting in good faith, to provide a certification in writing from an authorized officer of such Lender that it will comply with its obligations (and is financially able to meet such obligations as of the date of certification) to fund prospective Loans and participations in then outstanding Letters of Credit and Swingline Loans under this Agreement, provided that such Lender shall cease to be a Defaulting Lender pursuant to this clause (c) upon such Credit Party’s receipt of such certification in form and substance satisfactory to it and the Administrative Agent, or (d) has become the subject of (i) a Bankruptcy Event or (ii) a Bail-In Action.</w:t>
      </w:r>
    </w:p>
    <w:p>
      <w:pPr>
        <w:spacing w:after="0" w:line="187" w:lineRule="exact"/>
        <w:rPr>
          <w:sz w:val="20"/>
          <w:szCs w:val="20"/>
          <w:color w:val="auto"/>
        </w:rPr>
      </w:pPr>
    </w:p>
    <w:p>
      <w:pPr>
        <w:ind w:left="4" w:right="4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 Amount</w:t>
      </w:r>
      <w:r>
        <w:rPr>
          <w:rFonts w:ascii="Times New Roman" w:cs="Times New Roman" w:eastAsia="Times New Roman" w:hAnsi="Times New Roman"/>
          <w:sz w:val="18"/>
          <w:szCs w:val="18"/>
          <w:color w:val="auto"/>
        </w:rPr>
        <w:t>” of any amount of any currency means, at the time of determination thereof, (a) if such amount is expressed in Dollars, such amount, (b) if such amount is expressed in a Foreign Currency, the equivalent of such amount in Dollars determined by using the rate of exchange for the purchase of Dollars with such Foreign Currency last provided (either by publication or otherwise provided to the Administrative Agent) by the applicable Reuters source on the Business Day (New York City time) immediately preceding the date of determination or if such service ceases to be available or ceases to provide a rate of exchange for the purchase of Dollars with such Foreign Currency, as provided by such other publicly available information service which provides that rate of exchange at such time in place of Reuters chosen by the Administrative Agent in its sole discretion (or if such service ceases to be available or ceases to provide such rate of exchange, the equivalent of such amount in Dollars as determined by the Administrative Agent using any method of determination it deems appropriate in its sole discretion) and (c) if such amount is denominated in any other currency, the equivalent of such amount in Dollars as determined by the Administrative Agent using any method of determination it deems appropriate in its sole discretion.</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4"/>
          </w:cols>
          <w:pgMar w:left="436" w:top="270" w:right="459" w:bottom="1440" w:gutter="0" w:footer="0" w:header="0"/>
        </w:sectPr>
      </w:pPr>
    </w:p>
    <w:bookmarkStart w:id="74" w:name="page75"/>
    <w:bookmarkEnd w:id="74"/>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refers to lawful money of the United States of America.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Subsidiary</w:t>
      </w:r>
      <w:r>
        <w:rPr>
          <w:rFonts w:ascii="Times New Roman" w:cs="Times New Roman" w:eastAsia="Times New Roman" w:hAnsi="Times New Roman"/>
          <w:sz w:val="18"/>
          <w:szCs w:val="18"/>
          <w:color w:val="auto"/>
        </w:rPr>
        <w:t>” has the meaning assigned to such term in Section 3.10.</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25"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ind w:right="9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means the date on which the conditions specified in Section 4.01 are satisfied (or waived in accordance with Section 9.02).</w:t>
      </w:r>
    </w:p>
    <w:p>
      <w:pPr>
        <w:spacing w:after="0" w:line="162" w:lineRule="exact"/>
        <w:rPr>
          <w:sz w:val="20"/>
          <w:szCs w:val="20"/>
          <w:color w:val="auto"/>
        </w:rPr>
      </w:pPr>
    </w:p>
    <w:p>
      <w:pPr>
        <w:ind w:right="5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Signature</w:t>
      </w:r>
      <w:r>
        <w:rPr>
          <w:rFonts w:ascii="Times New Roman" w:cs="Times New Roman" w:eastAsia="Times New Roman" w:hAnsi="Times New Roman"/>
          <w:sz w:val="18"/>
          <w:szCs w:val="18"/>
          <w:color w:val="auto"/>
        </w:rPr>
        <w:t>” means an electronic sound, symbol, or process attached to, or associated with, a contract or other record and adopted by a Person with the intent to sign, authenticate or accept such contract or record.</w:t>
      </w:r>
    </w:p>
    <w:p>
      <w:pPr>
        <w:spacing w:after="0" w:line="162"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Action</w:t>
      </w:r>
      <w:r>
        <w:rPr>
          <w:rFonts w:ascii="Times New Roman" w:cs="Times New Roman" w:eastAsia="Times New Roman" w:hAnsi="Times New Roman"/>
          <w:sz w:val="18"/>
          <w:szCs w:val="18"/>
          <w:color w:val="auto"/>
        </w:rPr>
        <w:t>” means any action, suit, demand, demand letter, claim, notice of non-compliance or violation, notice of liability or potential liability, investigation, proceeding, consent order or consent agreement relating in any way to any Environmental Law, Environmental Permit or Hazardous Materials or arising from alleged injury or threat of injury to health, safety or the environment, including, without limitation, (a) by any governmental or regulatory authority for enforcement, cleanup, removal, response, remedial or other actions or damages and (b) by any governmental or regulatory authority or any third party for damages, contribution, indemnification, cost recovery, compensation or injunctive relief.</w:t>
      </w:r>
    </w:p>
    <w:p>
      <w:pPr>
        <w:spacing w:after="0" w:line="183" w:lineRule="exact"/>
        <w:rPr>
          <w:sz w:val="20"/>
          <w:szCs w:val="20"/>
          <w:color w:val="auto"/>
        </w:rPr>
      </w:pPr>
    </w:p>
    <w:p>
      <w:pPr>
        <w:ind w:right="80" w:firstLine="991"/>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Environmental Law</w:t>
      </w:r>
      <w:r>
        <w:rPr>
          <w:rFonts w:ascii="Times New Roman" w:cs="Times New Roman" w:eastAsia="Times New Roman" w:hAnsi="Times New Roman"/>
          <w:sz w:val="17"/>
          <w:szCs w:val="17"/>
          <w:color w:val="auto"/>
        </w:rPr>
        <w:t>” means any federal, state, local or foreign statute, law, ordinance, rule, regulation, code, order, judgment, decree or judicial or agency interpretation, policy or guidance relating to pollution or protection of the environment, health, safety or natural resources, including, without limitation, those relating to the use, handling, transportation, treatment, storage, disposal, release or discharge of Hazardous Materials.</w:t>
      </w:r>
    </w:p>
    <w:p>
      <w:pPr>
        <w:spacing w:after="0" w:line="158" w:lineRule="exact"/>
        <w:rPr>
          <w:sz w:val="20"/>
          <w:szCs w:val="20"/>
          <w:color w:val="auto"/>
        </w:rPr>
      </w:pPr>
    </w:p>
    <w:p>
      <w:pPr>
        <w:ind w:right="9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Permit</w:t>
      </w:r>
      <w:r>
        <w:rPr>
          <w:rFonts w:ascii="Times New Roman" w:cs="Times New Roman" w:eastAsia="Times New Roman" w:hAnsi="Times New Roman"/>
          <w:sz w:val="18"/>
          <w:szCs w:val="18"/>
          <w:color w:val="auto"/>
        </w:rPr>
        <w:t>” means any permit, approval, identification number, license or other authorization required under any Environmental Law.</w:t>
      </w:r>
    </w:p>
    <w:p>
      <w:pPr>
        <w:spacing w:after="0" w:line="162" w:lineRule="exact"/>
        <w:rPr>
          <w:sz w:val="20"/>
          <w:szCs w:val="20"/>
          <w:color w:val="auto"/>
        </w:rPr>
      </w:pPr>
    </w:p>
    <w:p>
      <w:pPr>
        <w:ind w:right="20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Liability</w:t>
      </w:r>
      <w:r>
        <w:rPr>
          <w:rFonts w:ascii="Times New Roman" w:cs="Times New Roman" w:eastAsia="Times New Roman" w:hAnsi="Times New Roman"/>
          <w:sz w:val="18"/>
          <w:szCs w:val="18"/>
          <w:color w:val="auto"/>
        </w:rPr>
        <w:t>” means any liability, contingent or otherwise (including any liability for damages, costs of environmental remediation, fines, penalties or indemnities), of the Borrower or any Subsidiary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75" w:name="page76"/>
    <w:bookmarkEnd w:id="75"/>
    <w:p>
      <w:pPr>
        <w:ind w:left="4" w:right="28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 but excluding any debt securities convertible into any of the foregoing.</w:t>
      </w:r>
    </w:p>
    <w:p>
      <w:pPr>
        <w:spacing w:after="0" w:line="176" w:lineRule="exact"/>
        <w:rPr>
          <w:sz w:val="20"/>
          <w:szCs w:val="20"/>
          <w:color w:val="auto"/>
        </w:rPr>
      </w:pPr>
    </w:p>
    <w:p>
      <w:pPr>
        <w:ind w:left="4" w:right="1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 from time to time, and the regulations promulgated and rulings issued thereunder.</w:t>
      </w:r>
    </w:p>
    <w:p>
      <w:pPr>
        <w:spacing w:after="0" w:line="162" w:lineRule="exact"/>
        <w:rPr>
          <w:sz w:val="20"/>
          <w:szCs w:val="20"/>
          <w:color w:val="auto"/>
        </w:rPr>
      </w:pPr>
    </w:p>
    <w:p>
      <w:pPr>
        <w:ind w:left="4" w:right="3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Person that for purposes of Title IV of ERISA is a member of the Borrower’s controlled group, or under common control with the Borrower, within the meaning of Section 414 of the Internal Revenue Code.</w:t>
      </w:r>
    </w:p>
    <w:p>
      <w:pPr>
        <w:spacing w:after="0" w:line="162" w:lineRule="exact"/>
        <w:rPr>
          <w:sz w:val="20"/>
          <w:szCs w:val="20"/>
          <w:color w:val="auto"/>
        </w:rPr>
      </w:pPr>
    </w:p>
    <w:p>
      <w:pPr>
        <w:ind w:left="4" w:right="20" w:firstLine="991"/>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Event</w:t>
      </w:r>
      <w:r>
        <w:rPr>
          <w:rFonts w:ascii="Times New Roman" w:cs="Times New Roman" w:eastAsia="Times New Roman" w:hAnsi="Times New Roman"/>
          <w:sz w:val="18"/>
          <w:szCs w:val="18"/>
          <w:color w:val="auto"/>
        </w:rPr>
        <w:t>” means (a) (i) the occurrence of a reportable event, within the meaning of Section 4043 of ERISA, with respect to any Plan unless the 30-day notice requirement with respect to such event has been waived by the PBGC, or (ii) the requirements of subsection (1) of Section 4043(b) of ERISA (without regard to subsection (2) of such Section) are met with respect to a contributing sponsor, as defined in</w:t>
      </w:r>
    </w:p>
    <w:p>
      <w:pPr>
        <w:spacing w:after="0" w:line="1" w:lineRule="exact"/>
        <w:rPr>
          <w:sz w:val="20"/>
          <w:szCs w:val="20"/>
          <w:color w:val="auto"/>
        </w:rPr>
      </w:pPr>
    </w:p>
    <w:p>
      <w:pPr>
        <w:ind w:left="4" w:right="280"/>
        <w:spacing w:after="0" w:line="265" w:lineRule="auto"/>
        <w:rPr>
          <w:sz w:val="20"/>
          <w:szCs w:val="20"/>
          <w:color w:val="auto"/>
        </w:rPr>
      </w:pPr>
      <w:r>
        <w:rPr>
          <w:rFonts w:ascii="Times New Roman" w:cs="Times New Roman" w:eastAsia="Times New Roman" w:hAnsi="Times New Roman"/>
          <w:sz w:val="17"/>
          <w:szCs w:val="17"/>
          <w:color w:val="auto"/>
        </w:rPr>
        <w:t>Section 4001(a)(13) of ERISA, of a Plan, and an event described in paragraph (9), (10), (11), (12) or (13) of Section 4043(c) of ERISA is reasonably expected to occur with respect to such Plan within the following 30 days; (b) the application for a minimum funding waiver with respect to a Plan;</w:t>
      </w:r>
    </w:p>
    <w:p>
      <w:pPr>
        <w:ind w:left="4" w:hanging="4"/>
        <w:spacing w:after="0" w:line="251" w:lineRule="auto"/>
        <w:tabs>
          <w:tab w:leader="none" w:pos="249"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by the administrator of any Plan of a notice of intent to terminate such Plan pursuant to Section 4041(a)(2) of ERISA (including any such notice with respect to a plan amendment referred to in Section 4041(e) of ERISA); (d) the cessation of operations at a facility of the Borrower or any ERISA Affiliate in the circumstances described in Section 4062(e) of ERISA; (e) the withdrawal by the Borrower or any ERISA Affiliate from a Multiple Employer Plan during a plan year for which it was a substantial employer, as defined in Section 4001(a)(2) of ERISA; (f) the conditions for the imposition of a lien under Section 303(k) of ERISA shall have been met with respect to any Plan; (g) a determination that any Plan is in “at risk” status (within the meaning of Section 303 of ERISA); or (h) the institution by the PBGC of proceedings to terminate a Plan pursuant to Section 4042 of ERISA, or the occurrence of any event or condition described in Section 4042 of ERISA that constitutes grounds for the termination of, or the appointment of a trustee to administer, a Plan.</w:t>
      </w:r>
    </w:p>
    <w:p>
      <w:pPr>
        <w:spacing w:after="0" w:line="194" w:lineRule="exact"/>
        <w:rPr>
          <w:sz w:val="20"/>
          <w:szCs w:val="20"/>
          <w:color w:val="auto"/>
        </w:rPr>
      </w:pPr>
    </w:p>
    <w:p>
      <w:pPr>
        <w:ind w:left="4" w:right="6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62" w:lineRule="exact"/>
        <w:rPr>
          <w:sz w:val="20"/>
          <w:szCs w:val="20"/>
          <w:color w:val="auto"/>
        </w:rPr>
      </w:pPr>
    </w:p>
    <w:p>
      <w:pPr>
        <w:ind w:left="4" w:right="2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EURIBO Rate</w:t>
      </w:r>
      <w:r>
        <w:rPr>
          <w:rFonts w:ascii="Times New Roman" w:cs="Times New Roman" w:eastAsia="Times New Roman" w:hAnsi="Times New Roman"/>
          <w:sz w:val="18"/>
          <w:szCs w:val="18"/>
          <w:color w:val="auto"/>
        </w:rPr>
        <w:t>” means, with respect to any Term Benchmark Borrowing denominated in euro and for any Interest Period, the EURIBO Screen Rate, two (2) TARGET Days prior to the commencement of such Interest Period.</w:t>
      </w:r>
    </w:p>
    <w:p>
      <w:pPr>
        <w:spacing w:after="0" w:line="162" w:lineRule="exact"/>
        <w:rPr>
          <w:sz w:val="20"/>
          <w:szCs w:val="20"/>
          <w:color w:val="auto"/>
        </w:rPr>
      </w:pPr>
    </w:p>
    <w:p>
      <w:pPr>
        <w:ind w:left="4"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EURIBO Screen Rate</w:t>
      </w:r>
      <w:r>
        <w:rPr>
          <w:rFonts w:ascii="Times New Roman" w:cs="Times New Roman" w:eastAsia="Times New Roman" w:hAnsi="Times New Roman"/>
          <w:sz w:val="18"/>
          <w:szCs w:val="18"/>
          <w:color w:val="auto"/>
        </w:rPr>
        <w:t>” means the euro interbank offered rate administered by the European Money Markets Institute (or any other person which takes over the administration of that rate) for the relevant period displayed (before any correction, recalculation or republication by the administrator) on page EURIBOR01 of the Reuters screen (or any replacement Reuters page which displays that rate) or on the appropriate page of such other information service which publishes that rate from time to time in place of Reuters as published at approximately 11:00 a.m. Brussels time on such date of determination. If such page or service ceases to be available, the Administrative Agent may specify another page or service displaying the relevant rate after consultation with the Borrower.</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w:t>
      </w:r>
      <w:r>
        <w:rPr>
          <w:rFonts w:ascii="Times New Roman" w:cs="Times New Roman" w:eastAsia="Times New Roman" w:hAnsi="Times New Roman"/>
          <w:sz w:val="18"/>
          <w:szCs w:val="18"/>
          <w:color w:val="auto"/>
        </w:rPr>
        <w:t>” and/or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means the single currency of the Participating Member States.</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has the meaning assigned to such term in Section 7.01.</w:t>
      </w:r>
    </w:p>
    <w:p>
      <w:pPr>
        <w:spacing w:after="0" w:line="158"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4"/>
          </w:cols>
          <w:pgMar w:left="436" w:top="270" w:right="479" w:bottom="1440" w:gutter="0" w:footer="0" w:header="0"/>
        </w:sectPr>
      </w:pPr>
    </w:p>
    <w:bookmarkStart w:id="76" w:name="page77"/>
    <w:bookmarkEnd w:id="76"/>
    <w:p>
      <w:pPr>
        <w:ind w:left="4"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w:t>
      </w:r>
    </w:p>
    <w:p>
      <w:pPr>
        <w:spacing w:after="0" w:line="3" w:lineRule="exact"/>
        <w:rPr>
          <w:sz w:val="20"/>
          <w:szCs w:val="20"/>
          <w:color w:val="auto"/>
        </w:rPr>
      </w:pPr>
    </w:p>
    <w:p>
      <w:pPr>
        <w:ind w:left="4" w:right="180" w:hanging="4"/>
        <w:spacing w:after="0" w:line="265" w:lineRule="auto"/>
        <w:tabs>
          <w:tab w:leader="none" w:pos="259"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 Lender, U.S. federal withholding Taxes imposed on amounts payable to or for the account of such Lender with respect to an applicable interest in a Loan, Letter of Credit or Commitment pursuant to a law in effect on the date on which (i) such Lender acquires such interest in the Loan, Letter of Credit or Commitment (other than pursuant to an assignment request by the Borrower under Section 2.19(b) or Section 9.02(d)) or</w:t>
      </w:r>
    </w:p>
    <w:p>
      <w:pPr>
        <w:ind w:left="264" w:hanging="264"/>
        <w:spacing w:after="0"/>
        <w:tabs>
          <w:tab w:leader="none" w:pos="264"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changes its lending office, except in each case to the extent that, pursuant to Section 2.17, amounts with respect to such Taxes were</w:t>
      </w:r>
    </w:p>
    <w:p>
      <w:pPr>
        <w:spacing w:after="0" w:line="9" w:lineRule="exact"/>
        <w:rPr>
          <w:rFonts w:ascii="Times New Roman" w:cs="Times New Roman" w:eastAsia="Times New Roman" w:hAnsi="Times New Roman"/>
          <w:sz w:val="18"/>
          <w:szCs w:val="18"/>
          <w:color w:val="auto"/>
        </w:rPr>
      </w:pPr>
    </w:p>
    <w:p>
      <w:pPr>
        <w:ind w:left="4" w:right="12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payable either to such Lender’s assignor immediately before such Lender acquired the applicable interest in a Loan, Letter of Credit or Commitment or to such Lender immediately before it changed its lending office, (c) Taxes attributable to such Recipient’s failure to comply with Section 2.17(f) and</w:t>
      </w:r>
    </w:p>
    <w:p>
      <w:pPr>
        <w:ind w:left="264" w:hanging="264"/>
        <w:spacing w:after="0"/>
        <w:tabs>
          <w:tab w:leader="none" w:pos="26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withholding Taxes imposed under FATCA.</w:t>
      </w:r>
    </w:p>
    <w:p>
      <w:pPr>
        <w:spacing w:after="0" w:line="207" w:lineRule="exact"/>
        <w:rPr>
          <w:sz w:val="20"/>
          <w:szCs w:val="20"/>
          <w:color w:val="auto"/>
        </w:rPr>
      </w:pPr>
    </w:p>
    <w:p>
      <w:pPr>
        <w:jc w:val="both"/>
        <w:ind w:left="4" w:firstLine="99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Existing Credit Agreement</w:t>
      </w:r>
      <w:r>
        <w:rPr>
          <w:rFonts w:ascii="Times New Roman" w:cs="Times New Roman" w:eastAsia="Times New Roman" w:hAnsi="Times New Roman"/>
          <w:sz w:val="17"/>
          <w:szCs w:val="17"/>
          <w:color w:val="auto"/>
        </w:rPr>
        <w:t>” means that certain Credit Agreement dated as of May 27, 2022 by and among the Borrower, the lenders party thereto and JPMorgan Chase Bank, N.A., as administrative agent, as amended, restated, supplemented or otherwise modified prior to the Effective Date.</w:t>
      </w:r>
    </w:p>
    <w:p>
      <w:pPr>
        <w:spacing w:after="0" w:line="14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Letters of Credit</w:t>
      </w:r>
      <w:r>
        <w:rPr>
          <w:rFonts w:ascii="Times New Roman" w:cs="Times New Roman" w:eastAsia="Times New Roman" w:hAnsi="Times New Roman"/>
          <w:sz w:val="18"/>
          <w:szCs w:val="18"/>
          <w:color w:val="auto"/>
        </w:rPr>
        <w:t>” has the meaning assigned to such term in Section 2.06(a).</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Maturity Date</w:t>
      </w:r>
      <w:r>
        <w:rPr>
          <w:rFonts w:ascii="Times New Roman" w:cs="Times New Roman" w:eastAsia="Times New Roman" w:hAnsi="Times New Roman"/>
          <w:sz w:val="18"/>
          <w:szCs w:val="18"/>
          <w:color w:val="auto"/>
        </w:rPr>
        <w:t>” has the meaning assigned to such term in Section 2.23(a).</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Extending Lender</w:t>
      </w:r>
      <w:r>
        <w:rPr>
          <w:rFonts w:ascii="Times New Roman" w:cs="Times New Roman" w:eastAsia="Times New Roman" w:hAnsi="Times New Roman"/>
          <w:sz w:val="18"/>
          <w:szCs w:val="18"/>
          <w:color w:val="auto"/>
        </w:rPr>
        <w:t>” has the meaning assigned to such term in Section 2.23(b).</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 Date</w:t>
      </w:r>
      <w:r>
        <w:rPr>
          <w:rFonts w:ascii="Times New Roman" w:cs="Times New Roman" w:eastAsia="Times New Roman" w:hAnsi="Times New Roman"/>
          <w:sz w:val="18"/>
          <w:szCs w:val="18"/>
          <w:color w:val="auto"/>
        </w:rPr>
        <w:t>” has the meaning assigned to such term in Section 2.23(a).</w:t>
      </w:r>
    </w:p>
    <w:p>
      <w:pPr>
        <w:spacing w:after="0" w:line="225" w:lineRule="exact"/>
        <w:rPr>
          <w:sz w:val="20"/>
          <w:szCs w:val="20"/>
          <w:color w:val="auto"/>
        </w:rPr>
      </w:pPr>
    </w:p>
    <w:p>
      <w:pPr>
        <w:ind w:left="4" w:right="2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80" w:lineRule="exact"/>
        <w:rPr>
          <w:sz w:val="20"/>
          <w:szCs w:val="20"/>
          <w:color w:val="auto"/>
        </w:rPr>
      </w:pPr>
    </w:p>
    <w:p>
      <w:pPr>
        <w:ind w:left="4" w:right="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Effective Rate</w:t>
      </w:r>
      <w:r>
        <w:rPr>
          <w:rFonts w:ascii="Times New Roman" w:cs="Times New Roman" w:eastAsia="Times New Roman" w:hAnsi="Times New Roman"/>
          <w:sz w:val="18"/>
          <w:szCs w:val="18"/>
          <w:color w:val="auto"/>
        </w:rPr>
        <w:t xml:space="preserve">” means,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Federal Funds Effective Rate as so determined would be less than 0%, such rate shall be deemed to be 0% for the purposes of this Agreement.</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Reserve Board</w:t>
      </w:r>
      <w:r>
        <w:rPr>
          <w:rFonts w:ascii="Times New Roman" w:cs="Times New Roman" w:eastAsia="Times New Roman" w:hAnsi="Times New Roman"/>
          <w:sz w:val="18"/>
          <w:szCs w:val="18"/>
          <w:color w:val="auto"/>
        </w:rPr>
        <w:t>” means the Board of Governors of the Federal Reserve System of the United States of America.</w:t>
      </w:r>
    </w:p>
    <w:p>
      <w:pPr>
        <w:spacing w:after="0" w:line="225" w:lineRule="exact"/>
        <w:rPr>
          <w:sz w:val="20"/>
          <w:szCs w:val="20"/>
          <w:color w:val="auto"/>
        </w:rPr>
      </w:pPr>
    </w:p>
    <w:p>
      <w:pPr>
        <w:jc w:val="center"/>
        <w:ind w:right="296"/>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Officer</w:t>
      </w:r>
      <w:r>
        <w:rPr>
          <w:rFonts w:ascii="Times New Roman" w:cs="Times New Roman" w:eastAsia="Times New Roman" w:hAnsi="Times New Roman"/>
          <w:sz w:val="18"/>
          <w:szCs w:val="18"/>
          <w:color w:val="auto"/>
        </w:rPr>
        <w:t>” means the chief financial officer, principal accounting officer, treasurer or controller of the Borrower.</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4"/>
          </w:cols>
          <w:pgMar w:left="436" w:top="270" w:right="459" w:bottom="1440" w:gutter="0" w:footer="0" w:header="0"/>
        </w:sectPr>
      </w:pPr>
    </w:p>
    <w:bookmarkStart w:id="77" w:name="page78"/>
    <w:bookmarkEnd w:id="77"/>
    <w:p>
      <w:pPr>
        <w:ind w:right="60"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Floor</w:t>
      </w:r>
      <w:r>
        <w:rPr>
          <w:rFonts w:ascii="Times New Roman" w:cs="Times New Roman" w:eastAsia="Times New Roman" w:hAnsi="Times New Roman"/>
          <w:sz w:val="18"/>
          <w:szCs w:val="18"/>
          <w:color w:val="auto"/>
        </w:rPr>
        <w:t>” means the benchmark rate floor, if any, provided in this Agreement initially (as of the execution of this Agreement, the modification, amendment or renewal of this Agreement or otherwise) with respect to the Adjusted Term SOFR Rate, the Adjusted EURIBO Rate, the Adjusted TIBO Rate, the Adjusted Term CORRA Rate, each Adjusted Daily Simple RFR, the Japanese Prime Rate, the Canadian Prime Rate or the Central Bank Rate, as applicable. For the avoidance of doubt, the initial Floor for each of the Adjusted Term SOFR Rate, the Adjusted EURIBO Rate, the Adjusted TIBO Rate, the Adjusted Term CORRA Rate, each Adjusted Daily Simple RFR, the Japanese Prime Rate, the Canadian Prime Rate or the Central Bank Rate shall be 0%.</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Currencies</w:t>
      </w:r>
      <w:r>
        <w:rPr>
          <w:rFonts w:ascii="Times New Roman" w:cs="Times New Roman" w:eastAsia="Times New Roman" w:hAnsi="Times New Roman"/>
          <w:sz w:val="18"/>
          <w:szCs w:val="18"/>
          <w:color w:val="auto"/>
        </w:rPr>
        <w:t>” means Agreed Currencies other than Dollars.</w:t>
      </w:r>
    </w:p>
    <w:p>
      <w:pPr>
        <w:spacing w:after="0" w:line="225"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Currency Payment Office</w:t>
      </w:r>
      <w:r>
        <w:rPr>
          <w:rFonts w:ascii="Times New Roman" w:cs="Times New Roman" w:eastAsia="Times New Roman" w:hAnsi="Times New Roman"/>
          <w:sz w:val="18"/>
          <w:szCs w:val="18"/>
          <w:color w:val="auto"/>
        </w:rPr>
        <w:t>” of the Administrative Agent shall mean, for each Foreign Currency, the office, branch, affiliate or correspondent bank of the Administrative Agent for such currency as specified from time to time by the Administrative Agent to the Borrower and each Lender.</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Lender</w:t>
      </w:r>
      <w:r>
        <w:rPr>
          <w:rFonts w:ascii="Times New Roman" w:cs="Times New Roman" w:eastAsia="Times New Roman" w:hAnsi="Times New Roman"/>
          <w:sz w:val="18"/>
          <w:szCs w:val="18"/>
          <w:color w:val="auto"/>
        </w:rPr>
        <w:t>” means (a) if the Borrower is a U.S. Person, a Lender that is not a U.S. Person, and (b) if the Borrower is not a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 a Lender that is resident or organized under the laws of a jurisdiction other than that in which the Borrower is resident for tax purposes.</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Subsidiary</w:t>
      </w:r>
      <w:r>
        <w:rPr>
          <w:rFonts w:ascii="Times New Roman" w:cs="Times New Roman" w:eastAsia="Times New Roman" w:hAnsi="Times New Roman"/>
          <w:sz w:val="18"/>
          <w:szCs w:val="18"/>
          <w:color w:val="auto"/>
        </w:rPr>
        <w:t>” has the meaning assigned to such term in Section 3.10.</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in the United States of America.</w:t>
      </w:r>
    </w:p>
    <w:p>
      <w:pPr>
        <w:spacing w:after="0" w:line="225"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0"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 petroleum and petroleum products, byproducts or breakdown products, radioactive materials, asbestos-containing materials, polychlorinated biphenyls and radon gas and (b) any other chemicals, materials or substances designated, classified or regulated as hazardous or toxic or as a pollutant or contaminant under any Environmental Law.</w:t>
      </w:r>
    </w:p>
    <w:p>
      <w:pPr>
        <w:spacing w:after="0" w:line="176" w:lineRule="exact"/>
        <w:rPr>
          <w:sz w:val="20"/>
          <w:szCs w:val="20"/>
          <w:color w:val="auto"/>
        </w:rPr>
      </w:pPr>
    </w:p>
    <w:p>
      <w:pPr>
        <w:ind w:right="8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Hedge Agreements</w:t>
      </w:r>
      <w:r>
        <w:rPr>
          <w:rFonts w:ascii="Times New Roman" w:cs="Times New Roman" w:eastAsia="Times New Roman" w:hAnsi="Times New Roman"/>
          <w:sz w:val="18"/>
          <w:szCs w:val="18"/>
          <w:color w:val="auto"/>
        </w:rPr>
        <w:t>” means interest rate swap, cap or collar agreements, interest rate future or option contracts, currency swap agreements, currency future or option contracts and other similar agreements.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Increasing Lender</w:t>
      </w:r>
      <w:r>
        <w:rPr>
          <w:rFonts w:ascii="Times New Roman" w:cs="Times New Roman" w:eastAsia="Times New Roman" w:hAnsi="Times New Roman"/>
          <w:sz w:val="18"/>
          <w:szCs w:val="18"/>
          <w:color w:val="auto"/>
        </w:rPr>
        <w:t>” has the meaning assigned to such term in Section 2.20.</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Term Loan</w:t>
      </w:r>
      <w:r>
        <w:rPr>
          <w:rFonts w:ascii="Times New Roman" w:cs="Times New Roman" w:eastAsia="Times New Roman" w:hAnsi="Times New Roman"/>
          <w:sz w:val="18"/>
          <w:szCs w:val="18"/>
          <w:color w:val="auto"/>
        </w:rPr>
        <w:t>” has the meaning assigned to such term in Section 2.20.</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Term Loan Amendment</w:t>
      </w:r>
      <w:r>
        <w:rPr>
          <w:rFonts w:ascii="Times New Roman" w:cs="Times New Roman" w:eastAsia="Times New Roman" w:hAnsi="Times New Roman"/>
          <w:sz w:val="18"/>
          <w:szCs w:val="18"/>
          <w:color w:val="auto"/>
        </w:rPr>
        <w:t>” has the meaning assigned to such term in Section 2.20.</w:t>
      </w:r>
    </w:p>
    <w:p>
      <w:pPr>
        <w:spacing w:after="0" w:line="225"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Taxes</w:t>
      </w:r>
      <w:r>
        <w:rPr>
          <w:rFonts w:ascii="Times New Roman" w:cs="Times New Roman" w:eastAsia="Times New Roman" w:hAnsi="Times New Roman"/>
          <w:sz w:val="18"/>
          <w:szCs w:val="18"/>
          <w:color w:val="auto"/>
        </w:rPr>
        <w:t>” means (a) Taxes, other than Excluded Taxes, imposed on or with respect to any payment made by or on account of any obligation of the Borrower under any Loan Document and (b) to the extent not otherwise described in clause (a) hereof, Other Taxes.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has the meaning assigned to such term in Section 9.03(c).</w:t>
      </w:r>
    </w:p>
    <w:p>
      <w:pPr>
        <w:spacing w:after="0" w:line="225"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Index Debt</w:t>
      </w:r>
      <w:r>
        <w:rPr>
          <w:rFonts w:ascii="Times New Roman" w:cs="Times New Roman" w:eastAsia="Times New Roman" w:hAnsi="Times New Roman"/>
          <w:sz w:val="18"/>
          <w:szCs w:val="18"/>
          <w:color w:val="auto"/>
        </w:rPr>
        <w:t>” means senior, unsecured, long-term indebtedness for borrowed money of the Borrower that is not guaranteed by any other Person or subject to any other credit enhancement.</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60"/>
          </w:cols>
          <w:pgMar w:left="440" w:top="270" w:right="499" w:bottom="1440" w:gutter="0" w:footer="0" w:header="0"/>
        </w:sectPr>
      </w:pPr>
    </w:p>
    <w:bookmarkStart w:id="78" w:name="page79"/>
    <w:bookmarkEnd w:id="78"/>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Ineligible Institution</w:t>
      </w:r>
      <w:r>
        <w:rPr>
          <w:rFonts w:ascii="Times New Roman" w:cs="Times New Roman" w:eastAsia="Times New Roman" w:hAnsi="Times New Roman"/>
          <w:sz w:val="18"/>
          <w:szCs w:val="18"/>
          <w:color w:val="auto"/>
        </w:rPr>
        <w:t>” has the meaning assigned to such term in Section 9.04(b).</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has the meaning assigned to such term in Section 9.12.</w:t>
      </w:r>
    </w:p>
    <w:p>
      <w:pPr>
        <w:spacing w:after="0" w:line="225" w:lineRule="exact"/>
        <w:rPr>
          <w:sz w:val="20"/>
          <w:szCs w:val="20"/>
          <w:color w:val="auto"/>
        </w:rPr>
      </w:pPr>
    </w:p>
    <w:p>
      <w:pPr>
        <w:ind w:right="6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Intangible Assets</w:t>
      </w:r>
      <w:r>
        <w:rPr>
          <w:rFonts w:ascii="Times New Roman" w:cs="Times New Roman" w:eastAsia="Times New Roman" w:hAnsi="Times New Roman"/>
          <w:sz w:val="18"/>
          <w:szCs w:val="18"/>
          <w:color w:val="auto"/>
        </w:rPr>
        <w:t>” means, with respect to any Person at any time of determination, (i) goodwill, organizational expenses, research and development expenses, trademarks, tradenames, copyrights, patents, patent applications, licenses and rights in any thereof, (ii) all reserves carried and not deducted from assets, (iii) treasury stock, (iv) securities which are not readily marketable, (v) cash held in a sinking or other analogous fund for the purpose of redemption, retirement or prepayment of capital stock or indebtedness, (vi) any write-up in the book value of any asset resulting from a reevaluation thereof subsequent to December 31, 2017, and (vii) any items not included in items (i)-(vi) above which are treated as intangibles in accordance with GAAP.</w:t>
      </w:r>
    </w:p>
    <w:p>
      <w:pPr>
        <w:spacing w:after="0" w:line="187"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Election Request</w:t>
      </w:r>
      <w:r>
        <w:rPr>
          <w:rFonts w:ascii="Times New Roman" w:cs="Times New Roman" w:eastAsia="Times New Roman" w:hAnsi="Times New Roman"/>
          <w:sz w:val="18"/>
          <w:szCs w:val="18"/>
          <w:color w:val="auto"/>
        </w:rPr>
        <w:t>” means a request by the Borrower to convert or continue a Borrowing in accordance with Section 2.08, which shall be substantially in the form approved by the Administrative Agent and separately provided to the Borrower.</w:t>
      </w:r>
    </w:p>
    <w:p>
      <w:pPr>
        <w:spacing w:after="0" w:line="162"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means (a) with respect to any ABR Loan (other than a Swingline Loan) and any Loan that bears interest at the Japanese Prime Rate or the Canadian Prime Rate, the last day of each March, June, September and December and the Maturity Date, (b) with respect to any RFR Loan, each date that is on the numerically corresponding day in each calendar month that is one month after the Borrowing of such RFR Loan (or, if there is no such numerically corresponding day in such month, then the last day of such month) and the Maturity Date, (c) with respect to any Term Benchmark Loan, the last day of each Interest Period applicable to the Borrowing of which such Loan is a part and, in the case of a Term Benchmark Borrowing with an Interest Period of more than three months’ duration, each day prior to the last day of such Interest Period that occurs at intervals of three months’ duration after the first day of such Interest Period and the Maturity Date and (d) with respect to any Swingline Loan, the day that such Loan is required to be repaid and the Maturity Date.</w:t>
      </w:r>
    </w:p>
    <w:p>
      <w:pPr>
        <w:spacing w:after="0" w:line="192"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xml:space="preserve">” means with respect to any Term Benchmark Borrowing, the period commencing on the date of such Borrowing and ending on the numerically corresponding day in the calendar month that is one, three or, other than with respect to a Term Benchmark Borrowing denominated in Canadian Dollars, six months thereafter (in each case, subject to the availability for the Benchmark applicable to the relevant Loan or Commitment for any Agreed Currency), as the Borrower may elect;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(iii) no tenor that has been removed from this definition pursuant to Section 2.14(e) shall be available for specification in such Borrowing Request or Interest Election Request. For purposes hereof, the date of a Borrowing initially shall be the date on which such Borrowing is made and thereafter shall be the effective date of the most recent conversion or continuation of such Borrowing.</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United States Internal Revenue Service.</w:t>
      </w:r>
    </w:p>
    <w:p>
      <w:pPr>
        <w:spacing w:after="0" w:line="225" w:lineRule="exact"/>
        <w:rPr>
          <w:sz w:val="20"/>
          <w:szCs w:val="20"/>
          <w:color w:val="auto"/>
        </w:rPr>
      </w:pPr>
    </w:p>
    <w:p>
      <w:pPr>
        <w:ind w:right="2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Issuing Bank</w:t>
      </w:r>
      <w:r>
        <w:rPr>
          <w:rFonts w:ascii="Times New Roman" w:cs="Times New Roman" w:eastAsia="Times New Roman" w:hAnsi="Times New Roman"/>
          <w:sz w:val="18"/>
          <w:szCs w:val="18"/>
          <w:color w:val="auto"/>
        </w:rPr>
        <w:t>” means JPMorgan Chase Bank, N.A., BNP Paribas, Citibank, N.A. and any other Lender that agrees to act as an Issuing Bank (in each case, through itself or through one of its designated affiliates or branch offices), each in its capacity as the issuer of Letters of Credit hereunder, and its successors in such capacity as provided in Section 2.06(i). Any Issuing Bank may, in its discretion,</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20"/>
          </w:cols>
          <w:pgMar w:left="440" w:top="270" w:right="539" w:bottom="1440" w:gutter="0" w:footer="0" w:header="0"/>
        </w:sectPr>
      </w:pPr>
    </w:p>
    <w:bookmarkStart w:id="79" w:name="page80"/>
    <w:bookmarkEnd w:id="79"/>
    <w:p>
      <w:pPr>
        <w:ind w:right="1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arrange for one or more Letters of Credit to be issued by Affiliates of such Issuing Bank, in which case the term “Issuing Bank” shall include any such Affiliate with respect to Letters of Credit issued by such Affiliate. Each reference herein to the “Issuing Bank” in connection with a Letter of Credit or other matter shall be deemed to be a reference to the relevant Issuing Bank with respect thereto, and, further, references herein to “the Issuing Bank” shall be deemed to refer to each of the Issuing Banks or the relevant Issuing Bank, as the context requires.</w:t>
      </w:r>
    </w:p>
    <w:p>
      <w:pPr>
        <w:spacing w:after="0" w:line="180" w:lineRule="exact"/>
        <w:rPr>
          <w:sz w:val="20"/>
          <w:szCs w:val="20"/>
          <w:color w:val="auto"/>
        </w:rPr>
      </w:pPr>
    </w:p>
    <w:p>
      <w:pPr>
        <w:ind w:right="3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Japanese Prime Rate</w:t>
      </w:r>
      <w:r>
        <w:rPr>
          <w:rFonts w:ascii="Times New Roman" w:cs="Times New Roman" w:eastAsia="Times New Roman" w:hAnsi="Times New Roman"/>
          <w:sz w:val="18"/>
          <w:szCs w:val="18"/>
          <w:color w:val="auto"/>
        </w:rPr>
        <w:t xml:space="preserve">” means for any Loan denominated in Japanese Yen the greater of (a) (i) the Japanese local bank prime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the Japanese Prime Rate Adjustment and (b) the Floor.</w:t>
      </w:r>
    </w:p>
    <w:p>
      <w:pPr>
        <w:spacing w:after="0" w:line="162"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Japanese Prime Rate Adjustment</w:t>
      </w:r>
      <w:r>
        <w:rPr>
          <w:rFonts w:ascii="Times New Roman" w:cs="Times New Roman" w:eastAsia="Times New Roman" w:hAnsi="Times New Roman"/>
          <w:sz w:val="18"/>
          <w:szCs w:val="18"/>
          <w:color w:val="auto"/>
        </w:rPr>
        <w:t xml:space="preserve">” means, for any day, for any Loan denominated in Japanese Yen, a rate equal to the difference (which may be a positive or negative value or zero) of (i) the average of the TIBO Rate for the five most recent Business Days preceding such day for which the TIBO Screen Rate was available (excluding, from such averaging, the highest and the lowest TIBO Rate applicable during such period of five Business Days)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(ii) the Japanese Prime Rate in effect on the last Business Day in such period; provided, that for purposes of this definition, the Japanese Prime Rate shall be determined disregarding clause (a)(ii) of the definition of such term. For purposes of this definition, the TIBO Rate on any day shall be based on the TIBO Screen Rate on such day at approximately the time referred to in the definition of such term for deposits in Japanese Yen for a maturity of one month.</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Japanese Yen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means the lawful currency of Japan.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Collateral Account</w:t>
      </w:r>
      <w:r>
        <w:rPr>
          <w:rFonts w:ascii="Times New Roman" w:cs="Times New Roman" w:eastAsia="Times New Roman" w:hAnsi="Times New Roman"/>
          <w:sz w:val="18"/>
          <w:szCs w:val="18"/>
          <w:color w:val="auto"/>
        </w:rPr>
        <w:t>” has the meaning assigned to such term in Section 2.06(j).</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Disbursement</w:t>
      </w:r>
      <w:r>
        <w:rPr>
          <w:rFonts w:ascii="Times New Roman" w:cs="Times New Roman" w:eastAsia="Times New Roman" w:hAnsi="Times New Roman"/>
          <w:sz w:val="18"/>
          <w:szCs w:val="18"/>
          <w:color w:val="auto"/>
        </w:rPr>
        <w:t>” means a payment made by the Issuing Bank pursuant to a Letter of Credit.</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Exposure</w:t>
      </w:r>
      <w:r>
        <w:rPr>
          <w:rFonts w:ascii="Times New Roman" w:cs="Times New Roman" w:eastAsia="Times New Roman" w:hAnsi="Times New Roman"/>
          <w:sz w:val="18"/>
          <w:szCs w:val="18"/>
          <w:color w:val="auto"/>
        </w:rPr>
        <w:t xml:space="preserve">” means, at any time, the sum of (a) the aggregate undrawn Dollar Amount of all outstanding Letters of Credit at such time,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aggregate Dollar Amount of all LC Disbursements that have not yet been reimbursed by or on behalf of the Borrower at such time. The LC Exposure of any Lender at any time shall be its Applicable Percentage of the LC Exposure at such time. For all purposes of this Agreement, if on any date of determination a Letter of Credit has expired by its terms but any amount may still be drawn thereunder by reason of the operation of Article 29(a) of the Uniform Customs and Practice for Documentary Credits, International Chamber of Commerce Publication No. 600 (or such later version thereof as may be in effect at the applicable time) or Rule 3.13 or Rule 3.14 of the International Standby Practices, International Chamber of Commerce Publication No. 590 (or such later version thereof as may be in effect at the applicable time) or similar terms in the governing rules or laws or of the Letter of Credit itself, or if compliant documents have been presented but not yet honored, such Letter of Credit shall be deemed to be “outstanding” and “undrawn” in the amount so remaining available to be paid, and the obligations of the Borrower and each Lender shall remain in full force and effect until the Issuing Bank and the Lenders shall have no further obligations to make any payments or disbursements under any circumstances with respect to any Letter of Credit.</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 Notice Date</w:t>
      </w:r>
      <w:r>
        <w:rPr>
          <w:rFonts w:ascii="Times New Roman" w:cs="Times New Roman" w:eastAsia="Times New Roman" w:hAnsi="Times New Roman"/>
          <w:sz w:val="18"/>
          <w:szCs w:val="18"/>
          <w:color w:val="auto"/>
        </w:rPr>
        <w:t>” has the meaning assigned to such term in Section 2.23(b).</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 Parent</w:t>
      </w:r>
      <w:r>
        <w:rPr>
          <w:rFonts w:ascii="Times New Roman" w:cs="Times New Roman" w:eastAsia="Times New Roman" w:hAnsi="Times New Roman"/>
          <w:sz w:val="18"/>
          <w:szCs w:val="18"/>
          <w:color w:val="auto"/>
        </w:rPr>
        <w:t>” means, with respect to any Lender, any Person as to which such Lender is, directly or indirectly, a subsidiary.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Lender-Related Person</w:t>
      </w:r>
      <w:r>
        <w:rPr>
          <w:rFonts w:ascii="Times New Roman" w:cs="Times New Roman" w:eastAsia="Times New Roman" w:hAnsi="Times New Roman"/>
          <w:sz w:val="18"/>
          <w:szCs w:val="18"/>
          <w:color w:val="auto"/>
        </w:rPr>
        <w:t>” has the meaning assigned to such term in Section 9.03(b).</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80" w:name="page81"/>
    <w:bookmarkEnd w:id="80"/>
    <w:p>
      <w:pPr>
        <w:jc w:val="both"/>
        <w:ind w:left="4" w:right="32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xml:space="preserve">” means the Persons listed on </w:t>
      </w:r>
      <w:r>
        <w:rPr>
          <w:rFonts w:ascii="Times New Roman" w:cs="Times New Roman" w:eastAsia="Times New Roman" w:hAnsi="Times New Roman"/>
          <w:sz w:val="18"/>
          <w:szCs w:val="18"/>
          <w:u w:val="single" w:color="auto"/>
          <w:color w:val="auto"/>
        </w:rPr>
        <w:t>Schedule 2.01A</w:t>
      </w:r>
      <w:r>
        <w:rPr>
          <w:rFonts w:ascii="Times New Roman" w:cs="Times New Roman" w:eastAsia="Times New Roman" w:hAnsi="Times New Roman"/>
          <w:sz w:val="18"/>
          <w:szCs w:val="18"/>
          <w:color w:val="auto"/>
        </w:rPr>
        <w:t xml:space="preserve"> and any other Person that shall have become a Lender hereunder pursuant to Section 2.20 or pursuant to an Assignment and Assumption or otherwise, other than any such Person that ceases to be a party hereto pursuant to an Assignment and Assumption or otherwise. Unless the context otherwise requires, the term “Lenders” includes the Swingline Lender and the Issuing Banks.</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w:t>
      </w:r>
      <w:r>
        <w:rPr>
          <w:rFonts w:ascii="Times New Roman" w:cs="Times New Roman" w:eastAsia="Times New Roman" w:hAnsi="Times New Roman"/>
          <w:sz w:val="18"/>
          <w:szCs w:val="18"/>
          <w:color w:val="auto"/>
        </w:rPr>
        <w:t>” means any letter of credit issued pursuant to this Agreement.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Agreement</w:t>
      </w:r>
      <w:r>
        <w:rPr>
          <w:rFonts w:ascii="Times New Roman" w:cs="Times New Roman" w:eastAsia="Times New Roman" w:hAnsi="Times New Roman"/>
          <w:sz w:val="18"/>
          <w:szCs w:val="18"/>
          <w:color w:val="auto"/>
        </w:rPr>
        <w:t>” has the meaning assigned to such term in Section 2.06(b).</w:t>
      </w:r>
    </w:p>
    <w:p>
      <w:pPr>
        <w:spacing w:after="0" w:line="225" w:lineRule="exact"/>
        <w:rPr>
          <w:sz w:val="20"/>
          <w:szCs w:val="20"/>
          <w:color w:val="auto"/>
        </w:rPr>
      </w:pPr>
    </w:p>
    <w:p>
      <w:pPr>
        <w:ind w:left="4" w:right="2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Base Commitment</w:t>
      </w:r>
      <w:r>
        <w:rPr>
          <w:rFonts w:ascii="Times New Roman" w:cs="Times New Roman" w:eastAsia="Times New Roman" w:hAnsi="Times New Roman"/>
          <w:sz w:val="18"/>
          <w:szCs w:val="18"/>
          <w:color w:val="auto"/>
        </w:rPr>
        <w:t xml:space="preserve">” means, with respect to each Issuing Bank, the commitment of such Issuing Bank to issue Letters of Credit hereunder. The initial amount of each Issuing Bank’s Letter of Credit Base Commitment is set forth on </w:t>
      </w:r>
      <w:r>
        <w:rPr>
          <w:rFonts w:ascii="Times New Roman" w:cs="Times New Roman" w:eastAsia="Times New Roman" w:hAnsi="Times New Roman"/>
          <w:sz w:val="18"/>
          <w:szCs w:val="18"/>
          <w:u w:val="single" w:color="auto"/>
          <w:color w:val="auto"/>
        </w:rPr>
        <w:t>Schedule 2.01B</w:t>
      </w:r>
      <w:r>
        <w:rPr>
          <w:rFonts w:ascii="Times New Roman" w:cs="Times New Roman" w:eastAsia="Times New Roman" w:hAnsi="Times New Roman"/>
          <w:sz w:val="18"/>
          <w:szCs w:val="18"/>
          <w:color w:val="auto"/>
        </w:rPr>
        <w:t>, or if an Issuing Bank has entered into an Assignment and Assumption or has otherwise assumed a Letter of Credit Base Commitment after the Effective Date, the amount set forth for such Issuing Bank as its Letter of Credit Base Commitment in the Register maintained by the Administrative Agent. The Letter of Credit Base Commitment of an Issuing Bank may be modified from time to time by agreement between such Issuing Bank and the Borrower, and notified to the Administrative Agent.</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Leverage Ratio</w:t>
      </w:r>
      <w:r>
        <w:rPr>
          <w:rFonts w:ascii="Times New Roman" w:cs="Times New Roman" w:eastAsia="Times New Roman" w:hAnsi="Times New Roman"/>
          <w:sz w:val="18"/>
          <w:szCs w:val="18"/>
          <w:color w:val="auto"/>
        </w:rPr>
        <w:t>” has the meaning assigned to such term in Section 6.08(a).</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means any losses, claims (including intraparty claims), demands, damages or liabilities of any kind.</w:t>
      </w:r>
    </w:p>
    <w:p>
      <w:pPr>
        <w:spacing w:after="0" w:line="225" w:lineRule="exact"/>
        <w:rPr>
          <w:sz w:val="20"/>
          <w:szCs w:val="20"/>
          <w:color w:val="auto"/>
        </w:rPr>
      </w:pPr>
    </w:p>
    <w:p>
      <w:pPr>
        <w:ind w:left="4" w:right="5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mortgage, lien, security interest or other similar charge or encumbrance, including, without limitation, the lien or retained security title of a conditional vendor.</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means this Agreement (including schedules and exhibits hereto), any promissory notes issued pursuant to</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Section 2.10(e), any Letter of Credit applications, any Letter of Credit Agreement, and all other agreements, instruments, documents and certificates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identified in Section 4.01 executed and delivered to, or in favor of, the Administrative Agent or any Lenders and including all other pledges, powers of</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attorney, consents, assignments, contracts, notices, letter of credit agreements and all other written matter whether heretofore, now or hereafter executed</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 or on behalf of the Borrower, or any employee of the Borrower, and delivered to the Administrative Agent or any Lender in connection with this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Agreement or the transactions contemplated hereby. Any reference in this Agreement or any other Loan Document to a Loan Document shall include all</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appendices, exhibits or schedules thereto, and all amendments, restatements, supplements or other modifications thereto, and shall refer to this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Agreement or such Loan Document as the same may be in effect at any and all times such reference becomes operative.</w:t>
      </w:r>
    </w:p>
    <w:p>
      <w:pPr>
        <w:spacing w:after="0" w:line="20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means the loans made by the Lenders to the Borrower pursuant to this Agreement.</w:t>
      </w:r>
    </w:p>
    <w:p>
      <w:pPr>
        <w:spacing w:after="0" w:line="225" w:lineRule="exact"/>
        <w:rPr>
          <w:sz w:val="20"/>
          <w:szCs w:val="20"/>
          <w:color w:val="auto"/>
        </w:rPr>
      </w:pPr>
    </w:p>
    <w:p>
      <w:pPr>
        <w:ind w:left="4" w:right="140" w:firstLine="991"/>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Local Time</w:t>
      </w:r>
      <w:r>
        <w:rPr>
          <w:rFonts w:ascii="Times New Roman" w:cs="Times New Roman" w:eastAsia="Times New Roman" w:hAnsi="Times New Roman"/>
          <w:sz w:val="17"/>
          <w:szCs w:val="17"/>
          <w:color w:val="auto"/>
        </w:rPr>
        <w:t>” means (i) New York City time in the case of a Loan, Borrowing or LC Disbursement denominated in Dollars and (ii) local time in the case of a Loan, Borrowing or LC Disbursement denominated in a Foreign Currency (it being understood that such local time shall mean</w:t>
      </w:r>
    </w:p>
    <w:p>
      <w:pPr>
        <w:spacing w:after="0" w:line="1" w:lineRule="exact"/>
        <w:rPr>
          <w:sz w:val="20"/>
          <w:szCs w:val="20"/>
          <w:color w:val="auto"/>
        </w:rPr>
      </w:pPr>
    </w:p>
    <w:p>
      <w:pPr>
        <w:ind w:left="4" w:right="20" w:hanging="4"/>
        <w:spacing w:after="0" w:line="255" w:lineRule="auto"/>
        <w:tabs>
          <w:tab w:leader="none" w:pos="24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London, England time with respect to any Foreign Currency (other than euro and Canadian Dollars), (b) Brussels, Belgium time with respect to euro and (c) Toronto, Canada time with respect to Canadian Dollars, in each case of the foregoing clauses (a), (b) and (c) unless otherwise notified by the Administrative Agent).</w:t>
      </w:r>
    </w:p>
    <w:p>
      <w:pPr>
        <w:spacing w:after="0" w:line="186" w:lineRule="exact"/>
        <w:rPr>
          <w:sz w:val="20"/>
          <w:szCs w:val="20"/>
          <w:color w:val="auto"/>
        </w:rPr>
      </w:pPr>
    </w:p>
    <w:p>
      <w:pPr>
        <w:ind w:left="4" w:right="5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Change</w:t>
      </w:r>
      <w:r>
        <w:rPr>
          <w:rFonts w:ascii="Times New Roman" w:cs="Times New Roman" w:eastAsia="Times New Roman" w:hAnsi="Times New Roman"/>
          <w:sz w:val="18"/>
          <w:szCs w:val="18"/>
          <w:color w:val="auto"/>
        </w:rPr>
        <w:t>” means any event, development or circumstance that has had or could reasonably be expected to have a Material Adverse Effect.</w:t>
      </w:r>
    </w:p>
    <w:p>
      <w:pPr>
        <w:spacing w:after="0" w:line="9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64"/>
          </w:cols>
          <w:pgMar w:left="436" w:top="270" w:right="499" w:bottom="1440" w:gutter="0" w:footer="0" w:header="0"/>
        </w:sectPr>
      </w:pPr>
    </w:p>
    <w:bookmarkStart w:id="81" w:name="page82"/>
    <w:bookmarkEnd w:id="81"/>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material adverse effect on (a) the business, assets, operations or financial condition of the Borrower and its Subsidiaries taken as a whole, (b) the ability of the Borrower to perform any of its obligations under this Agreement or any other Loan Document or (c) the validity or enforceability of this Agreement or any and all other Loan Documents or the rights or remedies of the Administrative Agent and the Lenders thereunder.</w:t>
      </w:r>
    </w:p>
    <w:p>
      <w:pPr>
        <w:spacing w:after="0" w:line="180" w:lineRule="exact"/>
        <w:rPr>
          <w:sz w:val="20"/>
          <w:szCs w:val="20"/>
          <w:color w:val="auto"/>
        </w:rPr>
      </w:pPr>
    </w:p>
    <w:p>
      <w:pPr>
        <w:ind w:right="5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Subsidiary</w:t>
      </w:r>
      <w:r>
        <w:rPr>
          <w:rFonts w:ascii="Times New Roman" w:cs="Times New Roman" w:eastAsia="Times New Roman" w:hAnsi="Times New Roman"/>
          <w:sz w:val="18"/>
          <w:szCs w:val="18"/>
          <w:color w:val="auto"/>
        </w:rPr>
        <w:t>” means, at any time, (i) any Subsidiary of the Borrower which shall have contributed in excess of 5% of the Consolidated Net Earnings during the fiscal year then most recently ended and (ii) in the case of any other Subsidiary created, restructured in any material respect or acquired since the end of such fiscal year, such Subsidiary if it is reasonably projected to contribute in excess of 5% of the Consolidated Net Earnings of the Borrower during the then current fiscal year.</w:t>
      </w:r>
    </w:p>
    <w:p>
      <w:pPr>
        <w:spacing w:after="0" w:line="180" w:lineRule="exact"/>
        <w:rPr>
          <w:sz w:val="20"/>
          <w:szCs w:val="20"/>
          <w:color w:val="auto"/>
        </w:rPr>
      </w:pPr>
    </w:p>
    <w:p>
      <w:pPr>
        <w:jc w:val="both"/>
        <w:ind w:right="3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xml:space="preserve">” means with respect to any Lender, the later of (i) December 15, 2030 and (ii) if the Maturity Date is extended for such Lender pursuant to Section 2.23, such extended Maturity Date as determined pursuant to such Section 2.23;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in each case, if such date is not a Business Day, the Maturity Date shall be the next preceding Business Day.</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has the meaning assigned to such term in Section 9.14.</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w:t>
      </w:r>
    </w:p>
    <w:p>
      <w:pPr>
        <w:spacing w:after="0" w:line="225"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 multiemployer plan, as defined in Section 4001(a)(3) of ERISA, to which the Borrower or any ERISA Affiliate is making or accruing an obligation to make contributions, or has within any of the preceding five plan years made or accrued an obligation to make contributions.</w:t>
      </w:r>
    </w:p>
    <w:p>
      <w:pPr>
        <w:spacing w:after="0" w:line="176"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Multiple Employer Plan</w:t>
      </w:r>
      <w:r>
        <w:rPr>
          <w:rFonts w:ascii="Times New Roman" w:cs="Times New Roman" w:eastAsia="Times New Roman" w:hAnsi="Times New Roman"/>
          <w:sz w:val="18"/>
          <w:szCs w:val="18"/>
          <w:color w:val="auto"/>
        </w:rPr>
        <w:t>” means a single employer plan, as defined in Section 4001(a)(15) of ERISA, that (a) is maintained for employees of the Borrower or any ERISA Affiliate and at least one Person other than the Borrower and the ERISA Affiliates or (b) was so maintained and in respect of which the Borrower or any ERISA Affiliate could have liability under Section 4064 or 4069 of ERISA in the event such plan has been or were to be terminated.</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has the meaning assigned to such term in Section 9.02(d).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Non-Extending Lender</w:t>
      </w:r>
      <w:r>
        <w:rPr>
          <w:rFonts w:ascii="Times New Roman" w:cs="Times New Roman" w:eastAsia="Times New Roman" w:hAnsi="Times New Roman"/>
          <w:sz w:val="18"/>
          <w:szCs w:val="18"/>
          <w:color w:val="auto"/>
        </w:rPr>
        <w:t>” has the meaning assigned to such term in Section 2.23(b).</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means a promissory note of the Borrower payable to any Lender, delivered pursuant to a request made under Section 2.10(e).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w:t>
      </w:r>
      <w:r>
        <w:rPr>
          <w:rFonts w:ascii="Times New Roman" w:cs="Times New Roman" w:eastAsia="Times New Roman" w:hAnsi="Times New Roman"/>
          <w:sz w:val="18"/>
          <w:szCs w:val="18"/>
          <w:color w:val="auto"/>
        </w:rPr>
        <w:t>” means the Federal Reserve Bank of New York.</w:t>
      </w:r>
    </w:p>
    <w:p>
      <w:pPr>
        <w:spacing w:after="0" w:line="225" w:lineRule="exact"/>
        <w:rPr>
          <w:sz w:val="20"/>
          <w:szCs w:val="20"/>
          <w:color w:val="auto"/>
        </w:rPr>
      </w:pPr>
    </w:p>
    <w:p>
      <w:pPr>
        <w:ind w:right="100" w:firstLine="991"/>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NYFRB Rate</w:t>
      </w:r>
      <w:r>
        <w:rPr>
          <w:rFonts w:ascii="Times New Roman" w:cs="Times New Roman" w:eastAsia="Times New Roman" w:hAnsi="Times New Roman"/>
          <w:sz w:val="17"/>
          <w:szCs w:val="17"/>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none of such rates are published for any day that is a Business Day, the term “NYFRB Rate” means the rate for a federal funds transaction quoted at 11:00 a.m., New York City time, on such day received by the Administrative Agent from a federal funds broker of recognized standing selected by it;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that if any of the aforesaid rates as so determined would be less than 0%, such rate shall be deemed to be 0% for purposes of this Agreement.</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20"/>
          </w:cols>
          <w:pgMar w:left="440" w:top="270" w:right="439" w:bottom="1440" w:gutter="0" w:footer="0" w:header="0"/>
        </w:sectPr>
      </w:pPr>
    </w:p>
    <w:bookmarkStart w:id="82" w:name="page83"/>
    <w:bookmarkEnd w:id="82"/>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NYFRB’s Website</w:t>
      </w:r>
      <w:r>
        <w:rPr>
          <w:rFonts w:ascii="Times New Roman" w:cs="Times New Roman" w:eastAsia="Times New Roman" w:hAnsi="Times New Roman"/>
          <w:sz w:val="18"/>
          <w:szCs w:val="18"/>
          <w:color w:val="auto"/>
        </w:rPr>
        <w:t>” means the website of the NYFRB at http://www.newyorkfed.org, or any successor source.</w:t>
      </w:r>
    </w:p>
    <w:p>
      <w:pPr>
        <w:spacing w:after="0" w:line="225" w:lineRule="exact"/>
        <w:rPr>
          <w:sz w:val="20"/>
          <w:szCs w:val="20"/>
          <w:color w:val="auto"/>
        </w:rPr>
      </w:pPr>
    </w:p>
    <w:p>
      <w:pPr>
        <w:ind w:right="80"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means all unpaid principal of and accrued and unpaid interest on the Loans, all LC Exposure, all accrued and unpaid fees and all expenses, reimbursements, indemnities and other obligations and indebtedness (including interest and fees accruing during the pendency of any bankruptcy, insolvency, receivership or other similar proceeding, regardless of whether allowed or allowable in such proceeding), obligations and liabilities of any of the Borrower and its Subsidiaries to any of the Lenders, the Administrative Agent, any of the Issuing Banks or any indemnified party, individually or collectively, existing on the Effective Date or arising thereafter, direct or indirect, joint or several, absolute or contingent, matured or unmatured, liquidated or unliquidated, secured or unsecured, arising by contract, operation of law or otherwise, arising or incurred under this Agreement or any of the other Loan Documents or in respect of any of the Loans made or reimbursement or other obligations incurred or any of the Letters of Credit or other instruments at any time evidencing any thereof.</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means the Office of Foreign Assets Control of the U.S. Department of the Treasury.</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Connection Taxes</w:t>
      </w:r>
      <w:r>
        <w:rPr>
          <w:rFonts w:ascii="Times New Roman" w:cs="Times New Roman" w:eastAsia="Times New Roman" w:hAnsi="Times New Roman"/>
          <w:sz w:val="18"/>
          <w:szCs w:val="18"/>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Letter of Credit or Loan Document).</w:t>
      </w:r>
    </w:p>
    <w:p>
      <w:pPr>
        <w:spacing w:after="0" w:line="180"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2.19 or Section 9.02(d)).</w:t>
      </w:r>
    </w:p>
    <w:p>
      <w:pPr>
        <w:spacing w:after="0" w:line="180"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Outbound Investment Rules</w:t>
      </w:r>
      <w:r>
        <w:rPr>
          <w:rFonts w:ascii="Times New Roman" w:cs="Times New Roman" w:eastAsia="Times New Roman" w:hAnsi="Times New Roman"/>
          <w:sz w:val="18"/>
          <w:szCs w:val="18"/>
          <w:color w:val="auto"/>
        </w:rPr>
        <w:t>” means the regulations administered and enforced, together with any related public guidance issued, by the United States Treasury Department under U.S. Executive Order 14105 of August 9, 2023, or any similar law or regulation; as of the date of this Agreement, and as codified at 31 C.F.R. § 850.101 et seq.</w:t>
      </w:r>
    </w:p>
    <w:p>
      <w:pPr>
        <w:spacing w:after="0" w:line="176" w:lineRule="exact"/>
        <w:rPr>
          <w:sz w:val="20"/>
          <w:szCs w:val="20"/>
          <w:color w:val="auto"/>
        </w:rPr>
      </w:pPr>
    </w:p>
    <w:p>
      <w:pPr>
        <w:ind w:right="28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Overnight Bank Funding Rate</w:t>
      </w:r>
      <w:r>
        <w:rPr>
          <w:rFonts w:ascii="Times New Roman" w:cs="Times New Roman" w:eastAsia="Times New Roman" w:hAnsi="Times New Roman"/>
          <w:sz w:val="18"/>
          <w:szCs w:val="18"/>
          <w:color w:val="auto"/>
        </w:rPr>
        <w:t>” means, for any day, the rate comprised of both overnight federal funds and overnight eurodollar transactions denominated in Dollars by U.S.-managed banking offices of depository institutions, as such composite rate shall be determined by the NYFRB as set forth on the NYFRB’s Website from time to time, and published on the next succeeding Business Day by the NYFRB as an overnight bank funding rate.</w:t>
      </w:r>
    </w:p>
    <w:p>
      <w:pPr>
        <w:spacing w:after="0" w:line="180"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Overnight Rate</w:t>
      </w:r>
      <w:r>
        <w:rPr>
          <w:rFonts w:ascii="Times New Roman" w:cs="Times New Roman" w:eastAsia="Times New Roman" w:hAnsi="Times New Roman"/>
          <w:sz w:val="18"/>
          <w:szCs w:val="18"/>
          <w:color w:val="auto"/>
        </w:rPr>
        <w:t>” means, for any day, (a) with respect to any amount denominated in Dollars, the NYFRB Rate and (b) with respect to any amount denominated in a Foreign Currency, an overnight rate determined by the Administrative Agent or the Issuing Banks, as the case may be, in accordance with banking industry rules on interbank compensation.</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has the meaning assigned to such term in Section 9.04(c).</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has the meaning assigned to such term in Section 9.04(c).</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80"/>
          </w:cols>
          <w:pgMar w:left="440" w:top="270" w:right="479" w:bottom="1440" w:gutter="0" w:footer="0" w:header="0"/>
        </w:sectPr>
      </w:pPr>
    </w:p>
    <w:bookmarkStart w:id="83" w:name="page84"/>
    <w:bookmarkEnd w:id="83"/>
    <w:p>
      <w:pPr>
        <w:ind w:left="4" w:right="76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Participating Member State</w:t>
      </w:r>
      <w:r>
        <w:rPr>
          <w:rFonts w:ascii="Times New Roman" w:cs="Times New Roman" w:eastAsia="Times New Roman" w:hAnsi="Times New Roman"/>
          <w:sz w:val="18"/>
          <w:szCs w:val="18"/>
          <w:color w:val="auto"/>
        </w:rPr>
        <w:t>” means any member state of the European Union that has adopted the euro as its lawful currency in accordance with legislation of the European Union relating to economic and monetary union.</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means the USA PATRIOT Act of 2001.</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has the meaning assigned to such term in Section 8.06(c).</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 Notice</w:t>
      </w:r>
      <w:r>
        <w:rPr>
          <w:rFonts w:ascii="Times New Roman" w:cs="Times New Roman" w:eastAsia="Times New Roman" w:hAnsi="Times New Roman"/>
          <w:sz w:val="18"/>
          <w:szCs w:val="18"/>
          <w:color w:val="auto"/>
        </w:rPr>
        <w:t>” has the meaning assigned to such term in Section 8.06(c).</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 (or any successor).</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Periodic Term CORRA Determination Day</w:t>
      </w:r>
      <w:r>
        <w:rPr>
          <w:rFonts w:ascii="Times New Roman" w:cs="Times New Roman" w:eastAsia="Times New Roman" w:hAnsi="Times New Roman"/>
          <w:sz w:val="18"/>
          <w:szCs w:val="18"/>
          <w:color w:val="auto"/>
        </w:rPr>
        <w:t>” has the meaning assigned to such term in the definition of “Term CORRA.”</w:t>
      </w:r>
    </w:p>
    <w:p>
      <w:pPr>
        <w:spacing w:after="0" w:line="225" w:lineRule="exact"/>
        <w:rPr>
          <w:sz w:val="20"/>
          <w:szCs w:val="20"/>
          <w:color w:val="auto"/>
        </w:rPr>
      </w:pPr>
    </w:p>
    <w:p>
      <w:pPr>
        <w:ind w:left="4" w:right="3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means such of the following as to which no enforcement, collection, execution, levy or foreclosure proceeding shall have been commenced:</w:t>
      </w:r>
    </w:p>
    <w:p>
      <w:pPr>
        <w:spacing w:after="0" w:line="54" w:lineRule="exact"/>
        <w:rPr>
          <w:sz w:val="20"/>
          <w:szCs w:val="20"/>
          <w:color w:val="auto"/>
        </w:rPr>
      </w:pPr>
    </w:p>
    <w:p>
      <w:pPr>
        <w:ind w:left="1244" w:hanging="253"/>
        <w:spacing w:after="0"/>
        <w:tabs>
          <w:tab w:leader="none" w:pos="124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assessments and governmental charges or levies to the extent not required to be paid under Section 5.02 hereof;</w:t>
      </w:r>
    </w:p>
    <w:p>
      <w:pPr>
        <w:spacing w:after="0" w:line="225" w:lineRule="exact"/>
        <w:rPr>
          <w:rFonts w:ascii="Times New Roman" w:cs="Times New Roman" w:eastAsia="Times New Roman" w:hAnsi="Times New Roman"/>
          <w:sz w:val="18"/>
          <w:szCs w:val="18"/>
          <w:color w:val="auto"/>
        </w:rPr>
      </w:pPr>
    </w:p>
    <w:p>
      <w:pPr>
        <w:jc w:val="both"/>
        <w:ind w:left="4" w:right="100" w:firstLine="987"/>
        <w:spacing w:after="0" w:line="266" w:lineRule="auto"/>
        <w:tabs>
          <w:tab w:leader="none" w:pos="125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imposed by law, such as materialmen’s, mechanics’, carriers’, workmen’s and repairmen’s Liens and other similar Liens arising in the ordinary course of business securing obligations that are not yet due or that are being contested in good faith by appropriate proceedings and with respect to which adequate reserves are being maintained;</w:t>
      </w:r>
    </w:p>
    <w:p>
      <w:pPr>
        <w:spacing w:after="0" w:line="175" w:lineRule="exact"/>
        <w:rPr>
          <w:rFonts w:ascii="Times New Roman" w:cs="Times New Roman" w:eastAsia="Times New Roman" w:hAnsi="Times New Roman"/>
          <w:sz w:val="18"/>
          <w:szCs w:val="18"/>
          <w:color w:val="auto"/>
        </w:rPr>
      </w:pPr>
    </w:p>
    <w:p>
      <w:pPr>
        <w:ind w:left="4" w:right="200" w:firstLine="987"/>
        <w:spacing w:after="0" w:line="266" w:lineRule="auto"/>
        <w:tabs>
          <w:tab w:leader="none" w:pos="12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pledges or deposits to secure obligations under workers’ compensation, unemployment insurance or other social security laws or similar legislation or to secure public or statutory obligations, the performance of tenders, surety and appeal bonds, bids, leases, government contracts, performance and return of money bonds (but not securing Debt) and similar obligations; and</w:t>
      </w:r>
    </w:p>
    <w:p>
      <w:pPr>
        <w:spacing w:after="0" w:line="175" w:lineRule="exact"/>
        <w:rPr>
          <w:rFonts w:ascii="Times New Roman" w:cs="Times New Roman" w:eastAsia="Times New Roman" w:hAnsi="Times New Roman"/>
          <w:sz w:val="18"/>
          <w:szCs w:val="18"/>
          <w:color w:val="auto"/>
        </w:rPr>
      </w:pPr>
    </w:p>
    <w:p>
      <w:pPr>
        <w:ind w:left="4" w:right="240" w:firstLine="987"/>
        <w:spacing w:after="0" w:line="282" w:lineRule="auto"/>
        <w:tabs>
          <w:tab w:leader="none" w:pos="125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rights of way and other encumbrances on title to real property that do not render title to the property encumbered thereby unmarketable or materially adversely affect the use of such property for its present purposes.</w:t>
      </w:r>
    </w:p>
    <w:p>
      <w:pPr>
        <w:spacing w:after="0" w:line="162" w:lineRule="exact"/>
        <w:rPr>
          <w:sz w:val="20"/>
          <w:szCs w:val="20"/>
          <w:color w:val="auto"/>
        </w:rPr>
      </w:pPr>
    </w:p>
    <w:p>
      <w:pPr>
        <w:ind w:left="4" w:right="7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natural person, corporation, limited liability company, trust, joint venture, association, company, partnership, Governmental Authority or other entity.</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a Single Employer Plan or a Multiple Employer Plan.</w:t>
      </w:r>
    </w:p>
    <w:p>
      <w:pPr>
        <w:spacing w:after="0" w:line="22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 Asset Regulations</w:t>
      </w:r>
      <w:r>
        <w:rPr>
          <w:rFonts w:ascii="Times New Roman" w:cs="Times New Roman" w:eastAsia="Times New Roman" w:hAnsi="Times New Roman"/>
          <w:sz w:val="18"/>
          <w:szCs w:val="18"/>
          <w:color w:val="auto"/>
        </w:rPr>
        <w:t xml:space="preserve">” means 29 CFR § 2510.3-101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as modified by Section 3(42) of ERISA, as amended from time to time.</w:t>
      </w:r>
    </w:p>
    <w:p>
      <w:pPr>
        <w:spacing w:after="0" w:line="22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Pounds Sterling</w:t>
      </w:r>
      <w:r>
        <w:rPr>
          <w:rFonts w:ascii="Times New Roman" w:cs="Times New Roman" w:eastAsia="Times New Roman" w:hAnsi="Times New Roman"/>
          <w:sz w:val="18"/>
          <w:szCs w:val="18"/>
          <w:color w:val="auto"/>
        </w:rPr>
        <w:t>” means the lawful currency of the United Kingdom.</w:t>
      </w:r>
    </w:p>
    <w:p>
      <w:pPr>
        <w:spacing w:after="0" w:line="225" w:lineRule="exact"/>
        <w:rPr>
          <w:sz w:val="20"/>
          <w:szCs w:val="20"/>
          <w:color w:val="auto"/>
        </w:rPr>
      </w:pPr>
    </w:p>
    <w:p>
      <w:pPr>
        <w:ind w:left="4" w:right="20" w:firstLine="991"/>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Prime Rate</w:t>
      </w:r>
      <w:r>
        <w:rPr>
          <w:rFonts w:ascii="Times New Roman" w:cs="Times New Roman" w:eastAsia="Times New Roman" w:hAnsi="Times New Roman"/>
          <w:sz w:val="17"/>
          <w:szCs w:val="17"/>
          <w:color w:val="auto"/>
        </w:rPr>
        <w:t>” means the rate of interest last quoted by The Wall Street Journal as the “Prime Rate” in the U.S. or, if The Wall Street Journal ceases to quote such rate, the highest per annum interest rate published by the Federal Reserve Board in Federal Reserve Statistical Release H.15</w:t>
      </w:r>
    </w:p>
    <w:p>
      <w:pPr>
        <w:spacing w:after="0" w:line="1" w:lineRule="exact"/>
        <w:rPr>
          <w:sz w:val="20"/>
          <w:szCs w:val="20"/>
          <w:color w:val="auto"/>
        </w:rPr>
      </w:pPr>
    </w:p>
    <w:p>
      <w:pPr>
        <w:ind w:left="4" w:hanging="4"/>
        <w:spacing w:after="0" w:line="255" w:lineRule="auto"/>
        <w:tabs>
          <w:tab w:leader="none" w:pos="439"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24"/>
          </w:cols>
          <w:pgMar w:left="436" w:top="270" w:right="439" w:bottom="1440" w:gutter="0" w:footer="0" w:header="0"/>
        </w:sectPr>
      </w:pPr>
    </w:p>
    <w:bookmarkStart w:id="84" w:name="page85"/>
    <w:bookmarkEnd w:id="84"/>
    <w:p>
      <w:pPr>
        <w:ind w:left="4" w:right="76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any claim, litigation, investigation, action, suit, arbitration or administrative, judicial or regulatory action or proceeding in any jurisdiction.</w:t>
      </w:r>
    </w:p>
    <w:p>
      <w:pPr>
        <w:spacing w:after="0" w:line="162" w:lineRule="exact"/>
        <w:rPr>
          <w:sz w:val="20"/>
          <w:szCs w:val="20"/>
          <w:color w:val="auto"/>
        </w:rPr>
      </w:pPr>
    </w:p>
    <w:p>
      <w:pPr>
        <w:ind w:left="4" w:right="2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PTE</w:t>
      </w:r>
      <w:r>
        <w:rPr>
          <w:rFonts w:ascii="Times New Roman" w:cs="Times New Roman" w:eastAsia="Times New Roman" w:hAnsi="Times New Roman"/>
          <w:sz w:val="18"/>
          <w:szCs w:val="18"/>
          <w:color w:val="auto"/>
        </w:rPr>
        <w:t>” means a prohibited transaction class exemption issued by the U.S. Department of Labor, as any such exemption may be amended from time to time.</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w:t>
      </w:r>
      <w:r>
        <w:rPr>
          <w:rFonts w:ascii="Times New Roman" w:cs="Times New Roman" w:eastAsia="Times New Roman" w:hAnsi="Times New Roman"/>
          <w:sz w:val="18"/>
          <w:szCs w:val="18"/>
          <w:color w:val="auto"/>
        </w:rPr>
        <w:t>” has the meaning assigned to the term “qualified financial contract” in, and shall be interpreted in accordance with, 12 U.S.C.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5390(c)(8)(D).</w:t>
      </w:r>
    </w:p>
    <w:p>
      <w:pPr>
        <w:spacing w:after="0" w:line="20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has the meaning assigned to it in Section 9.17.</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Receivable</w:t>
      </w:r>
      <w:r>
        <w:rPr>
          <w:rFonts w:ascii="Times New Roman" w:cs="Times New Roman" w:eastAsia="Times New Roman" w:hAnsi="Times New Roman"/>
          <w:sz w:val="18"/>
          <w:szCs w:val="18"/>
          <w:color w:val="auto"/>
        </w:rPr>
        <w:t>” has the meaning assigned to it in Section 6.04.</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Receivables Purchase Agreement</w:t>
      </w:r>
      <w:r>
        <w:rPr>
          <w:rFonts w:ascii="Times New Roman" w:cs="Times New Roman" w:eastAsia="Times New Roman" w:hAnsi="Times New Roman"/>
          <w:sz w:val="18"/>
          <w:szCs w:val="18"/>
          <w:color w:val="auto"/>
        </w:rPr>
        <w:t>” has the meaning assigned to it in Section 6.04.</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means (a) the Administrative Agent, (b) any Lender and (c) any Issuing Bank, as applicable.</w:t>
      </w:r>
    </w:p>
    <w:p>
      <w:pPr>
        <w:spacing w:after="0" w:line="225" w:lineRule="exact"/>
        <w:rPr>
          <w:sz w:val="20"/>
          <w:szCs w:val="20"/>
          <w:color w:val="auto"/>
        </w:rPr>
      </w:pPr>
    </w:p>
    <w:p>
      <w:pPr>
        <w:ind w:left="4" w:firstLine="991"/>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Reference Time</w:t>
      </w:r>
      <w:r>
        <w:rPr>
          <w:rFonts w:ascii="Times New Roman" w:cs="Times New Roman" w:eastAsia="Times New Roman" w:hAnsi="Times New Roman"/>
          <w:sz w:val="17"/>
          <w:szCs w:val="17"/>
          <w:color w:val="auto"/>
        </w:rPr>
        <w:t>” with respect to any setting of the then-current Benchmark means (i) if such Benchmark is the Term SOFR Rate, 5:00 a.m., Chicago time, on the day that is two (2) U.S. Government Securities Business Days preceding the date of such setting, (ii) if such Benchmark is the EURIBO Rate, 11:00 a.m., Brussels time two (2) TARGET Days preceding the date of such setting, (iii) if such Benchmark is the TIBO Rate, 11:00 a.m. Japan time two (2) Business Days preceding the date of such setting, (iv) if the RFR for such Benchmark is SONIA, then four (4) Business Days prior to such setting, (v) if the RFR for such Benchmark is SARON, then five (5) Business Days prior to such setting, (vi) if, following a Benchmark Transition Event and Benchmark Replacement Date with respect to the Term SOFR Rate, the RFR for such Benchmark is Daily Simple SOFR, then four</w:t>
      </w:r>
    </w:p>
    <w:p>
      <w:pPr>
        <w:spacing w:after="0" w:line="5" w:lineRule="exact"/>
        <w:rPr>
          <w:sz w:val="20"/>
          <w:szCs w:val="20"/>
          <w:color w:val="auto"/>
        </w:rPr>
      </w:pPr>
    </w:p>
    <w:p>
      <w:pPr>
        <w:ind w:left="4" w:right="120" w:hanging="4"/>
        <w:spacing w:after="0" w:line="253" w:lineRule="auto"/>
        <w:tabs>
          <w:tab w:leader="none" w:pos="25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prior to such setting, (vii) if, following a Benchmark Transition Event and Benchmark Replacement Date with respect to Term CORRA, the RFR for such Benchmark is Daily Simple CORRA, then four RFR Business Days prior to such setting, (viii) if such Benchmark is Term CORRA, 1:00 p.m. Toronto local time on the day that is two Business Days preceding the date of such setting, or (ix) if such Benchmark is none of the Term SOFR Rate, Daily Simple SOFR, Term CORRA, Daily Simple CORRA, the EURIBO Rate, the TIBO Rate, SONIA or SARON, the time determined by the Administrative Agent in its reasonable discretion.</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has the meaning assigned to such term in Section 9.04(b).</w:t>
      </w:r>
    </w:p>
    <w:p>
      <w:pPr>
        <w:spacing w:after="0" w:line="225" w:lineRule="exact"/>
        <w:rPr>
          <w:sz w:val="20"/>
          <w:szCs w:val="20"/>
          <w:color w:val="auto"/>
        </w:rPr>
      </w:pPr>
    </w:p>
    <w:p>
      <w:pPr>
        <w:ind w:left="4"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D</w:t>
      </w:r>
      <w:r>
        <w:rPr>
          <w:rFonts w:ascii="Times New Roman" w:cs="Times New Roman" w:eastAsia="Times New Roman" w:hAnsi="Times New Roman"/>
          <w:sz w:val="18"/>
          <w:szCs w:val="18"/>
          <w:color w:val="auto"/>
        </w:rPr>
        <w:t>” means Regulation D of the Federal Reserve Board, as in effect from time to time and all official rulings and interpretations thereunder or thereof.</w:t>
      </w:r>
    </w:p>
    <w:p>
      <w:pPr>
        <w:spacing w:after="0" w:line="162" w:lineRule="exact"/>
        <w:rPr>
          <w:sz w:val="20"/>
          <w:szCs w:val="20"/>
          <w:color w:val="auto"/>
        </w:rPr>
      </w:pPr>
    </w:p>
    <w:p>
      <w:pPr>
        <w:ind w:left="4" w:right="2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specified Person, such Person’s Affiliates and the respective directors, officers, employees, agents and advisors of such Person and such Person’s Affiliates.</w:t>
      </w:r>
    </w:p>
    <w:p>
      <w:pPr>
        <w:spacing w:after="0" w:line="162" w:lineRule="exact"/>
        <w:rPr>
          <w:sz w:val="20"/>
          <w:szCs w:val="20"/>
          <w:color w:val="auto"/>
        </w:rPr>
      </w:pPr>
    </w:p>
    <w:p>
      <w:pPr>
        <w:ind w:left="4" w:right="8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Governmental Body</w:t>
      </w:r>
      <w:r>
        <w:rPr>
          <w:rFonts w:ascii="Times New Roman" w:cs="Times New Roman" w:eastAsia="Times New Roman" w:hAnsi="Times New Roman"/>
          <w:sz w:val="18"/>
          <w:szCs w:val="18"/>
          <w:color w:val="auto"/>
        </w:rPr>
        <w:t>” means (i) with respect to a Benchmark Replacement in respect of Loans denominated in Dollars, the Federal Reserve Board and/or the NYFRB or a committee officially endorsed or convened by the Federal Reserve Board and/or the NYFRB or, in each case, any successor thereto, (ii) with respect to a Benchmark Replacement in respect of Loans denominated in Pounds Sterling, the Bank of England, or a committee officially endorsed or convened by the Bank of England or,</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4"/>
          </w:cols>
          <w:pgMar w:left="436" w:top="270" w:right="459" w:bottom="1440" w:gutter="0" w:footer="0" w:header="0"/>
        </w:sectPr>
      </w:pPr>
    </w:p>
    <w:bookmarkStart w:id="85" w:name="page86"/>
    <w:bookmarkEnd w:id="85"/>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each case, any successor thereto, (iii) with respect to a Benchmark Replacement in respect of Loans denominated in euro, the European Central Bank, or a committee officially endorsed or convened by the European Central Bank or, in each case, any successor thereto, (iv) with respect to a Benchmark Replacement in respect of Loans denominated in Swiss Francs, the Swiss National Bank, or a committee officially endorsed or convened by the Swiss National Bank or, in each case, any successor thereto, (v) with respect to a Benchmark Replacement in respect of Loans denominated in Japanese Yen, the Bank of Japan, or a committee officially endorsed or convened by the Bank of Japan or, in each case, any successor thereto, (vi) with respect to a Benchmark Replacement in respect of Loans denominated in Canadian Dollars, the Bank of Canada, or a committee officially endorsed or convened by the Bank of Canada or, in each case, any successor thereto, and (vii) with respect to a Benchmark Replacement in respect of Loans denominated in any other currency, (a) the central bank for the currency in which such Benchmark Replacement is denominated or any central bank or other supervisor which is responsible for supervising either (1) such Benchmark Replacement or (2) the administrator of such Benchmark Replacement or (b) any working group or committee officially endorsed or convened by (1) the central bank for the currency in which such Benchmark Replacement is denominated, (2) any central bank or other supervisor that is responsible for supervising either (A) such Benchmark Replacement or (B) the administrator of such Benchmark Replacement, (3) a group of those central banks or other supervisors or (4) the Financial Stability Board or any part thereof.</w:t>
      </w:r>
    </w:p>
    <w:p>
      <w:pPr>
        <w:spacing w:after="0" w:line="187" w:lineRule="exact"/>
        <w:rPr>
          <w:sz w:val="20"/>
          <w:szCs w:val="20"/>
          <w:color w:val="auto"/>
        </w:rPr>
      </w:pPr>
    </w:p>
    <w:p>
      <w:pPr>
        <w:ind w:left="4"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Rate</w:t>
      </w:r>
      <w:r>
        <w:rPr>
          <w:rFonts w:ascii="Times New Roman" w:cs="Times New Roman" w:eastAsia="Times New Roman" w:hAnsi="Times New Roman"/>
          <w:sz w:val="18"/>
          <w:szCs w:val="18"/>
          <w:color w:val="auto"/>
        </w:rPr>
        <w:t>” means (i) with respect to any Term Benchmark Borrowing denominated in Dollars, the Term SOFR Rate, (ii) with respect to any Term Benchmark Borrowing denominated in euro, the EURIBO Rate, (iii) with respect to any Term Benchmark Borrowing denominated in Japanese Yen, the TIBO Rate, (iv) with respect to any Term Benchmark Borrowing denominated in Canadian Dollars, the Term CORRA or (v) with respect to any RFR Borrowing denominated in Pounds Sterling, Swiss Francs, Dollars or Canadian Dollars, the applicable Daily Simple RFR, in each case, as applicable.</w:t>
      </w:r>
    </w:p>
    <w:p>
      <w:pPr>
        <w:spacing w:after="0" w:line="183" w:lineRule="exact"/>
        <w:rPr>
          <w:sz w:val="20"/>
          <w:szCs w:val="20"/>
          <w:color w:val="auto"/>
        </w:rPr>
      </w:pPr>
    </w:p>
    <w:p>
      <w:pPr>
        <w:ind w:left="4" w:right="3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Screen Rate</w:t>
      </w:r>
      <w:r>
        <w:rPr>
          <w:rFonts w:ascii="Times New Roman" w:cs="Times New Roman" w:eastAsia="Times New Roman" w:hAnsi="Times New Roman"/>
          <w:sz w:val="18"/>
          <w:szCs w:val="18"/>
          <w:color w:val="auto"/>
        </w:rPr>
        <w:t>” means (i) with respect to any Term Benchmark Borrowing denominated in Dollars, the Term SOFR Reference Rate, (ii) with respect to any Term Benchmark Borrowing denominated in euro, the EURIBO Screen Rate, (iii) with respect to any Term Benchmark Borrowing denominated in Japanese Yen, the TIBO Screen Rate or (iv) with respect to any Term Benchmark Borrowing denominated in Canadian Dollars, Term CORRA, as applicable.</w:t>
      </w:r>
    </w:p>
    <w:p>
      <w:pPr>
        <w:spacing w:after="0" w:line="180" w:lineRule="exact"/>
        <w:rPr>
          <w:sz w:val="20"/>
          <w:szCs w:val="20"/>
          <w:color w:val="auto"/>
        </w:rPr>
      </w:pPr>
    </w:p>
    <w:p>
      <w:pPr>
        <w:ind w:left="4" w:right="60" w:firstLine="991"/>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Required Lenders</w:t>
      </w:r>
      <w:r>
        <w:rPr>
          <w:rFonts w:ascii="Times New Roman" w:cs="Times New Roman" w:eastAsia="Times New Roman" w:hAnsi="Times New Roman"/>
          <w:sz w:val="17"/>
          <w:szCs w:val="17"/>
          <w:color w:val="auto"/>
        </w:rPr>
        <w:t xml:space="preserve">” means, subject to Section 2.22, (a) at any time prior to the earlier of the Loans becoming due and payable pursuant to Section 7.02 or the Commitments terminating or expiring, Lenders having Revolving Credit Exposures and Unfunded Commitments representing more than 50% of the sum of the Total Revolving Credit Exposure and Unfunded Commitments at such time,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solely for purposes of declaring the Loans to be due and payable pursuant to Section 7.02, the Unfunded Commitment of each Lender shall be deemed to be zero; and (b) for all purposes after the Loans become due and payable pursuant to Section 7.02 or the Commitments expire or terminate, Lenders having Revolving Credit Exposures representing more than 50% of the Total Revolving Credit Exposure at such time;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the case of clauses (a) and (b) above,</w:t>
      </w:r>
    </w:p>
    <w:p>
      <w:pPr>
        <w:spacing w:after="0" w:line="5" w:lineRule="exact"/>
        <w:rPr>
          <w:sz w:val="20"/>
          <w:szCs w:val="20"/>
          <w:color w:val="auto"/>
        </w:rPr>
      </w:pPr>
    </w:p>
    <w:p>
      <w:pPr>
        <w:ind w:left="4" w:hanging="4"/>
        <w:spacing w:after="0" w:line="252" w:lineRule="auto"/>
        <w:tabs>
          <w:tab w:leader="none" w:pos="259"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Revolving Credit Exposure of any Lender that is the Swingline Lender shall be deemed to exclude any amount of its Swingline Exposure in excess of its Applicable Percentage of all outstanding Swingline Loans, adjusted to give effect to any reallocation under Section 2.22 of the Swingline Exposures of Defaulting Lenders in effect at such time, and the Unfunded Commitment of such Lender shall be determined on the basis of its Revolving Credit Exposure excluding such excess amount and (y) for the purpose of determining the Required Lenders needed for any waiver, amendment, modification or consent of or under this Agreement or any other Loan Document, any Lender that is the Borrower or an Affiliate of the Borrower shall be disregarded.</w:t>
      </w:r>
    </w:p>
    <w:p>
      <w:pPr>
        <w:spacing w:after="0" w:line="19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158"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84"/>
          </w:cols>
          <w:pgMar w:left="436" w:top="270" w:right="479" w:bottom="1440" w:gutter="0" w:footer="0" w:header="0"/>
        </w:sectPr>
      </w:pPr>
    </w:p>
    <w:bookmarkStart w:id="86" w:name="page87"/>
    <w:bookmarkEnd w:id="86"/>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means the president, a Financial Officer or other executive officer of the Borrower.</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Payment</w:t>
      </w:r>
      <w:r>
        <w:rPr>
          <w:rFonts w:ascii="Times New Roman" w:cs="Times New Roman" w:eastAsia="Times New Roman" w:hAnsi="Times New Roman"/>
          <w:sz w:val="18"/>
          <w:szCs w:val="18"/>
          <w:color w:val="auto"/>
        </w:rPr>
        <w:t>” means any dividend or other distribution (whether in cash, securities or other property) with respect to any Equity Interests in the Borrower or any Subsidiary, or any payment (whether in cash, securities or other property), including any sinking fund or similar deposit, on account of the purchase, redemption, retirement, acquisition, cancellation or termination of any such Equity Interests in the Borrower or any Subsidiary or any option, warrant or other right to acquire any such Equity Interests in the Borrower or any Subsidiary.</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Reuters</w:t>
      </w:r>
      <w:r>
        <w:rPr>
          <w:rFonts w:ascii="Times New Roman" w:cs="Times New Roman" w:eastAsia="Times New Roman" w:hAnsi="Times New Roman"/>
          <w:sz w:val="18"/>
          <w:szCs w:val="18"/>
          <w:color w:val="auto"/>
        </w:rPr>
        <w:t>” means, as applicable, Thomson Reuters Corp., Refinitiv, or any successor thereto.</w:t>
      </w:r>
    </w:p>
    <w:p>
      <w:pPr>
        <w:spacing w:after="0" w:line="225"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Exposure</w:t>
      </w:r>
      <w:r>
        <w:rPr>
          <w:rFonts w:ascii="Times New Roman" w:cs="Times New Roman" w:eastAsia="Times New Roman" w:hAnsi="Times New Roman"/>
          <w:sz w:val="18"/>
          <w:szCs w:val="18"/>
          <w:color w:val="auto"/>
        </w:rPr>
        <w:t>” means, with respect to any Lender at any time, the sum of the outstanding principal amount of such Lender’s Revolving Loans, its LC Exposure and its Swingline Exposure at such time.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Loan</w:t>
      </w:r>
      <w:r>
        <w:rPr>
          <w:rFonts w:ascii="Times New Roman" w:cs="Times New Roman" w:eastAsia="Times New Roman" w:hAnsi="Times New Roman"/>
          <w:sz w:val="18"/>
          <w:szCs w:val="18"/>
          <w:color w:val="auto"/>
        </w:rPr>
        <w:t>” means a Loan made pursuant to Section 2.01.</w:t>
      </w:r>
    </w:p>
    <w:p>
      <w:pPr>
        <w:spacing w:after="0" w:line="225" w:lineRule="exact"/>
        <w:rPr>
          <w:sz w:val="20"/>
          <w:szCs w:val="20"/>
          <w:color w:val="auto"/>
        </w:rPr>
      </w:pPr>
    </w:p>
    <w:p>
      <w:pPr>
        <w:ind w:right="12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RFR</w:t>
      </w:r>
      <w:r>
        <w:rPr>
          <w:rFonts w:ascii="Times New Roman" w:cs="Times New Roman" w:eastAsia="Times New Roman" w:hAnsi="Times New Roman"/>
          <w:sz w:val="18"/>
          <w:szCs w:val="18"/>
          <w:color w:val="auto"/>
        </w:rPr>
        <w:t>” means, for any RFR Loan denominated in (a) Pounds Sterling, SONIA, (b) Swiss Francs, SARON, (c) Dollars (solely following a Benchmark Transition Event and a Benchmark Replacement Date with respect to the Term SOFR Rate), Daily Simple SOFR and (d) Canadian Dollars (solely following a Benchmark Transition Event and a Benchmark Replacement Date with respect to Term CORRA), Daily Simple CORRA, and when used in reference to any Loan or Borrowing, means that such Loan, or the Loans comprising such Borrowing, bears interest at a rate determined by reference to the applicable Adjusted Daily Simple RFR.</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RFR Borrowing</w:t>
      </w:r>
      <w:r>
        <w:rPr>
          <w:rFonts w:ascii="Times New Roman" w:cs="Times New Roman" w:eastAsia="Times New Roman" w:hAnsi="Times New Roman"/>
          <w:sz w:val="18"/>
          <w:szCs w:val="18"/>
          <w:color w:val="auto"/>
        </w:rPr>
        <w:t>” means, as to any Borrowing, the RFR Loans comprising such Borrowing.</w:t>
      </w:r>
    </w:p>
    <w:p>
      <w:pPr>
        <w:spacing w:after="0" w:line="225"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RFR Business Day</w:t>
      </w:r>
      <w:r>
        <w:rPr>
          <w:rFonts w:ascii="Times New Roman" w:cs="Times New Roman" w:eastAsia="Times New Roman" w:hAnsi="Times New Roman"/>
          <w:sz w:val="18"/>
          <w:szCs w:val="18"/>
          <w:color w:val="auto"/>
        </w:rPr>
        <w:t>” means, for any Loan denominated in (a) Pounds Sterling, any day except for (i) a Saturday, (ii) a Sunday or (iii) a day on which banks are closed for general business in London, (b) Swiss Francs, any day except for (i) a Saturday, (ii) a Sunday or (iii) a day on which banks are closed for the settlement of payments and foreign exchange transactions in Zurich, (c) Dollars, a U.S. Government Securities Business Day and (d) Canadian Dollars, any day except for (i) a Saturday, (ii) a Sunday or (iii) a day on which commercial banks in Toronto are authorized or required by law to remain closed.</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RFR Interest Day</w:t>
      </w:r>
      <w:r>
        <w:rPr>
          <w:rFonts w:ascii="Times New Roman" w:cs="Times New Roman" w:eastAsia="Times New Roman" w:hAnsi="Times New Roman"/>
          <w:sz w:val="18"/>
          <w:szCs w:val="18"/>
          <w:color w:val="auto"/>
        </w:rPr>
        <w:t>” has the meaning specified in the definition of “Daily Simple RFR”.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RFR Loan</w:t>
      </w:r>
      <w:r>
        <w:rPr>
          <w:rFonts w:ascii="Times New Roman" w:cs="Times New Roman" w:eastAsia="Times New Roman" w:hAnsi="Times New Roman"/>
          <w:sz w:val="18"/>
          <w:szCs w:val="18"/>
          <w:color w:val="auto"/>
        </w:rPr>
        <w:t>” means a Loan that bears interest at a rate based on the Adjusted Daily Simple RFR.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Standard &amp; Poor’s Rating Services, a Standard &amp; Poor’s Financial Services LLC business.</w:t>
      </w:r>
    </w:p>
    <w:p>
      <w:pPr>
        <w:spacing w:after="0" w:line="225"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means, at any time, a country, region or territory which is itself the subject or target of any Sanctions (at the time of this Agreement, the so-called Donetsk People’s Republic, the so-called Luhansk People’s Republic, the Crimea Region of Ukraine, Cuba, Iran and North Korea).</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70" w:right="459" w:bottom="1440" w:gutter="0" w:footer="0" w:header="0"/>
        </w:sectPr>
      </w:pPr>
    </w:p>
    <w:bookmarkStart w:id="87" w:name="page88"/>
    <w:bookmarkEnd w:id="87"/>
    <w:p>
      <w:pPr>
        <w:ind w:right="140" w:firstLine="991"/>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Sanctioned Person</w:t>
      </w:r>
      <w:r>
        <w:rPr>
          <w:rFonts w:ascii="Times New Roman" w:cs="Times New Roman" w:eastAsia="Times New Roman" w:hAnsi="Times New Roman"/>
          <w:sz w:val="17"/>
          <w:szCs w:val="17"/>
          <w:color w:val="auto"/>
        </w:rPr>
        <w:t>” means, at any time, any Person subject or target of any Sanctions, including (a) any Person listed in any Sanctions-related list of designated Persons maintained by the U.S. government, including by OFAC, the U.S. Department of State, the U.S. Department of Commerce, the United Nations Security Council, the European Union, any European Union member state, His Majesty’s Treasury of the United Kingdom or other relevant sanctions authority, (b) any Person operating, organized or resident in a Sanctioned Country, or (c) any Person owned or controlled by any such Person or Persons described in the foregoing clauses (a) or (b) (including, without limitation for purposes of defining a Sanctioned Person, as ownership and control may be defined and/or established in and/or by any applicable laws, rules, regulations, or orders).</w:t>
      </w:r>
    </w:p>
    <w:p>
      <w:pPr>
        <w:spacing w:after="0" w:line="173" w:lineRule="exact"/>
        <w:rPr>
          <w:sz w:val="20"/>
          <w:szCs w:val="20"/>
          <w:color w:val="auto"/>
        </w:rPr>
      </w:pPr>
    </w:p>
    <w:p>
      <w:pPr>
        <w:ind w:right="60" w:firstLine="991"/>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Sanctions</w:t>
      </w:r>
      <w:r>
        <w:rPr>
          <w:rFonts w:ascii="Times New Roman" w:cs="Times New Roman" w:eastAsia="Times New Roman" w:hAnsi="Times New Roman"/>
          <w:sz w:val="17"/>
          <w:szCs w:val="17"/>
          <w:color w:val="auto"/>
        </w:rPr>
        <w:t>” means all economic or financial sanctions, trade embargoes or similar restrictions imposed, administered or enforced from time to time by (a) the U.S. government, including those administered by OFAC or the U.S. Department of State or (b) the United Nations Security Council, the European Union, any European Union member state, His Majesty’s Treasury of the United Kingdom or other relevant sanctions authority.</w:t>
      </w:r>
    </w:p>
    <w:p>
      <w:pPr>
        <w:spacing w:after="0" w:line="158"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SARON</w:t>
      </w:r>
      <w:r>
        <w:rPr>
          <w:rFonts w:ascii="Times New Roman" w:cs="Times New Roman" w:eastAsia="Times New Roman" w:hAnsi="Times New Roman"/>
          <w:sz w:val="18"/>
          <w:szCs w:val="18"/>
          <w:color w:val="auto"/>
        </w:rPr>
        <w:t>” means, with respect to any Business Day, a rate per annum equal to the Swiss Average Rate Overnight for such Business Day published by the SARON Administrator on the SARON Administrator’s Website.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SARON Administrator</w:t>
      </w:r>
      <w:r>
        <w:rPr>
          <w:rFonts w:ascii="Times New Roman" w:cs="Times New Roman" w:eastAsia="Times New Roman" w:hAnsi="Times New Roman"/>
          <w:sz w:val="18"/>
          <w:szCs w:val="18"/>
          <w:color w:val="auto"/>
        </w:rPr>
        <w:t>” means the SIX Swiss Exchange AG (or any successor administrator of the Swiss Average Rate Overnight).</w:t>
      </w:r>
    </w:p>
    <w:p>
      <w:pPr>
        <w:spacing w:after="0" w:line="225"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SARON Administrator’s Website</w:t>
      </w:r>
      <w:r>
        <w:rPr>
          <w:rFonts w:ascii="Times New Roman" w:cs="Times New Roman" w:eastAsia="Times New Roman" w:hAnsi="Times New Roman"/>
          <w:sz w:val="18"/>
          <w:szCs w:val="18"/>
          <w:color w:val="auto"/>
        </w:rPr>
        <w:t>” means SIX Swiss Exchange AG’s website, currently at https://www.six-group.com, or any successor source for the Swiss Average Rate Overnight identified as such by the SARON Administrator from time to time.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 of the United States of America.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United States Securities Act of 1933.</w:t>
      </w:r>
    </w:p>
    <w:p>
      <w:pPr>
        <w:spacing w:after="0" w:line="225" w:lineRule="exact"/>
        <w:rPr>
          <w:sz w:val="20"/>
          <w:szCs w:val="20"/>
          <w:color w:val="auto"/>
        </w:rPr>
      </w:pPr>
    </w:p>
    <w:p>
      <w:pPr>
        <w:ind w:firstLine="991"/>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Single Employer Plan</w:t>
      </w:r>
      <w:r>
        <w:rPr>
          <w:rFonts w:ascii="Times New Roman" w:cs="Times New Roman" w:eastAsia="Times New Roman" w:hAnsi="Times New Roman"/>
          <w:sz w:val="17"/>
          <w:szCs w:val="17"/>
          <w:color w:val="auto"/>
        </w:rPr>
        <w:t>” means a single employer plan, as defined in Section 4001(a)(15) of ERISA, that (a) is maintained for employees of the Borrower or any ERISA Affiliate and no Person other than the Borrower and the ERISA Affiliates or (b) was so maintained and in respect of which the Borrower or any ERISA Affiliate could have liability under Section 4069 of ERISA in the event such plan has been or were to be terminated.</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means a rate equal to the secured overnight financing rate as administered by the SOFR Administrator.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w:t>
      </w:r>
      <w:r>
        <w:rPr>
          <w:rFonts w:ascii="Times New Roman" w:cs="Times New Roman" w:eastAsia="Times New Roman" w:hAnsi="Times New Roman"/>
          <w:sz w:val="18"/>
          <w:szCs w:val="18"/>
          <w:color w:val="auto"/>
        </w:rPr>
        <w:t>” means the NYFRB (or a successor administrator of the secured overnight financing rate).</w:t>
      </w:r>
    </w:p>
    <w:p>
      <w:pPr>
        <w:spacing w:after="0" w:line="225"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Administrator’s Website</w:t>
      </w:r>
      <w:r>
        <w:rPr>
          <w:rFonts w:ascii="Times New Roman" w:cs="Times New Roman" w:eastAsia="Times New Roman" w:hAnsi="Times New Roman"/>
          <w:sz w:val="18"/>
          <w:szCs w:val="18"/>
          <w:color w:val="auto"/>
        </w:rPr>
        <w:t>” means the NYFRB’s Website, currently at http://www.newyorkfed.org, or any successor source for the secured overnight financing rate identified as such by the SOFR Administrator from time to time.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Determination Date</w:t>
      </w:r>
      <w:r>
        <w:rPr>
          <w:rFonts w:ascii="Times New Roman" w:cs="Times New Roman" w:eastAsia="Times New Roman" w:hAnsi="Times New Roman"/>
          <w:sz w:val="18"/>
          <w:szCs w:val="18"/>
          <w:color w:val="auto"/>
        </w:rPr>
        <w:t>” has the meaning specified in the definition of “Daily Simple SOFR”.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Rate Day</w:t>
      </w:r>
      <w:r>
        <w:rPr>
          <w:rFonts w:ascii="Times New Roman" w:cs="Times New Roman" w:eastAsia="Times New Roman" w:hAnsi="Times New Roman"/>
          <w:sz w:val="18"/>
          <w:szCs w:val="18"/>
          <w:color w:val="auto"/>
        </w:rPr>
        <w:t>” has the meaning specified in the definition of “Daily Simple SOFR”.</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20"/>
          </w:cols>
          <w:pgMar w:left="440" w:top="270" w:right="539" w:bottom="1440" w:gutter="0" w:footer="0" w:header="0"/>
        </w:sectPr>
      </w:pPr>
    </w:p>
    <w:bookmarkStart w:id="88" w:name="page89"/>
    <w:bookmarkEnd w:id="88"/>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SONIA</w:t>
      </w:r>
      <w:r>
        <w:rPr>
          <w:rFonts w:ascii="Times New Roman" w:cs="Times New Roman" w:eastAsia="Times New Roman" w:hAnsi="Times New Roman"/>
          <w:sz w:val="18"/>
          <w:szCs w:val="18"/>
          <w:color w:val="auto"/>
        </w:rPr>
        <w:t>” means, with respect to any Business Day, a rate per annum equal to the Sterling Overnight Index Average for such Business Day published by the SONIA Administrator on the SONIA Administrator’s Website on the immediately succeeding Business Day.</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SONIA Administrator</w:t>
      </w:r>
      <w:r>
        <w:rPr>
          <w:rFonts w:ascii="Times New Roman" w:cs="Times New Roman" w:eastAsia="Times New Roman" w:hAnsi="Times New Roman"/>
          <w:sz w:val="18"/>
          <w:szCs w:val="18"/>
          <w:color w:val="auto"/>
        </w:rPr>
        <w:t>” means the Bank of England (or any successor administrator of the Sterling Overnight Index Average).</w:t>
      </w:r>
    </w:p>
    <w:p>
      <w:pPr>
        <w:spacing w:after="0" w:line="225"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SONIA Administrator’s Website</w:t>
      </w:r>
      <w:r>
        <w:rPr>
          <w:rFonts w:ascii="Times New Roman" w:cs="Times New Roman" w:eastAsia="Times New Roman" w:hAnsi="Times New Roman"/>
          <w:sz w:val="18"/>
          <w:szCs w:val="18"/>
          <w:color w:val="auto"/>
        </w:rPr>
        <w:t>” means the Bank of England’s website, currently at http://www.bankofengland.co.uk, or any successor source for the Sterling Overnight Index Average identified as such by the SONIA Administrator from time to time.</w:t>
      </w:r>
    </w:p>
    <w:p>
      <w:pPr>
        <w:spacing w:after="0" w:line="162"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Statutory Reserve Rate</w:t>
      </w:r>
      <w:r>
        <w:rPr>
          <w:rFonts w:ascii="Times New Roman" w:cs="Times New Roman" w:eastAsia="Times New Roman" w:hAnsi="Times New Roman"/>
          <w:sz w:val="18"/>
          <w:szCs w:val="18"/>
          <w:color w:val="auto"/>
        </w:rPr>
        <w:t>” means a fraction (expressed as a decimal), the numerator of which is the number one and the denominator of which is the number one minus the aggregate of the maximum reserve percentage (including any marginal, special, emergency or supplemental reserves) expressed as a decimal established by the Federal Reserve Board to which the Administrative Agent is subject with respect to the Adjusted EURIBO Rate or the Adjusted TIBO Rate, as applicable, for eurocurrency funding (currently referred to as “Eurocurrency liabilities” in Regulation D) or any other reserve ratio or analogous requirement of any central banking or financial regulatory authority imposed in respect of the maintenance of the Commitments or the funding of the Loans. Such reserve percentage shall include those imposed pursuant to Regulation D. Term Benchmark Loans for which the associated Benchmark is adjusted by reference to the Statutory Reserve Rate (per the related definition of such Benchmark) shall be deemed to constitute eurocurrency funding and to be subject to such reserve requirements without benefit of or credit for proration, exemptions or offsets that may be available from time to time to any Lender under Regulation D or any comparable regulation. The Statutory Reserve Rate shall be adjusted automatically on and as of the effective date of any change in any reserve percentage.</w:t>
      </w:r>
    </w:p>
    <w:p>
      <w:pPr>
        <w:spacing w:after="0" w:line="194" w:lineRule="exact"/>
        <w:rPr>
          <w:sz w:val="20"/>
          <w:szCs w:val="20"/>
          <w:color w:val="auto"/>
        </w:rPr>
      </w:pPr>
    </w:p>
    <w:p>
      <w:pPr>
        <w:ind w:right="7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Subordinated Debt</w:t>
      </w:r>
      <w:r>
        <w:rPr>
          <w:rFonts w:ascii="Times New Roman" w:cs="Times New Roman" w:eastAsia="Times New Roman" w:hAnsi="Times New Roman"/>
          <w:sz w:val="18"/>
          <w:szCs w:val="18"/>
          <w:color w:val="auto"/>
        </w:rPr>
        <w:t>” means any Debt of the Borrower or any Subsidiary the payment of which is subordinated to payment of the obligations under the Loan Documents.</w:t>
      </w:r>
    </w:p>
    <w:p>
      <w:pPr>
        <w:spacing w:after="0" w:line="162" w:lineRule="exact"/>
        <w:rPr>
          <w:sz w:val="20"/>
          <w:szCs w:val="20"/>
          <w:color w:val="auto"/>
        </w:rPr>
      </w:pPr>
    </w:p>
    <w:p>
      <w:pPr>
        <w:ind w:right="120" w:firstLine="991"/>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Subsidiary</w:t>
      </w:r>
      <w:r>
        <w:rPr>
          <w:rFonts w:ascii="Times New Roman" w:cs="Times New Roman" w:eastAsia="Times New Roman" w:hAnsi="Times New Roman"/>
          <w:sz w:val="17"/>
          <w:szCs w:val="17"/>
          <w:color w:val="auto"/>
        </w:rPr>
        <w:t>” of any Person means any corporation, partnership, joint venture, limited liability company, trust or estate, or any other entity (whether or not existing as at the date hereof) of which (or in which) more than 50% of (a) the issued and outstanding capital stock having ordinary voting power to elect a majority of the Board of Directors of such corporation (irrespective of whether at the time capital stock of any other class or classes of such corporation shall or might have voting power upon the occurrence of any contingency), (b) the interest in the capital or profits of such limited liability company, partnership, joint venture or other entity or the beneficial interest in such trust or estate is at the time directly or indirectly owned or controlled by such Person, by such Person and one or more of its other Subsidiaries or by one or more of such Person’s other Subsidiaries.</w:t>
      </w:r>
    </w:p>
    <w:p>
      <w:pPr>
        <w:spacing w:after="0" w:line="17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has the meaning assigned to it in Section 9.17.</w:t>
      </w:r>
    </w:p>
    <w:p>
      <w:pPr>
        <w:spacing w:after="0" w:line="225" w:lineRule="exact"/>
        <w:rPr>
          <w:sz w:val="20"/>
          <w:szCs w:val="20"/>
          <w:color w:val="auto"/>
        </w:rPr>
      </w:pPr>
    </w:p>
    <w:p>
      <w:pPr>
        <w:ind w:right="8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Exposure</w:t>
      </w:r>
      <w:r>
        <w:rPr>
          <w:rFonts w:ascii="Times New Roman" w:cs="Times New Roman" w:eastAsia="Times New Roman" w:hAnsi="Times New Roman"/>
          <w:sz w:val="18"/>
          <w:szCs w:val="18"/>
          <w:color w:val="auto"/>
        </w:rPr>
        <w:t>” means, at any time, the aggregate principal amount of all Swingline Loans outstanding at such time. The Swingline Exposure of any Lender at any time shall be the sum of (a) its Applicable Percentage of the aggregate principal amount of all Swingline Loans outstanding at such time (excluding, in the case of any Lender that is a Swingline Lender, Swingline Loans made by it that are outstanding at such time to the extent that the other Lenders shall not have funded their participations in such Swingline Loans), adjusted to give effect to any reallocation under Section 2.22 of the Swingline Exposure of Defaulting Lenders in effect at such time, and (b) in the case of any Lender that is a Swingline Lender, the aggregate principal amount of all Swingline Loans made by such Lender outstanding at such time, less the amount of participations funded by the other Lenders in such Swingline Loans.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20"/>
          </w:cols>
          <w:pgMar w:left="440" w:top="270" w:right="439" w:bottom="1440" w:gutter="0" w:footer="0" w:header="0"/>
        </w:sectPr>
      </w:pPr>
    </w:p>
    <w:bookmarkStart w:id="89" w:name="page90"/>
    <w:bookmarkEnd w:id="89"/>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Swingline Lender</w:t>
      </w:r>
      <w:r>
        <w:rPr>
          <w:rFonts w:ascii="Times New Roman" w:cs="Times New Roman" w:eastAsia="Times New Roman" w:hAnsi="Times New Roman"/>
          <w:sz w:val="18"/>
          <w:szCs w:val="18"/>
          <w:color w:val="auto"/>
        </w:rPr>
        <w:t>” means JPMorgan Chase Bank, N.A. (or any of its designated branch offices or affiliates), in its capacity as the lender of Swingline Loans hereunder.</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Loan</w:t>
      </w:r>
      <w:r>
        <w:rPr>
          <w:rFonts w:ascii="Times New Roman" w:cs="Times New Roman" w:eastAsia="Times New Roman" w:hAnsi="Times New Roman"/>
          <w:sz w:val="18"/>
          <w:szCs w:val="18"/>
          <w:color w:val="auto"/>
        </w:rPr>
        <w:t>” means a Loan made pursuant to Section 2.05.</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Sublimit</w:t>
      </w:r>
      <w:r>
        <w:rPr>
          <w:rFonts w:ascii="Times New Roman" w:cs="Times New Roman" w:eastAsia="Times New Roman" w:hAnsi="Times New Roman"/>
          <w:sz w:val="18"/>
          <w:szCs w:val="18"/>
          <w:color w:val="auto"/>
        </w:rPr>
        <w:t>” means $50,000,000.</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Swiss Francs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CHF</w:t>
      </w:r>
      <w:r>
        <w:rPr>
          <w:rFonts w:ascii="Times New Roman" w:cs="Times New Roman" w:eastAsia="Times New Roman" w:hAnsi="Times New Roman"/>
          <w:sz w:val="18"/>
          <w:szCs w:val="18"/>
          <w:color w:val="auto"/>
        </w:rPr>
        <w:t>” means the lawful currency of Switzerland.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T2</w:t>
      </w:r>
      <w:r>
        <w:rPr>
          <w:rFonts w:ascii="Times New Roman" w:cs="Times New Roman" w:eastAsia="Times New Roman" w:hAnsi="Times New Roman"/>
          <w:sz w:val="18"/>
          <w:szCs w:val="18"/>
          <w:color w:val="auto"/>
        </w:rPr>
        <w:t>” means the real time gross settlement system operated by the Eurosystem, or any successor system.</w:t>
      </w:r>
    </w:p>
    <w:p>
      <w:pPr>
        <w:spacing w:after="0" w:line="225" w:lineRule="exact"/>
        <w:rPr>
          <w:sz w:val="20"/>
          <w:szCs w:val="20"/>
          <w:color w:val="auto"/>
        </w:rPr>
      </w:pPr>
    </w:p>
    <w:p>
      <w:pPr>
        <w:ind w:right="8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 Day</w:t>
      </w:r>
      <w:r>
        <w:rPr>
          <w:rFonts w:ascii="Times New Roman" w:cs="Times New Roman" w:eastAsia="Times New Roman" w:hAnsi="Times New Roman"/>
          <w:sz w:val="18"/>
          <w:szCs w:val="18"/>
          <w:color w:val="auto"/>
        </w:rPr>
        <w:t>” means any day on which T2 (or, if such payment system ceases to be operative, such other payment system, if any, determined by the Administrative Agent to be a suitable replacement) is open for the settlement of payments in euro.</w:t>
      </w:r>
    </w:p>
    <w:p>
      <w:pPr>
        <w:spacing w:after="0" w:line="162" w:lineRule="exact"/>
        <w:rPr>
          <w:sz w:val="20"/>
          <w:szCs w:val="20"/>
          <w:color w:val="auto"/>
        </w:rPr>
      </w:pPr>
    </w:p>
    <w:p>
      <w:pPr>
        <w:ind w:right="2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all present or future taxes, levies, imposts, duties, deductions, withholdings (including backup withholding), value added taxes, or any other goods and services, use or sales taxes, assessments, fees or other charges imposed by any Governmental Authority, including any interest, additions to tax or penalties applicable thereto.</w:t>
      </w:r>
    </w:p>
    <w:p>
      <w:pPr>
        <w:spacing w:after="0" w:line="176" w:lineRule="exact"/>
        <w:rPr>
          <w:sz w:val="20"/>
          <w:szCs w:val="20"/>
          <w:color w:val="auto"/>
        </w:rPr>
      </w:pPr>
    </w:p>
    <w:p>
      <w:pPr>
        <w:jc w:val="both"/>
        <w:ind w:right="1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Benchmark</w:t>
      </w:r>
      <w:r>
        <w:rPr>
          <w:rFonts w:ascii="Times New Roman" w:cs="Times New Roman" w:eastAsia="Times New Roman" w:hAnsi="Times New Roman"/>
          <w:sz w:val="18"/>
          <w:szCs w:val="18"/>
          <w:color w:val="auto"/>
        </w:rPr>
        <w:t>”, when used in reference to any Loan or Borrowing, means that such Loan, or the Loans comprising such Borrowing, bears interest at a rate determined by reference to the Adjusted Term SOFR Rate, the Adjusted EURIBO Rate, the Adjusted TIBO Rate or the Adjusted Term CORRA Rate.</w:t>
      </w:r>
    </w:p>
    <w:p>
      <w:pPr>
        <w:spacing w:after="0" w:line="176" w:lineRule="exact"/>
        <w:rPr>
          <w:sz w:val="20"/>
          <w:szCs w:val="20"/>
          <w:color w:val="auto"/>
        </w:rPr>
      </w:pPr>
    </w:p>
    <w:p>
      <w:pPr>
        <w:ind w:right="40" w:firstLine="991"/>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Term CORRA</w:t>
      </w:r>
      <w:r>
        <w:rPr>
          <w:rFonts w:ascii="Times New Roman" w:cs="Times New Roman" w:eastAsia="Times New Roman" w:hAnsi="Times New Roman"/>
          <w:sz w:val="17"/>
          <w:szCs w:val="17"/>
          <w:color w:val="auto"/>
        </w:rPr>
        <w:t>” means, for any calculation with respect to any Term Benchmark Borrowing denominated in Canadian Dollars, the Term CORRA Reference Rate for a tenor comparable to the applicable Interest Period on the day (such day, the “</w:t>
      </w:r>
      <w:r>
        <w:rPr>
          <w:rFonts w:ascii="Times New Roman" w:cs="Times New Roman" w:eastAsia="Times New Roman" w:hAnsi="Times New Roman"/>
          <w:sz w:val="17"/>
          <w:szCs w:val="17"/>
          <w:u w:val="single" w:color="auto"/>
          <w:color w:val="auto"/>
        </w:rPr>
        <w:t>Periodic Term CORRA Determination Day</w:t>
      </w:r>
      <w:r>
        <w:rPr>
          <w:rFonts w:ascii="Times New Roman" w:cs="Times New Roman" w:eastAsia="Times New Roman" w:hAnsi="Times New Roman"/>
          <w:sz w:val="17"/>
          <w:szCs w:val="17"/>
          <w:color w:val="auto"/>
        </w:rPr>
        <w:t xml:space="preserve">”) that is two (2) Business Days prior to the first day of such Interest Period, as such rate is published by the Term CORRA Administrator;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if as of 1:00 p.m. (Toronto time) on any Periodic Term CORRA Determination Day the Term CORRA Reference Rate for the applicable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tenor has not been published by the Term CORRA Administrator and a Benchmark Replacement Date with respect to the Term CORRA Reference Rate has not occurred, then Term CORRA will be the Term CORRA Reference Rate for such tenor as published by the Term CORRA Administrator on the first preceding Business Day for which such Term CORRA Reference Rate for such tenor was published by the Term CORRA Administrator so long as such first preceding Business Day is not more than five (5) Business Days prior to such Periodic Term CORRA Determination Day.</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CORRA Administrator</w:t>
      </w:r>
      <w:r>
        <w:rPr>
          <w:rFonts w:ascii="Times New Roman" w:cs="Times New Roman" w:eastAsia="Times New Roman" w:hAnsi="Times New Roman"/>
          <w:sz w:val="18"/>
          <w:szCs w:val="18"/>
          <w:color w:val="auto"/>
        </w:rPr>
        <w:t>” means Candeal Benchmark Administration Services Inc., TSX Inc., or any successor administrator.</w:t>
      </w:r>
    </w:p>
    <w:p>
      <w:pPr>
        <w:spacing w:after="0" w:line="225"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CORRA Notice</w:t>
      </w:r>
      <w:r>
        <w:rPr>
          <w:rFonts w:ascii="Times New Roman" w:cs="Times New Roman" w:eastAsia="Times New Roman" w:hAnsi="Times New Roman"/>
          <w:sz w:val="18"/>
          <w:szCs w:val="18"/>
          <w:color w:val="auto"/>
        </w:rPr>
        <w:t>” means a notification by the Administrative Agent to the Lenders and the Borrower of the occurrence of a Term CORRA Reelection Event.</w:t>
      </w:r>
    </w:p>
    <w:p>
      <w:pPr>
        <w:spacing w:after="0" w:line="162"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CORRA Reelection Event</w:t>
      </w:r>
      <w:r>
        <w:rPr>
          <w:rFonts w:ascii="Times New Roman" w:cs="Times New Roman" w:eastAsia="Times New Roman" w:hAnsi="Times New Roman"/>
          <w:sz w:val="18"/>
          <w:szCs w:val="18"/>
          <w:color w:val="auto"/>
        </w:rPr>
        <w:t>” means the determination by the Administrative Agent that (a) Term CORRA has been recommended for use by the Relevant Governmental Body, (b) the administration of Term CORRA is administratively feasible for the Administrative Agent and (c) a Benchmark Transition Event has previously occurred resulting in a Benchmark Replacement in accordance with Section 2.14(b) that is not Term CORRA.</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20"/>
          </w:cols>
          <w:pgMar w:left="440" w:top="270" w:right="439" w:bottom="1440" w:gutter="0" w:footer="0" w:header="0"/>
        </w:sectPr>
      </w:pPr>
    </w:p>
    <w:bookmarkStart w:id="90" w:name="page91"/>
    <w:bookmarkEnd w:id="90"/>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Term CORRA Reference Rate</w:t>
      </w:r>
      <w:r>
        <w:rPr>
          <w:rFonts w:ascii="Times New Roman" w:cs="Times New Roman" w:eastAsia="Times New Roman" w:hAnsi="Times New Roman"/>
          <w:sz w:val="18"/>
          <w:szCs w:val="18"/>
          <w:color w:val="auto"/>
        </w:rPr>
        <w:t>” means the forward-looking term rate based on CORRA.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Determination Day</w:t>
      </w:r>
      <w:r>
        <w:rPr>
          <w:rFonts w:ascii="Times New Roman" w:cs="Times New Roman" w:eastAsia="Times New Roman" w:hAnsi="Times New Roman"/>
          <w:sz w:val="18"/>
          <w:szCs w:val="18"/>
          <w:color w:val="auto"/>
        </w:rPr>
        <w:t>” has the meaning assigned to it under the definition of Term SOFR Reference Rate.</w:t>
      </w:r>
    </w:p>
    <w:p>
      <w:pPr>
        <w:spacing w:after="0" w:line="225" w:lineRule="exact"/>
        <w:rPr>
          <w:sz w:val="20"/>
          <w:szCs w:val="20"/>
          <w:color w:val="auto"/>
        </w:rPr>
      </w:pPr>
    </w:p>
    <w:p>
      <w:pPr>
        <w:ind w:right="40" w:firstLine="991"/>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Term SOFR Rate</w:t>
      </w:r>
      <w:r>
        <w:rPr>
          <w:rFonts w:ascii="Times New Roman" w:cs="Times New Roman" w:eastAsia="Times New Roman" w:hAnsi="Times New Roman"/>
          <w:sz w:val="17"/>
          <w:szCs w:val="17"/>
          <w:color w:val="auto"/>
        </w:rPr>
        <w:t>” means, with respect to any Term Benchmark Borrowing denominated in Dollars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w:t>
      </w:r>
    </w:p>
    <w:p>
      <w:pPr>
        <w:spacing w:after="0" w:line="158"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Reference Rate</w:t>
      </w:r>
      <w:r>
        <w:rPr>
          <w:rFonts w:ascii="Times New Roman" w:cs="Times New Roman" w:eastAsia="Times New Roman" w:hAnsi="Times New Roman"/>
          <w:sz w:val="18"/>
          <w:szCs w:val="18"/>
          <w:color w:val="auto"/>
        </w:rPr>
        <w:t>” means, for any day and time (such day, the “</w:t>
      </w:r>
      <w:r>
        <w:rPr>
          <w:rFonts w:ascii="Times New Roman" w:cs="Times New Roman" w:eastAsia="Times New Roman" w:hAnsi="Times New Roman"/>
          <w:sz w:val="18"/>
          <w:szCs w:val="18"/>
          <w:u w:val="single" w:color="auto"/>
          <w:color w:val="auto"/>
        </w:rPr>
        <w:t>Term SOFR Determination Day</w:t>
      </w:r>
      <w:r>
        <w:rPr>
          <w:rFonts w:ascii="Times New Roman" w:cs="Times New Roman" w:eastAsia="Times New Roman" w:hAnsi="Times New Roman"/>
          <w:sz w:val="18"/>
          <w:szCs w:val="18"/>
          <w:color w:val="auto"/>
        </w:rPr>
        <w:t>”), with respect to any Term Benchmark Borrowing denominated in Dollars and for any tenor comparable to the applicable Interest Period, the rate per annum published by the CME Term SOFR Administrator and identified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 (5) U.S. Government Securities Business Days prior to such Term SOFR Determination Day.</w:t>
      </w:r>
    </w:p>
    <w:p>
      <w:pPr>
        <w:spacing w:after="0" w:line="188"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TIBO Rate</w:t>
      </w:r>
      <w:r>
        <w:rPr>
          <w:rFonts w:ascii="Times New Roman" w:cs="Times New Roman" w:eastAsia="Times New Roman" w:hAnsi="Times New Roman"/>
          <w:sz w:val="18"/>
          <w:szCs w:val="18"/>
          <w:color w:val="auto"/>
        </w:rPr>
        <w:t>” means, with respect to any Term Benchmark Borrowing denominated in Japanese Yen and for any Interest Period, the TIBO Screen Rate two (2) Business Days prior to the commencement of such Interest Period.</w:t>
      </w:r>
    </w:p>
    <w:p>
      <w:pPr>
        <w:spacing w:after="0" w:line="162" w:lineRule="exact"/>
        <w:rPr>
          <w:sz w:val="20"/>
          <w:szCs w:val="20"/>
          <w:color w:val="auto"/>
        </w:rPr>
      </w:pPr>
    </w:p>
    <w:p>
      <w:pPr>
        <w:ind w:right="60" w:firstLine="991"/>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TIBO Screen Rate</w:t>
      </w:r>
      <w:r>
        <w:rPr>
          <w:rFonts w:ascii="Times New Roman" w:cs="Times New Roman" w:eastAsia="Times New Roman" w:hAnsi="Times New Roman"/>
          <w:sz w:val="17"/>
          <w:szCs w:val="17"/>
          <w:color w:val="auto"/>
        </w:rPr>
        <w:t>” means the Tokyo interbank offered rate administered by the Ippan Shadan Hojin JBA TIBOR Administration (or any other person which takes over the administration of that rate) for the relevant currency and period displayed on page DTIBOR01 of the Reuters screen (or, in the event such rate does not appear on such Reuters page or screen, on any successor or substitute page on such screen that displays such rate, or on the appropriate page of such other information service that publishes such rate as selected by the Administrative Agent from time to time in its reasonable discretion) as published at approximately 1:00 p.m., Japan time, two (2) Business Days prior to the commencement of such Interest Period.</w:t>
      </w:r>
    </w:p>
    <w:p>
      <w:pPr>
        <w:spacing w:after="0" w:line="168" w:lineRule="exact"/>
        <w:rPr>
          <w:sz w:val="20"/>
          <w:szCs w:val="20"/>
          <w:color w:val="auto"/>
        </w:rPr>
      </w:pPr>
    </w:p>
    <w:p>
      <w:pPr>
        <w:ind w:right="5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Revolving Credit Exposure</w:t>
      </w:r>
      <w:r>
        <w:rPr>
          <w:rFonts w:ascii="Times New Roman" w:cs="Times New Roman" w:eastAsia="Times New Roman" w:hAnsi="Times New Roman"/>
          <w:sz w:val="18"/>
          <w:szCs w:val="18"/>
          <w:color w:val="auto"/>
        </w:rPr>
        <w:t>” means, at any time, the sum of (a) the outstanding principal amount of the Revolving Loans and Swingline Loans at such time and (b) the total LC Exposure at such time.</w:t>
      </w:r>
    </w:p>
    <w:p>
      <w:pPr>
        <w:spacing w:after="0" w:line="162" w:lineRule="exact"/>
        <w:rPr>
          <w:sz w:val="20"/>
          <w:szCs w:val="20"/>
          <w:color w:val="auto"/>
        </w:rPr>
      </w:pPr>
    </w:p>
    <w:p>
      <w:pPr>
        <w:ind w:right="3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the execution, delivery and performance by the Borrower of this Agreement and the other Loan Documents, the borrowing of Loans and other credit extensions, the use of the proceeds thereof and the issuance of Letters of Credit hereunder.</w:t>
      </w:r>
    </w:p>
    <w:p>
      <w:pPr>
        <w:spacing w:after="0" w:line="162" w:lineRule="exact"/>
        <w:rPr>
          <w:sz w:val="20"/>
          <w:szCs w:val="20"/>
          <w:color w:val="auto"/>
        </w:rPr>
      </w:pPr>
    </w:p>
    <w:p>
      <w:pPr>
        <w:jc w:val="both"/>
        <w:ind w:right="40" w:firstLine="991"/>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Type</w:t>
      </w:r>
      <w:r>
        <w:rPr>
          <w:rFonts w:ascii="Times New Roman" w:cs="Times New Roman" w:eastAsia="Times New Roman" w:hAnsi="Times New Roman"/>
          <w:sz w:val="17"/>
          <w:szCs w:val="17"/>
          <w:color w:val="auto"/>
        </w:rPr>
        <w:t>”, when used in reference to any Loan or Borrowing, refers to whether the rate of interest on such Loan, or on the Loans comprising such Borrowing, is determined by reference to the Adjusted Term SOFR Rate, the Adjusted EURIBO Rate, the Adjusted TIBO Rate, the Adjusted Term CORRA Rate, the Adjusted Daily Simple RFR, the Alternate Base Rate, the Japanese Prime Rate, the Canadian Prime Rate or the Central Bank Rate.</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440" w:top="270" w:right="459" w:bottom="1440" w:gutter="0" w:footer="0" w:header="0"/>
        </w:sectPr>
      </w:pPr>
    </w:p>
    <w:bookmarkStart w:id="91" w:name="page92"/>
    <w:bookmarkEnd w:id="91"/>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UK Financial Institution</w:t>
      </w:r>
      <w:r>
        <w:rPr>
          <w:rFonts w:ascii="Times New Roman" w:cs="Times New Roman" w:eastAsia="Times New Roman" w:hAnsi="Times New Roman"/>
          <w:sz w:val="18"/>
          <w:szCs w:val="18"/>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0" w:lineRule="exact"/>
        <w:rPr>
          <w:sz w:val="20"/>
          <w:szCs w:val="20"/>
          <w:color w:val="auto"/>
        </w:rPr>
      </w:pPr>
    </w:p>
    <w:p>
      <w:pPr>
        <w:ind w:right="7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Unadjusted Benchmark Replacement</w:t>
      </w:r>
      <w:r>
        <w:rPr>
          <w:rFonts w:ascii="Times New Roman" w:cs="Times New Roman" w:eastAsia="Times New Roman" w:hAnsi="Times New Roman"/>
          <w:sz w:val="18"/>
          <w:szCs w:val="18"/>
          <w:color w:val="auto"/>
        </w:rPr>
        <w:t>” means the applicable Benchmark Replacement excluding the related Benchmark Replacement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Unfunded Commitment</w:t>
      </w:r>
      <w:r>
        <w:rPr>
          <w:rFonts w:ascii="Times New Roman" w:cs="Times New Roman" w:eastAsia="Times New Roman" w:hAnsi="Times New Roman"/>
          <w:sz w:val="18"/>
          <w:szCs w:val="18"/>
          <w:color w:val="auto"/>
        </w:rPr>
        <w:t>” means, with respect to each Lender, the Commitment of such Lender less its Revolving Credit Exposure.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States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mean the United States of America.</w:t>
      </w:r>
    </w:p>
    <w:p>
      <w:pPr>
        <w:spacing w:after="0" w:line="225" w:lineRule="exact"/>
        <w:rPr>
          <w:sz w:val="20"/>
          <w:szCs w:val="20"/>
          <w:color w:val="auto"/>
        </w:rPr>
      </w:pPr>
    </w:p>
    <w:p>
      <w:pPr>
        <w:jc w:val="both"/>
        <w:ind w:right="1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Government Securities Business Day</w:t>
      </w:r>
      <w:r>
        <w:rPr>
          <w:rFonts w:ascii="Times New Roman" w:cs="Times New Roman" w:eastAsia="Times New Roman" w:hAnsi="Times New Roman"/>
          <w:sz w:val="18"/>
          <w:szCs w:val="18"/>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76"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Person</w:t>
      </w:r>
      <w:r>
        <w:rPr>
          <w:rFonts w:ascii="Times New Roman" w:cs="Times New Roman" w:eastAsia="Times New Roman" w:hAnsi="Times New Roman"/>
          <w:sz w:val="18"/>
          <w:szCs w:val="18"/>
          <w:color w:val="auto"/>
        </w:rPr>
        <w:t>” means (i) for purposes of Sections 3.15 and 6.09 hereof, any United States citizen, lawful permanent resident, entity organized under the laws of the United States or any jurisdiction within the United States, including any foreign branch of any such entity, or any person in the United States and (ii) for all other purposes, a “United States person” within the meaning of Section 7701(a)(30) of the Code.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Special Resolution Regimes</w:t>
      </w:r>
      <w:r>
        <w:rPr>
          <w:rFonts w:ascii="Times New Roman" w:cs="Times New Roman" w:eastAsia="Times New Roman" w:hAnsi="Times New Roman"/>
          <w:sz w:val="18"/>
          <w:szCs w:val="18"/>
          <w:color w:val="auto"/>
        </w:rPr>
        <w:t>” has the meaning assigned to it in Section 9.17.</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has the meaning assigned to such term in Section 2.17(f)(ii)(B)(3).</w:t>
      </w:r>
    </w:p>
    <w:p>
      <w:pPr>
        <w:spacing w:after="0" w:line="225"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Stock</w:t>
      </w:r>
      <w:r>
        <w:rPr>
          <w:rFonts w:ascii="Times New Roman" w:cs="Times New Roman" w:eastAsia="Times New Roman" w:hAnsi="Times New Roman"/>
          <w:sz w:val="18"/>
          <w:szCs w:val="18"/>
          <w:color w:val="auto"/>
        </w:rPr>
        <w:t>” means capital stock issued by a corporation, or equivalent interests in any other Person, the holders of which are ordinarily, in the absence of contingencies, entitled to vote for the election of directors (or persons performing similar functions) of such Person, even if the right so to vote has been suspended by the happening of such a contingency.</w:t>
      </w:r>
    </w:p>
    <w:p>
      <w:pPr>
        <w:spacing w:after="0" w:line="176"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Withdrawal Liability</w:t>
      </w:r>
      <w:r>
        <w:rPr>
          <w:rFonts w:ascii="Times New Roman" w:cs="Times New Roman" w:eastAsia="Times New Roman" w:hAnsi="Times New Roman"/>
          <w:sz w:val="18"/>
          <w:szCs w:val="18"/>
          <w:color w:val="auto"/>
        </w:rPr>
        <w:t>” means liability to a Multiemployer Plan as a result of a complete or partial withdrawal from such Multiemployer Plan, as such terms are defined in Part I of Subtitle E of Title IV of ERISA.</w:t>
      </w:r>
    </w:p>
    <w:p>
      <w:pPr>
        <w:spacing w:after="0" w:line="162" w:lineRule="exact"/>
        <w:rPr>
          <w:sz w:val="20"/>
          <w:szCs w:val="20"/>
          <w:color w:val="auto"/>
        </w:rPr>
      </w:pPr>
    </w:p>
    <w:p>
      <w:pPr>
        <w:ind w:right="14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80"/>
          </w:cols>
          <w:pgMar w:left="440" w:top="270" w:right="479" w:bottom="1440" w:gutter="0" w:footer="0" w:header="0"/>
        </w:sectPr>
      </w:pPr>
    </w:p>
    <w:bookmarkStart w:id="92" w:name="page93"/>
    <w:bookmarkEnd w:id="92"/>
    <w:p>
      <w:pPr>
        <w:ind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1.02. </w:t>
      </w:r>
      <w:r>
        <w:rPr>
          <w:rFonts w:ascii="Times New Roman" w:cs="Times New Roman" w:eastAsia="Times New Roman" w:hAnsi="Times New Roman"/>
          <w:sz w:val="18"/>
          <w:szCs w:val="18"/>
          <w:u w:val="single" w:color="auto"/>
          <w:color w:val="auto"/>
        </w:rPr>
        <w:t>Classification of Loans and Borrowings</w:t>
      </w:r>
      <w:r>
        <w:rPr>
          <w:rFonts w:ascii="Times New Roman" w:cs="Times New Roman" w:eastAsia="Times New Roman" w:hAnsi="Times New Roman"/>
          <w:sz w:val="18"/>
          <w:szCs w:val="18"/>
          <w:color w:val="auto"/>
        </w:rPr>
        <w:t>. For purposes of this Agreement, Loans may be classified and referred to by Class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Revolving Loan</w:t>
      </w:r>
      <w:r>
        <w:rPr>
          <w:rFonts w:ascii="Times New Roman" w:cs="Times New Roman" w:eastAsia="Times New Roman" w:hAnsi="Times New Roman"/>
          <w:sz w:val="18"/>
          <w:szCs w:val="18"/>
          <w:color w:val="auto"/>
        </w:rPr>
        <w:t>”) or by Type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Term Benchmark Loan</w:t>
      </w:r>
      <w:r>
        <w:rPr>
          <w:rFonts w:ascii="Times New Roman" w:cs="Times New Roman" w:eastAsia="Times New Roman" w:hAnsi="Times New Roman"/>
          <w:sz w:val="18"/>
          <w:szCs w:val="18"/>
          <w:color w:val="auto"/>
        </w:rPr>
        <w:t>” or an “</w:t>
      </w:r>
      <w:r>
        <w:rPr>
          <w:rFonts w:ascii="Times New Roman" w:cs="Times New Roman" w:eastAsia="Times New Roman" w:hAnsi="Times New Roman"/>
          <w:sz w:val="18"/>
          <w:szCs w:val="18"/>
          <w:u w:val="single" w:color="auto"/>
          <w:color w:val="auto"/>
        </w:rPr>
        <w:t>RFR Loan</w:t>
      </w:r>
      <w:r>
        <w:rPr>
          <w:rFonts w:ascii="Times New Roman" w:cs="Times New Roman" w:eastAsia="Times New Roman" w:hAnsi="Times New Roman"/>
          <w:sz w:val="18"/>
          <w:szCs w:val="18"/>
          <w:color w:val="auto"/>
        </w:rPr>
        <w:t>”) or by Class and Type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Term Benchmark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Revolving Loan</w:t>
      </w:r>
      <w:r>
        <w:rPr>
          <w:rFonts w:ascii="Times New Roman" w:cs="Times New Roman" w:eastAsia="Times New Roman" w:hAnsi="Times New Roman"/>
          <w:sz w:val="18"/>
          <w:szCs w:val="18"/>
          <w:color w:val="auto"/>
        </w:rPr>
        <w:t>” or an “</w:t>
      </w:r>
      <w:r>
        <w:rPr>
          <w:rFonts w:ascii="Times New Roman" w:cs="Times New Roman" w:eastAsia="Times New Roman" w:hAnsi="Times New Roman"/>
          <w:sz w:val="18"/>
          <w:szCs w:val="18"/>
          <w:u w:val="single" w:color="auto"/>
          <w:color w:val="auto"/>
        </w:rPr>
        <w:t>RFR Revolving Loan</w:t>
      </w:r>
      <w:r>
        <w:rPr>
          <w:rFonts w:ascii="Times New Roman" w:cs="Times New Roman" w:eastAsia="Times New Roman" w:hAnsi="Times New Roman"/>
          <w:sz w:val="18"/>
          <w:szCs w:val="18"/>
          <w:color w:val="auto"/>
        </w:rPr>
        <w:t>”). Borrowings also may be classified and referred to by Class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Revolving Borrowing</w:t>
      </w:r>
      <w:r>
        <w:rPr>
          <w:rFonts w:ascii="Times New Roman" w:cs="Times New Roman" w:eastAsia="Times New Roman" w:hAnsi="Times New Roman"/>
          <w:sz w:val="18"/>
          <w:szCs w:val="18"/>
          <w:color w:val="auto"/>
        </w:rPr>
        <w:t>”) or by Type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Term Benchmark Borrowing</w:t>
      </w:r>
      <w:r>
        <w:rPr>
          <w:rFonts w:ascii="Times New Roman" w:cs="Times New Roman" w:eastAsia="Times New Roman" w:hAnsi="Times New Roman"/>
          <w:sz w:val="18"/>
          <w:szCs w:val="18"/>
          <w:color w:val="auto"/>
        </w:rPr>
        <w:t>” or an “</w:t>
      </w:r>
      <w:r>
        <w:rPr>
          <w:rFonts w:ascii="Times New Roman" w:cs="Times New Roman" w:eastAsia="Times New Roman" w:hAnsi="Times New Roman"/>
          <w:sz w:val="18"/>
          <w:szCs w:val="18"/>
          <w:u w:val="single" w:color="auto"/>
          <w:color w:val="auto"/>
        </w:rPr>
        <w:t>RFR Borrowing</w:t>
      </w:r>
      <w:r>
        <w:rPr>
          <w:rFonts w:ascii="Times New Roman" w:cs="Times New Roman" w:eastAsia="Times New Roman" w:hAnsi="Times New Roman"/>
          <w:sz w:val="18"/>
          <w:szCs w:val="18"/>
          <w:color w:val="auto"/>
        </w:rPr>
        <w:t>”) or by Class and Type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Term Benchmark Revolving Borrowing</w:t>
      </w:r>
      <w:r>
        <w:rPr>
          <w:rFonts w:ascii="Times New Roman" w:cs="Times New Roman" w:eastAsia="Times New Roman" w:hAnsi="Times New Roman"/>
          <w:sz w:val="18"/>
          <w:szCs w:val="18"/>
          <w:color w:val="auto"/>
        </w:rPr>
        <w:t>” or an “</w:t>
      </w:r>
      <w:r>
        <w:rPr>
          <w:rFonts w:ascii="Times New Roman" w:cs="Times New Roman" w:eastAsia="Times New Roman" w:hAnsi="Times New Roman"/>
          <w:sz w:val="18"/>
          <w:szCs w:val="18"/>
          <w:u w:val="single" w:color="auto"/>
          <w:color w:val="auto"/>
        </w:rPr>
        <w:t>RFR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Revolving Borrowing</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Terms Generally</w:t>
      </w:r>
      <w:r>
        <w:rPr>
          <w:rFonts w:ascii="Times New Roman" w:cs="Times New Roman" w:eastAsia="Times New Roman" w:hAnsi="Times New Roman"/>
          <w:sz w:val="18"/>
          <w:szCs w:val="18"/>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The word “law” shall be construed as referring to all statutes, rules, regulations, codes and other laws (including official rulings and interpretations thereunder having the force of law or with which affected Persons customarily comply), and all judgments, orders and decrees, of all Governmental Authorities. Unless the context requires otherwise (a)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herein), (b) any definition of or reference to any law, statute, rule or regulation shall, unless otherwise specified, be construed as referring thereto as from time to time amended, supplemented or otherwise modified (including by succession of comparable successor laws), (c)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 (d) the words “herein”, “hereof” and “hereunder”, and words of similar import, shall be construed to refer to this Agreement in its entirety and not to any particular provision hereof, (e) all references herein to Articles, Sections, Exhibits and Schedules shall be construed to refer to Articles and Sections of, and Exhibits and Schedules to, this Agreement and (f) the words “asset” and “property” shall be construed to have the same meaning and effect and to refer to any and all tangible and intangible assets and properties, including cash, securities, accounts and contract rights.</w:t>
      </w:r>
    </w:p>
    <w:p>
      <w:pPr>
        <w:spacing w:after="0" w:line="195" w:lineRule="exact"/>
        <w:rPr>
          <w:sz w:val="20"/>
          <w:szCs w:val="20"/>
          <w:color w:val="auto"/>
        </w:rPr>
      </w:pPr>
    </w:p>
    <w:p>
      <w:pPr>
        <w:ind w:right="8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Accounting Terms; GAAP; Pro Forma Calculations</w:t>
      </w:r>
      <w:r>
        <w:rPr>
          <w:rFonts w:ascii="Times New Roman" w:cs="Times New Roman" w:eastAsia="Times New Roman" w:hAnsi="Times New Roman"/>
          <w:sz w:val="18"/>
          <w:szCs w:val="18"/>
          <w:color w:val="auto"/>
        </w:rPr>
        <w:t xml:space="preserve">. (a) Except as otherwise expressly provided herein, all terms of an accounting or financial nature shall be construed in accordance with GAAP, as in effect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Borrower notifies the Administrative Agent that the Borrower requests an amendment to any provision hereof to eliminate the effect of any change occurring after the date hereof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all terms of an accounting or financial nature used herein shall be construed, and all computations of amounts and ratios referred to herein shall be made, without giving effect to (i) any election under Financial Accounting Standards Board Accounting Standards Codification 825 (or any other Accounting Standards Codification or Financial Accounting Standard having a similar result or effect) to value any Debt or other liabilities of the Borrower or any Subsidiary at “fair value”, as defined therein and (ii) any treatment of Debt under Accounting Standards Codification 470-20 or 2015-03 (or any other Accounting Standards Codification or Financial Accounting Standard having a</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70" w:right="459" w:bottom="1440" w:gutter="0" w:footer="0" w:header="0"/>
        </w:sectPr>
      </w:pPr>
    </w:p>
    <w:bookmarkStart w:id="93" w:name="page94"/>
    <w:bookmarkEnd w:id="93"/>
    <w:p>
      <w:pPr>
        <w:ind w:right="1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similar result or effect) to value any such Debt in a reduced or bifurcated manner as described therein, and such Debt shall at all times be valued at the full stated principal amount thereof. Notwithstanding anything to the contrary contained in this Section 1.04(a) or in the definition of “Capital Lease Obligations,” any change in accounting for leases pursuant to GAAP resulting from the adoption of Financial Accounting Standards Board Accounting Standards Update No. 2016-02, Leases (Topic 842), to the extent such adoption would require treating any lease (or similar arrangement conveying the right to use) as a capital lease where such lease (or similar arrangement) would not have been required to be so treated under GAAP as in effect on December 31, 2015, such lease shall not be considered a capital lease, and all calculations and deliverables under this Agreement or any other Loan Document shall be made or delivered, as applicable, in accordance therewith.</w:t>
      </w:r>
    </w:p>
    <w:p>
      <w:pPr>
        <w:spacing w:after="0" w:line="189" w:lineRule="exact"/>
        <w:rPr>
          <w:sz w:val="20"/>
          <w:szCs w:val="20"/>
          <w:color w:val="auto"/>
        </w:rPr>
      </w:pPr>
    </w:p>
    <w:p>
      <w:pPr>
        <w:ind w:right="80" w:firstLine="987"/>
        <w:spacing w:after="0" w:line="268" w:lineRule="auto"/>
        <w:tabs>
          <w:tab w:leader="none" w:pos="1246"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pro forma computations required to be made hereunder giving effect to any acquisition or disposition, or issuance, incurrence or assumption of Debt, or other transaction shall in each case be calculated giving pro forma effect thereto (and, in the case of any pro forma computation made hereunder to determine whether such acquisition or disposition, or issuance, incurrence or assumption of Debt, or other transaction is permitted to be consummated hereunder, to any other such transaction consummated since the first day of the period covered by any component of such pro forma computation and on or prior to the date of such computation) as if such transaction had occurred on the first day of the period of four consecutive fiscal quarters ending with the most recent fiscal quarter for which financial statements shall have been delivered pursuant to Section 5.09(a) or 5.09(b) (or, prior to the delivery of any such financial statements, ending with the last fiscal quarter included in the financial statements referred to in</w:t>
      </w:r>
    </w:p>
    <w:p>
      <w:pPr>
        <w:spacing w:after="0" w:line="2" w:lineRule="exact"/>
        <w:rPr>
          <w:rFonts w:ascii="Times New Roman" w:cs="Times New Roman" w:eastAsia="Times New Roman" w:hAnsi="Times New Roman"/>
          <w:sz w:val="17"/>
          <w:szCs w:val="17"/>
          <w:color w:val="auto"/>
        </w:rPr>
      </w:pPr>
    </w:p>
    <w:p>
      <w:pPr>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Section 3.05(a)), and, to the extent applicable, to the historical earnings and cash flows associated with the assets acquired or disposed of (but without giving effect to any synergies or cost savings) and any related incurrence or reduction of Debt, all in accordance with Article 11 of Regulation S-X under the Securities Act. If any Debt bears a floating rate of interest and is being given pro forma effect, the interest on such Debt shall be calculated as if the rate in effect on the date of determination had been the applicable rate for the entire period (taking into account any Hedge Agreement applicable to such Debt).</w:t>
      </w:r>
    </w:p>
    <w:p>
      <w:pPr>
        <w:spacing w:after="0" w:line="187"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Interest Rates; Benchmark Notification</w:t>
      </w:r>
      <w:r>
        <w:rPr>
          <w:rFonts w:ascii="Times New Roman" w:cs="Times New Roman" w:eastAsia="Times New Roman" w:hAnsi="Times New Roman"/>
          <w:sz w:val="18"/>
          <w:szCs w:val="18"/>
          <w:color w:val="auto"/>
        </w:rPr>
        <w:t>. The interest rate on a Loan denominated in Dollars or a Foreign Currency may be derived from an interest rate benchmark that may be discontinued or is, or may in the future become, the subject of regulatory reform. Upon the occurrence of a Benchmark Transition Event or a Term CORRA Reelection Event, Section 2.14(b)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0"/>
          </w:cols>
          <w:pgMar w:left="440" w:top="270" w:right="459" w:bottom="1440" w:gutter="0" w:footer="0" w:header="0"/>
        </w:sectPr>
      </w:pPr>
    </w:p>
    <w:bookmarkStart w:id="94" w:name="page95"/>
    <w:bookmarkEnd w:id="94"/>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1.06. </w:t>
      </w:r>
      <w:r>
        <w:rPr>
          <w:rFonts w:ascii="Times New Roman" w:cs="Times New Roman" w:eastAsia="Times New Roman" w:hAnsi="Times New Roman"/>
          <w:sz w:val="18"/>
          <w:szCs w:val="18"/>
          <w:u w:val="single" w:color="auto"/>
          <w:color w:val="auto"/>
        </w:rPr>
        <w:t>Status of Obligations</w:t>
      </w:r>
      <w:r>
        <w:rPr>
          <w:rFonts w:ascii="Times New Roman" w:cs="Times New Roman" w:eastAsia="Times New Roman" w:hAnsi="Times New Roman"/>
          <w:sz w:val="18"/>
          <w:szCs w:val="18"/>
          <w:color w:val="auto"/>
        </w:rPr>
        <w:t>. In the event that the Borrower shall at any time issue or have outstanding any Subordinated Debt, the Borrower shall take all such actions as shall be necessary to cause the Obligations to constitute senior indebtedness (however denominated) in respect of such Subordinated Debt and to enable the Administrative Agent and the Lenders to have and exercise any payment blockage or other remedies available or potentially available to holders of senior indebtedness under the terms of such Subordinated Debt. Without limiting the foregoing, the Obligations are hereby designated as “senior indebtedness” and as “designated senior indebtedness” and words of similar import under and in respect of any indenture or other agreement or instrument under which such Subordinated Debt is outstanding and are further given all such other designations as shall be required under the terms of any such Subordinated Debt in order that the Lenders may have and exercise any payment blockage or other remedies available or potentially available to holders of senior indebtedness under the terms of such Subordinated Debt.</w:t>
      </w:r>
    </w:p>
    <w:p>
      <w:pPr>
        <w:spacing w:after="0" w:line="192"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Letter of Credit Amounts</w:t>
      </w:r>
      <w:r>
        <w:rPr>
          <w:rFonts w:ascii="Times New Roman" w:cs="Times New Roman" w:eastAsia="Times New Roman" w:hAnsi="Times New Roman"/>
          <w:sz w:val="18"/>
          <w:szCs w:val="18"/>
          <w:color w:val="auto"/>
        </w:rPr>
        <w:t xml:space="preserve">. Unless otherwise specified herein, the amount of a Letter of Credit at any time shall be deemed to be the Dollar Amount of the stated amount of such Letter of Credit available to be drawn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Letter of Credit that, by its terms or the terms of any Letter of Credit Agreement related thereto, provides for one or more automatic increases in the available amount thereof, the amount of such Letter of Credit shall be deemed to be the Dollar Amount of the maximum amount of such Letter of Credit after giving effect to all such increases, whether or not such maximum amount is available to be drawn at such time.</w:t>
      </w:r>
    </w:p>
    <w:p>
      <w:pPr>
        <w:spacing w:after="0" w:line="183" w:lineRule="exact"/>
        <w:rPr>
          <w:sz w:val="20"/>
          <w:szCs w:val="20"/>
          <w:color w:val="auto"/>
        </w:rPr>
      </w:pPr>
    </w:p>
    <w:p>
      <w:pPr>
        <w:ind w:right="2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1.08. </w:t>
      </w:r>
      <w:r>
        <w:rPr>
          <w:rFonts w:ascii="Times New Roman" w:cs="Times New Roman" w:eastAsia="Times New Roman" w:hAnsi="Times New Roman"/>
          <w:sz w:val="18"/>
          <w:szCs w:val="18"/>
          <w:u w:val="single" w:color="auto"/>
          <w:color w:val="auto"/>
        </w:rPr>
        <w:t>Divisions</w:t>
      </w:r>
      <w:r>
        <w:rPr>
          <w:rFonts w:ascii="Times New Roman" w:cs="Times New Roman" w:eastAsia="Times New Roman" w:hAnsi="Times New Roman"/>
          <w:sz w:val="18"/>
          <w:szCs w:val="18"/>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1.09. </w:t>
      </w:r>
      <w:r>
        <w:rPr>
          <w:rFonts w:ascii="Times New Roman" w:cs="Times New Roman" w:eastAsia="Times New Roman" w:hAnsi="Times New Roman"/>
          <w:sz w:val="18"/>
          <w:szCs w:val="18"/>
          <w:u w:val="single" w:color="auto"/>
          <w:color w:val="auto"/>
        </w:rPr>
        <w:t>Exchange Rates; Currency Equivalents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40" w:firstLine="987"/>
        <w:spacing w:after="0" w:line="256" w:lineRule="auto"/>
        <w:tabs>
          <w:tab w:leader="none" w:pos="123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or the applicable Issuing Bank, as applicable, shall determine the Dollar Amount of Term Benchmark Borrowings, RFR Borrowings or Letters of Credit denominated in Foreign Currencies. Such Dollar Amount shall become effective as of such Computation Date and shall be the Dollar Amount of such amounts until the next Computation Date to occur. Except for purposes of financial statements delivered by the Borrower hereunder or calculating financial covenants hereunder or except as otherwise provided herein, the applicable amount of any Agreed Currency (other than Dollars) for purposes of the Loan Documents shall be such Dollar Amount as so determined by the Administrative Agent or the applicable Issuing Bank, as applicable.</w:t>
      </w:r>
    </w:p>
    <w:p>
      <w:pPr>
        <w:spacing w:after="0" w:line="187" w:lineRule="exact"/>
        <w:rPr>
          <w:rFonts w:ascii="Times New Roman" w:cs="Times New Roman" w:eastAsia="Times New Roman" w:hAnsi="Times New Roman"/>
          <w:sz w:val="18"/>
          <w:szCs w:val="18"/>
          <w:color w:val="auto"/>
        </w:rPr>
      </w:pPr>
    </w:p>
    <w:p>
      <w:pPr>
        <w:ind w:firstLine="987"/>
        <w:spacing w:after="0" w:line="258" w:lineRule="auto"/>
        <w:tabs>
          <w:tab w:leader="none" w:pos="124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Wherever in this Agreement in connection with a Borrowing, conversion, continuation or prepayment of a Term Benchmark Loan or an RFR Loan or the issuance, amendment or extension of a Letter of Credit, an amount, such as a required minimum or multiple amount, is expressed in Dollars, but such Borrowing, Loan or Letter of Credit is denominated in a Foreign Currency, such amount shall be the Dollar Amount of such amount (rounded to the nearest unit of such Foreign Currency, with 0.5 of a unit being rounded upward), as determined by the Administrative Agent or the applicable Issuing Bank, as the case may be.</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60"/>
          </w:cols>
          <w:pgMar w:left="440" w:top="270" w:right="499" w:bottom="1440" w:gutter="0" w:footer="0" w:header="0"/>
        </w:sectPr>
      </w:pPr>
    </w:p>
    <w:bookmarkStart w:id="95" w:name="page96"/>
    <w:bookmarkEnd w:id="95"/>
    <w:p>
      <w:pPr>
        <w:ind w:left="50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w:t>
      </w:r>
    </w:p>
    <w:p>
      <w:pPr>
        <w:spacing w:after="0" w:line="11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u w:val="single" w:color="auto"/>
          <w:color w:val="auto"/>
        </w:rPr>
        <w:t>The Credits</w:t>
      </w:r>
    </w:p>
    <w:p>
      <w:pPr>
        <w:spacing w:after="0" w:line="225"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Commitments</w:t>
      </w:r>
      <w:r>
        <w:rPr>
          <w:rFonts w:ascii="Times New Roman" w:cs="Times New Roman" w:eastAsia="Times New Roman" w:hAnsi="Times New Roman"/>
          <w:sz w:val="18"/>
          <w:szCs w:val="18"/>
          <w:color w:val="auto"/>
        </w:rPr>
        <w:t>. Subject to the terms and conditions set forth herein, each Lender (severally and not jointly) agrees to make Revolving Loans to the Borrower in Agreed Currencies from time to time during the Availability Period in an aggregate principal amount that will not result (after giving effect to any application of proceeds of such Borrowing to any Swingline Loans outstanding pursuant to Section 2.10(a)) in, subject to Sections 2.04 and 2.11(b), (a) the Dollar Amount of such Lender’s Revolving Credit Exposure exceeding such Lender’s Commitment or (b) the Dollar Amount of the Total Revolving Credit Exposure exceeding the Aggregate Commitment. Within the foregoing limits and subject to the terms and conditions set forth herein, the Borrower may borrow, prepay and reborrow Revolving Loans.</w:t>
      </w:r>
    </w:p>
    <w:p>
      <w:pPr>
        <w:spacing w:after="0" w:line="187" w:lineRule="exact"/>
        <w:rPr>
          <w:sz w:val="20"/>
          <w:szCs w:val="20"/>
          <w:color w:val="auto"/>
        </w:rPr>
      </w:pPr>
    </w:p>
    <w:p>
      <w:pPr>
        <w:ind w:right="1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Loans and Borrowings</w:t>
      </w:r>
      <w:r>
        <w:rPr>
          <w:rFonts w:ascii="Times New Roman" w:cs="Times New Roman" w:eastAsia="Times New Roman" w:hAnsi="Times New Roman"/>
          <w:sz w:val="18"/>
          <w:szCs w:val="18"/>
          <w:color w:val="auto"/>
        </w:rPr>
        <w:t xml:space="preserve">. (a) Each Revolving Loan shall be made as part of a Borrowing consisting of Revolving Loans made by the Lenders ratably in accordance with their respective Commitments. The failure of any Lender to make any Loan required to be made by it shall not relieve any other Lender of its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Commitments of the Lenders are several and no Lender shall be responsible for any other Lender’s failure to make Loans as required. Any Swingline Loan shall be made in accordance with the procedures set forth in Section 2.05.</w:t>
      </w:r>
    </w:p>
    <w:p>
      <w:pPr>
        <w:spacing w:after="0" w:line="183" w:lineRule="exact"/>
        <w:rPr>
          <w:sz w:val="20"/>
          <w:szCs w:val="20"/>
          <w:color w:val="auto"/>
        </w:rPr>
      </w:pPr>
    </w:p>
    <w:p>
      <w:pPr>
        <w:ind w:firstLine="987"/>
        <w:spacing w:after="0" w:line="254" w:lineRule="auto"/>
        <w:tabs>
          <w:tab w:leader="none" w:pos="124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Section 2.14, each Revolving Borrowing shall be comprised (i) in the case of Borrowings in Dollars, entirely of ABR Loans or Term Benchmark Loans (or, subject to the final paragraph of Section 2.03, RFR Loans) and (ii) in the case of Borrowings in any other Agreed Currency, entirely of Term Benchmark Loans or RFR Loans, as applicable, in each case of the same Agreed Currency, as the Borrower may request in accordance herewith;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ABR Loan shall only be made in Dollars. Each Swingline Loan shall be a Term Benchmark Loan with a one month Interest Period. Each Lender at its option may make any Loan by causing any domestic or foreign branch or Affiliate of such Lender to make such Loan (and in the case of an Affiliate, the provisions of Sections 2.14, 2.15, 2.16 and 2.17 shall apply to such Affiliate to the same extent as to such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exercise of such option shall not affect the obligation of the Borrower to repay such Loan in accordance with the terms of this Agreement.</w:t>
      </w:r>
    </w:p>
    <w:p>
      <w:pPr>
        <w:spacing w:after="0" w:line="191" w:lineRule="exact"/>
        <w:rPr>
          <w:rFonts w:ascii="Times New Roman" w:cs="Times New Roman" w:eastAsia="Times New Roman" w:hAnsi="Times New Roman"/>
          <w:sz w:val="18"/>
          <w:szCs w:val="18"/>
          <w:color w:val="auto"/>
        </w:rPr>
      </w:pPr>
    </w:p>
    <w:p>
      <w:pPr>
        <w:ind w:firstLine="987"/>
        <w:spacing w:after="0" w:line="254" w:lineRule="auto"/>
        <w:tabs>
          <w:tab w:leader="none" w:pos="123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commencement of each Interest Period for any Term Benchmark Revolving Borrowing, such Borrowing shall be in an aggregate amount that is an integral multiple of the Borrowing Multiple and not less than the Borrowing Minimum. At the time that each ABR Revolving Borrowing or RFR Revolving Borrowing is made, such Borrowing shall be in an aggregate amount that is an integral multiple of the Borrowing Multiple and not less than the Borrowing Minimum;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 ABR Revolving Borrowing may be in an aggregate amount that is equal to the entire unused balance of the Aggregate Commitment or that is required to finance the reimbursement of an LC Disbursement as contemplated by Section 2.06(e). Each Swingline Loan shall be in an amount that is an integral multiple of $1,000,000 and not less than $5,000,000. Borrowings of more than one Type and Class may be outstanding at the same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there shall not at any time be more than a total of fifteen (15) Term Benchmark Borrowings or RFR Borrowings outstanding.</w:t>
      </w:r>
    </w:p>
    <w:p>
      <w:pPr>
        <w:spacing w:after="0" w:line="191" w:lineRule="exact"/>
        <w:rPr>
          <w:rFonts w:ascii="Times New Roman" w:cs="Times New Roman" w:eastAsia="Times New Roman" w:hAnsi="Times New Roman"/>
          <w:sz w:val="18"/>
          <w:szCs w:val="18"/>
          <w:color w:val="auto"/>
        </w:rPr>
      </w:pPr>
    </w:p>
    <w:p>
      <w:pPr>
        <w:ind w:right="40" w:firstLine="987"/>
        <w:spacing w:after="0" w:line="282" w:lineRule="auto"/>
        <w:tabs>
          <w:tab w:leader="none" w:pos="124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the Borrower shall not be entitled to request, or to elect to convert or continue, any Borrowing if the Interest Period requested with respect thereto would end after the Maturity Date.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0"/>
          </w:cols>
          <w:pgMar w:left="440" w:top="270" w:right="459" w:bottom="1440" w:gutter="0" w:footer="0" w:header="0"/>
        </w:sectPr>
      </w:pPr>
    </w:p>
    <w:bookmarkStart w:id="96" w:name="page97"/>
    <w:bookmarkEnd w:id="96"/>
    <w:p>
      <w:pPr>
        <w:ind w:left="4" w:right="20" w:firstLine="991"/>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2.03. </w:t>
      </w:r>
      <w:r>
        <w:rPr>
          <w:rFonts w:ascii="Times New Roman" w:cs="Times New Roman" w:eastAsia="Times New Roman" w:hAnsi="Times New Roman"/>
          <w:sz w:val="17"/>
          <w:szCs w:val="17"/>
          <w:u w:val="single" w:color="auto"/>
          <w:color w:val="auto"/>
        </w:rPr>
        <w:t>Requests for Revolving Borrowings</w:t>
      </w:r>
      <w:r>
        <w:rPr>
          <w:rFonts w:ascii="Times New Roman" w:cs="Times New Roman" w:eastAsia="Times New Roman" w:hAnsi="Times New Roman"/>
          <w:sz w:val="17"/>
          <w:szCs w:val="17"/>
          <w:color w:val="auto"/>
        </w:rPr>
        <w:t>. To request a Borrowing, the Borrower shall notify the Administrative Agent of such request by submitting a Borrowing Request (a) (i) in the case of a Term Benchmark Borrowing denominated in Dollars (other than with respect to Swingline Loans), not later than 11:00 a.m., New York City time, three (3) U.S. Government Securities Business Days before the date of the proposed Borrowing, (ii) in the case of a Term Benchmark Borrowing denominated in euro or Canadian Dollars, not later than 11:00 a.m., New York City time, three (3) Business Days before the date of the proposed Borrowing, (iii) in the case of a Term Benchmark Borrowing denominated in Japanese Yen, not later than 11:00 a.m., New York City time, four (4) Business Days before the date of the proposed Borrowing, (iv) in the case of an RFR Borrowing denominated in Pounds Sterling, not later than 11:00 a.m., New York City time, five (5) RFR Business Days before the date of the proposed Borrowing,</w:t>
      </w:r>
    </w:p>
    <w:p>
      <w:pPr>
        <w:spacing w:after="0" w:line="2" w:lineRule="exact"/>
        <w:rPr>
          <w:sz w:val="20"/>
          <w:szCs w:val="20"/>
          <w:color w:val="auto"/>
        </w:rPr>
      </w:pPr>
    </w:p>
    <w:p>
      <w:pPr>
        <w:jc w:val="both"/>
        <w:ind w:left="4" w:right="140" w:hanging="4"/>
        <w:spacing w:after="0" w:line="265" w:lineRule="auto"/>
        <w:tabs>
          <w:tab w:leader="none" w:pos="259"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an RFR Borrowing denominated in Swiss Francs, not later than 11:00 a.m., New York City time, five (5) RFR Business Days before the date of the proposed Borrowing, (vi) in the case of an RFR Borrowing denominated in Dollars, not later than 11:00 a.m., New York City time, five</w:t>
      </w:r>
    </w:p>
    <w:p>
      <w:pPr>
        <w:ind w:left="4" w:right="20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(5) RFR Business Days before the date of the proposed Borrowing, and (vii) in the case of an RFR Borrowing denominated in Canadian Dollars, not later than 12:00 noon, New York City time, five (5) RFR Business Days before the date of the proposed Borrowing or (b) in the case of an ABR Borrowing, not later than 11:00 a.m., New York City time, on the date of the proposed Borrowing. Each such Borrowing Request shall be irrevocable and shall be signed by a Responsible Officer of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Borrowing Request is submitted through an Approved Borrower Portal, the foregoing signature requirement may be waived at the sole discretion of the Administrative Agent. Each such Borrowing Request shall specify the following information in compliance with Section 2.02:</w:t>
      </w:r>
    </w:p>
    <w:p>
      <w:pPr>
        <w:spacing w:after="0" w:line="81" w:lineRule="exact"/>
        <w:rPr>
          <w:rFonts w:ascii="Times New Roman" w:cs="Times New Roman" w:eastAsia="Times New Roman" w:hAnsi="Times New Roman"/>
          <w:sz w:val="17"/>
          <w:szCs w:val="17"/>
          <w:color w:val="auto"/>
        </w:rPr>
      </w:pPr>
    </w:p>
    <w:p>
      <w:pPr>
        <w:ind w:left="1084" w:hanging="221"/>
        <w:spacing w:after="0"/>
        <w:tabs>
          <w:tab w:leader="none" w:pos="1084"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Agreed Currency and the aggregate principal amount of the requested Borrowing;</w:t>
      </w:r>
    </w:p>
    <w:p>
      <w:pPr>
        <w:spacing w:after="0" w:line="117"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such Borrowing, which shall be a Business Day;</w:t>
      </w:r>
    </w:p>
    <w:p>
      <w:pPr>
        <w:spacing w:after="0" w:line="117" w:lineRule="exact"/>
        <w:rPr>
          <w:rFonts w:ascii="Times New Roman" w:cs="Times New Roman" w:eastAsia="Times New Roman" w:hAnsi="Times New Roman"/>
          <w:sz w:val="18"/>
          <w:szCs w:val="18"/>
          <w:color w:val="auto"/>
        </w:rPr>
      </w:pPr>
    </w:p>
    <w:p>
      <w:pPr>
        <w:ind w:left="1184" w:hanging="321"/>
        <w:spacing w:after="0"/>
        <w:tabs>
          <w:tab w:leader="none" w:pos="1184"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Borrowing is to be an ABR Borrowing, a Term Benchmark Borrowing or an RFR Borrowing;</w:t>
      </w:r>
    </w:p>
    <w:p>
      <w:pPr>
        <w:spacing w:after="0" w:line="117" w:lineRule="exact"/>
        <w:rPr>
          <w:rFonts w:ascii="Times New Roman" w:cs="Times New Roman" w:eastAsia="Times New Roman" w:hAnsi="Times New Roman"/>
          <w:sz w:val="18"/>
          <w:szCs w:val="18"/>
          <w:color w:val="auto"/>
        </w:rPr>
      </w:pPr>
    </w:p>
    <w:p>
      <w:pPr>
        <w:ind w:left="444" w:firstLine="419"/>
        <w:spacing w:after="0" w:line="282" w:lineRule="auto"/>
        <w:tabs>
          <w:tab w:leader="none" w:pos="1172"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Term Benchmark Borrowing, the initial Interest Period to be applicable thereto, which shall be a period contemplated by the definition of the term “Interest Period”; and</w:t>
      </w:r>
    </w:p>
    <w:p>
      <w:pPr>
        <w:spacing w:after="0" w:line="53" w:lineRule="exact"/>
        <w:rPr>
          <w:rFonts w:ascii="Times New Roman" w:cs="Times New Roman" w:eastAsia="Times New Roman" w:hAnsi="Times New Roman"/>
          <w:sz w:val="18"/>
          <w:szCs w:val="18"/>
          <w:color w:val="auto"/>
        </w:rPr>
      </w:pPr>
    </w:p>
    <w:p>
      <w:pPr>
        <w:ind w:left="444" w:right="360" w:firstLine="419"/>
        <w:spacing w:after="0" w:line="282" w:lineRule="auto"/>
        <w:tabs>
          <w:tab w:leader="none" w:pos="1122"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location and number of the Borrower’s account to which funds are to be disbursed, which shall comply with the requirements of Section 2.07.</w:t>
      </w:r>
    </w:p>
    <w:p>
      <w:pPr>
        <w:spacing w:after="0" w:line="162" w:lineRule="exact"/>
        <w:rPr>
          <w:sz w:val="20"/>
          <w:szCs w:val="20"/>
          <w:color w:val="auto"/>
        </w:rPr>
      </w:pPr>
    </w:p>
    <w:p>
      <w:pPr>
        <w:ind w:left="4" w:right="60"/>
        <w:spacing w:after="0" w:line="258" w:lineRule="auto"/>
        <w:rPr>
          <w:sz w:val="20"/>
          <w:szCs w:val="20"/>
          <w:color w:val="auto"/>
        </w:rPr>
      </w:pPr>
      <w:r>
        <w:rPr>
          <w:rFonts w:ascii="Times New Roman" w:cs="Times New Roman" w:eastAsia="Times New Roman" w:hAnsi="Times New Roman"/>
          <w:sz w:val="18"/>
          <w:szCs w:val="18"/>
          <w:color w:val="auto"/>
        </w:rPr>
        <w:t>If no election as to the currency of a Borrowing is specified, then the requested Borrowing shall be made in Dollars. If no election as to the Type of Borrowing is specified, then the requested Borrowing shall be an ABR Borrowing made in Dollars. If no Interest Period is specified with respect to any requested Term Benchmark Borrowing, then the Borrower shall be deemed to have selected an Interest Period of one month’s duration. Promptly following receipt of a Borrowing Request in accordance with this Section, the Administrative Agent shall advise each Lender of the details thereof and of the amount of such Lender’s Loan to be made as part of the requested Borrowing.</w:t>
      </w:r>
    </w:p>
    <w:p>
      <w:pPr>
        <w:spacing w:after="0" w:line="183" w:lineRule="exact"/>
        <w:rPr>
          <w:sz w:val="20"/>
          <w:szCs w:val="20"/>
          <w:color w:val="auto"/>
        </w:rPr>
      </w:pPr>
    </w:p>
    <w:p>
      <w:pPr>
        <w:ind w:left="4" w:right="80"/>
        <w:spacing w:after="0" w:line="256" w:lineRule="auto"/>
        <w:rPr>
          <w:sz w:val="20"/>
          <w:szCs w:val="20"/>
          <w:color w:val="auto"/>
        </w:rPr>
      </w:pPr>
      <w:r>
        <w:rPr>
          <w:rFonts w:ascii="Times New Roman" w:cs="Times New Roman" w:eastAsia="Times New Roman" w:hAnsi="Times New Roman"/>
          <w:sz w:val="18"/>
          <w:szCs w:val="18"/>
          <w:color w:val="auto"/>
        </w:rPr>
        <w:t>Notwithstanding the foregoing, in no event shall the Borrower be permitted to request pursuant to this Section 2.03 a CBR Loan or, prior to a Benchmark Transition Event and Benchmark Replacement Date with respect to (x) the Term SOFR Rate, an RFR Loan bearing interest based on Daily Simple SOFR or (y) Term CORRA, an RFR Loan bearing interest based on Daily Simple CORRA (it being understood and agreed that a Central Bank Rate, the Canadian Prime Rate, the Japanese Prime Rate, Daily Simple SOFR and Daily Simple CORRA shall only apply to the extent provided in Sections 2.08(e) (solely with respect to the Central Bank Rate, the Canadian Prime Rate and the Japanese Prime Rate), 2.14(a) and 2.14(f), as applicable).</w:t>
      </w:r>
    </w:p>
    <w:p>
      <w:pPr>
        <w:spacing w:after="0" w:line="12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64"/>
          </w:cols>
          <w:pgMar w:left="436" w:top="270" w:right="499" w:bottom="1440" w:gutter="0" w:footer="0" w:header="0"/>
        </w:sectPr>
      </w:pPr>
    </w:p>
    <w:bookmarkStart w:id="97" w:name="page98"/>
    <w:bookmarkEnd w:id="97"/>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2.04. </w:t>
      </w:r>
      <w:r>
        <w:rPr>
          <w:rFonts w:ascii="Times New Roman" w:cs="Times New Roman" w:eastAsia="Times New Roman" w:hAnsi="Times New Roman"/>
          <w:sz w:val="18"/>
          <w:szCs w:val="18"/>
          <w:u w:val="single" w:color="auto"/>
          <w:color w:val="auto"/>
        </w:rPr>
        <w:t>Determination of Dollar Amounts</w:t>
      </w:r>
      <w:r>
        <w:rPr>
          <w:rFonts w:ascii="Times New Roman" w:cs="Times New Roman" w:eastAsia="Times New Roman" w:hAnsi="Times New Roman"/>
          <w:sz w:val="18"/>
          <w:szCs w:val="18"/>
          <w:color w:val="auto"/>
        </w:rPr>
        <w:t>. The Administrative Agent will determine the Dollar Amount of:</w:t>
      </w:r>
    </w:p>
    <w:p>
      <w:pPr>
        <w:spacing w:after="0" w:line="117" w:lineRule="exact"/>
        <w:rPr>
          <w:sz w:val="20"/>
          <w:szCs w:val="20"/>
          <w:color w:val="auto"/>
        </w:rPr>
      </w:pPr>
    </w:p>
    <w:p>
      <w:pPr>
        <w:ind w:left="4" w:right="120" w:firstLine="987"/>
        <w:spacing w:after="0" w:line="261" w:lineRule="auto"/>
        <w:tabs>
          <w:tab w:leader="none" w:pos="124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denominated in a Foreign Currency, on each of the following: (i) the date of the Borrowing of such Loan and (ii)(A) with respect to any Term Benchmark Loan, each date of a conversion or continuation of such Loan pursuant to the terms of this Agreement and (B) with respect to any RFR Loan, each date that is on the numerically corresponding day in each calendar month that is one month after the Borrowing of such Loan (or, if there is no such numerically corresponding day in such month, then the last day of such month),</w:t>
      </w:r>
    </w:p>
    <w:p>
      <w:pPr>
        <w:spacing w:after="0" w:line="179"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Letter of Credit denominated in a Foreign Currency, on each of the following: (i) the date on which such Letter of Credit is issued,</w:t>
      </w:r>
    </w:p>
    <w:p>
      <w:pPr>
        <w:spacing w:after="0" w:line="27" w:lineRule="exact"/>
        <w:rPr>
          <w:rFonts w:ascii="Times New Roman" w:cs="Times New Roman" w:eastAsia="Times New Roman" w:hAnsi="Times New Roman"/>
          <w:sz w:val="18"/>
          <w:szCs w:val="18"/>
          <w:color w:val="auto"/>
        </w:rPr>
      </w:pPr>
    </w:p>
    <w:p>
      <w:pPr>
        <w:ind w:left="4" w:right="160" w:hanging="4"/>
        <w:spacing w:after="0" w:line="260" w:lineRule="auto"/>
        <w:tabs>
          <w:tab w:leader="none" w:pos="269"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Business Day of each calendar month and (iii) the date of any amendment of such Letter of Credit that has the effect of increasing the face amount thereof, and</w:t>
      </w:r>
    </w:p>
    <w:p>
      <w:pPr>
        <w:spacing w:after="0" w:line="18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Credit Event, on any additional date as the Administrative Agent may determine at any time when an Event of Default exists.</w:t>
      </w:r>
    </w:p>
    <w:p>
      <w:pPr>
        <w:spacing w:after="0" w:line="225" w:lineRule="exact"/>
        <w:rPr>
          <w:sz w:val="20"/>
          <w:szCs w:val="20"/>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Each day upon or as of which the Administrative Agent determines Dollar Amounts as described in the preceding clauses (a), (b) and (c) is herein described as a “Computation Date” with respect to each Credit Event for which a Dollar Amount is determined on or as of such day.</w:t>
      </w:r>
    </w:p>
    <w:p>
      <w:pPr>
        <w:spacing w:after="0" w:line="162" w:lineRule="exact"/>
        <w:rPr>
          <w:sz w:val="20"/>
          <w:szCs w:val="20"/>
          <w:color w:val="auto"/>
        </w:rPr>
      </w:pPr>
    </w:p>
    <w:p>
      <w:pPr>
        <w:ind w:left="4"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Swingline Loans</w:t>
      </w:r>
      <w:r>
        <w:rPr>
          <w:rFonts w:ascii="Times New Roman" w:cs="Times New Roman" w:eastAsia="Times New Roman" w:hAnsi="Times New Roman"/>
          <w:sz w:val="18"/>
          <w:szCs w:val="18"/>
          <w:color w:val="auto"/>
        </w:rPr>
        <w:t xml:space="preserve">. (a) Subject to the terms and conditions set forth herein, the Swingline Lender may agree, but shall have no obligation, to make Swingline Loans in Dollars to the Borrower from time to time during the Availability Period, in an aggregate principal amount at any time outstanding that will not result in (i) the aggregate principal amount of outstanding Swingline Loans exceeding the Swingline Sublimit, (ii) any Lender’s Revolving Credit Exposure exceeding its Commitment or (iii) the Dollar Amount of the Total Revolving Credit Exposure exceeding the Aggregate Commitment;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Swingline Lender shall not be required to make a Swingline Loan to refinance an outstanding Swingline Loan. Within the foregoing limits and subject to the terms and conditions set forth herein, the Borrower may borrow, prepay and reborrow Swingline Loans.</w:t>
      </w:r>
    </w:p>
    <w:p>
      <w:pPr>
        <w:spacing w:after="0" w:line="189" w:lineRule="exact"/>
        <w:rPr>
          <w:sz w:val="20"/>
          <w:szCs w:val="20"/>
          <w:color w:val="auto"/>
        </w:rPr>
      </w:pPr>
    </w:p>
    <w:p>
      <w:pPr>
        <w:ind w:left="4" w:right="20" w:firstLine="987"/>
        <w:spacing w:after="0" w:line="253" w:lineRule="auto"/>
        <w:tabs>
          <w:tab w:leader="none" w:pos="125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request a Swingline Loan, the Borrower shall notify the Administrative Agent of such request by irrevocable written notice (via a written Borrowing Request in a form approved by the Administrative Agent and signed by a Responsible Officer of the Borrower) to the Administrative Agent by telecopy or electronic mail (or transmit by electronic communication including an Approved Borrower Portal, if arrangements for such transmission have been approved by the Administrative Agent), not later than 12:00 noon, New York City time, on the day of a proposed Swingline Loan. Each such notice shall be in a form approved by the Administrative Agent, shall be irrevocable and shall specify the requested date (which shall be a Business Day) and amount of the requested Swingline Loan. The Administrative Agent will promptly advise the Swingline Lender of any such notice received from the Borrower. The Swingline Lender shall make each Swingline Loan available to the Borrower by means of a credit to an account of the Borrower with the Administrative Agent designated for such purpose (or, in the case of a Swingline Loan made to finance the reimbursement of an LC Disbursement as provided in Section 2.06(e), by remittance to the applicable Issuing Bank) by 3:00 p.m., New York City time, on the requested date of such Swingline Loan.</w:t>
      </w:r>
    </w:p>
    <w:p>
      <w:pPr>
        <w:spacing w:after="0" w:line="194" w:lineRule="exact"/>
        <w:rPr>
          <w:rFonts w:ascii="Times New Roman" w:cs="Times New Roman" w:eastAsia="Times New Roman" w:hAnsi="Times New Roman"/>
          <w:sz w:val="18"/>
          <w:szCs w:val="18"/>
          <w:color w:val="auto"/>
        </w:rPr>
      </w:pPr>
    </w:p>
    <w:p>
      <w:pPr>
        <w:ind w:left="4" w:right="60" w:firstLine="987"/>
        <w:spacing w:after="0" w:line="266" w:lineRule="auto"/>
        <w:tabs>
          <w:tab w:leader="none" w:pos="12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Swingline Lender may by written notice given to the Administrative Agent require the Lenders to acquire participations in all or a portion of the Swingline Loans outstanding. Such notice shall specify the aggregate amount of Swingline Loans in which Lenders will participate. Promptly upon receipt of such notice, the Administrative Agent will give notice thereof to each Lender, specifying in such</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84"/>
          </w:cols>
          <w:pgMar w:left="436" w:top="270" w:right="479" w:bottom="1440" w:gutter="0" w:footer="0" w:header="0"/>
        </w:sectPr>
      </w:pPr>
    </w:p>
    <w:bookmarkStart w:id="98" w:name="page99"/>
    <w:bookmarkEnd w:id="98"/>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notice such Lender’s Applicable Percentage of such Swingline Loan or Loans. Each Lender hereby absolutely and unconditionally agrees, promptly upon receipt of such notice from the Administrative Agent (and in any event, if such notice is received by 12:00 noon, New York City time, on a Business Day, no later than 5:00 p.m., New York City time, on such Business Day and if received after 12:00 noon, New York City time, on a Business Day, no later than 10:00 a.m., New York City time, on the immediately succeeding Business Day), to pay to the Administrative Agent, for the account of the Swingline Lender, such Lender’s Applicable Percentage of such Swingline Loan or Loans. Each Lender acknowledges and agrees that its obligation to acquire participations in Swingline Loans pursuant to this paragraph is absolute and unconditional and shall not be affected by any circumstance whatsoever, including the occurrence and continuance of a Default or reduction or termination of the Commitments, and that each such payment shall be made without any offset, abatement, withholding or reduction whatsoever. Each Lender shall comply with its obligation under this paragraph by wire transfer of immediately available funds, in the same manner as provided in Section 2.07 with respect to Loans made by such Lender (and Section 2.07 shall apply, </w:t>
      </w:r>
      <w:r>
        <w:rPr>
          <w:rFonts w:ascii="Times New Roman" w:cs="Times New Roman" w:eastAsia="Times New Roman" w:hAnsi="Times New Roman"/>
          <w:sz w:val="18"/>
          <w:szCs w:val="18"/>
          <w:u w:val="single" w:color="auto"/>
          <w:color w:val="auto"/>
        </w:rPr>
        <w:t>mutatis mutandis</w:t>
      </w:r>
      <w:r>
        <w:rPr>
          <w:rFonts w:ascii="Times New Roman" w:cs="Times New Roman" w:eastAsia="Times New Roman" w:hAnsi="Times New Roman"/>
          <w:sz w:val="18"/>
          <w:szCs w:val="18"/>
          <w:color w:val="auto"/>
        </w:rPr>
        <w:t xml:space="preserve">, to the payment obligations of the Lenders), and the Administrative Agent shall promptly pay to the Swingline Lender the amounts so received by it from the Lenders. The Administrative Agent shall notify the Borrower of any participations in any Swingline Loan acquired pursuant to this paragraph, and thereafter payments in respect of such Swingline Loan shall be made to the Administrative Agent and not to the Swingline Lender. Any amounts received by the Swingline Lender from the Borrower (or other party on behalf of the Borrower) in respect of a Swingline Loan after receipt by the Swingline Lender of the proceeds of a sale of participations therein shall be promptly remitted to the Administrative Agent; any such amounts received by the Administrative Agent shall be promptly remitted by the Administrative Agent to the Lenders that shall have made their payments pursuant to this paragraph and to the Swingline Lender, as their interests may appear;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payment so remitted shall be repaid to the Swingline Lender or to the Administrative Agent, as applicable, if and to the extent such payment is required to be refunded to the Borrower for any reason. The purchase of participations in a Swingline Loan pursuant to this paragraph shall not relieve the Borrower of any default in the payment thereof.</w:t>
      </w:r>
    </w:p>
    <w:p>
      <w:pPr>
        <w:spacing w:after="0" w:line="191" w:lineRule="exact"/>
        <w:rPr>
          <w:sz w:val="20"/>
          <w:szCs w:val="20"/>
          <w:color w:val="auto"/>
        </w:rPr>
      </w:pPr>
    </w:p>
    <w:p>
      <w:pPr>
        <w:ind w:right="20" w:firstLine="987"/>
        <w:spacing w:after="0" w:line="254" w:lineRule="auto"/>
        <w:tabs>
          <w:tab w:leader="none" w:pos="124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Swingline Lender may be replaced at any time by written agreement among the Borrower, the Administrative Agent, the replaced Swingline Lender and the successor Swingline Lender. The Administrative Agent shall notify the Lenders of any such replacement of the Swingline Lender. At the time any such replacement shall become effective, the Borrower shall pay all unpaid interest accrued for the account of the replaced Swingline Lender pursuant to Section 2.13(a). From and after the effective date of any such replacement, (i) the successor Swingline Lender shall have all the rights and obligations of the replaced Swingline Lender under this Agreement with respect to Swingline Loans made thereafter and (ii) references herein to the term “Swingline Lender” shall be deemed to refer to such successor or to any previous Swingline Lender, or to such successor and all previous Swingline Lenders, as the context shall require. After the replacement of a Swingline Lender hereunder, the replaced Swingline Lender shall remain a party hereto and shall continue to have all the rights and obligations of a Swingline Lender under this Agreement with respect to Swingline Loans made by it prior to its replacement, but shall not be required to make additional Swingline Loans.</w:t>
      </w:r>
    </w:p>
    <w:p>
      <w:pPr>
        <w:spacing w:after="0" w:line="188" w:lineRule="exact"/>
        <w:rPr>
          <w:rFonts w:ascii="Times New Roman" w:cs="Times New Roman" w:eastAsia="Times New Roman" w:hAnsi="Times New Roman"/>
          <w:sz w:val="18"/>
          <w:szCs w:val="18"/>
          <w:color w:val="auto"/>
        </w:rPr>
      </w:pPr>
    </w:p>
    <w:p>
      <w:pPr>
        <w:ind w:right="20" w:firstLine="987"/>
        <w:spacing w:after="0" w:line="266" w:lineRule="auto"/>
        <w:tabs>
          <w:tab w:leader="none" w:pos="123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appointment and acceptance of a successor Swingline Lender, the Swingline Lender may resign as a Swingline Lender at any time upon thirty (30) days’ prior written notice to the Administrative Agent, the Borrower and the Lenders, in which case, such Swingline Lender shall be replaced in accordance with Section 2.05(d) above.</w:t>
      </w:r>
    </w:p>
    <w:p>
      <w:pPr>
        <w:spacing w:after="0" w:line="176" w:lineRule="exact"/>
        <w:rPr>
          <w:sz w:val="20"/>
          <w:szCs w:val="20"/>
          <w:color w:val="auto"/>
        </w:rPr>
      </w:pPr>
    </w:p>
    <w:p>
      <w:pPr>
        <w:ind w:right="1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u w:val="single" w:color="auto"/>
          <w:color w:val="auto"/>
        </w:rPr>
        <w:t>Letters of Credit</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xml:space="preserve">. Subject to the terms and conditions set forth herein, the Borrower may request any Issuing Bank to issue of Letters of Credit denominated in Agreed Currencies as the applicant thereof for the support of its or its Subsidiaries’ obligations, in a form reasonably acceptable to the Administrative Agent and such Issuing Bank, at any time and from time to time during the Availability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there shall not at any time be more than a total of twenty (20) Letters of Credit outstanding. The letters of credit identified on </w:t>
      </w:r>
      <w:r>
        <w:rPr>
          <w:rFonts w:ascii="Times New Roman" w:cs="Times New Roman" w:eastAsia="Times New Roman" w:hAnsi="Times New Roman"/>
          <w:sz w:val="18"/>
          <w:szCs w:val="18"/>
          <w:u w:val="single" w:color="auto"/>
          <w:color w:val="auto"/>
        </w:rPr>
        <w:t>Schedule 2.06</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Existing Letters of Credit</w:t>
      </w:r>
      <w:r>
        <w:rPr>
          <w:rFonts w:ascii="Times New Roman" w:cs="Times New Roman" w:eastAsia="Times New Roman" w:hAnsi="Times New Roman"/>
          <w:sz w:val="18"/>
          <w:szCs w:val="18"/>
          <w:color w:val="auto"/>
        </w:rPr>
        <w:t>”) shall be deemed to be “Letters of Credit” issued on the Effective Date for all purposes of the Loan Documents.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00"/>
          </w:cols>
          <w:pgMar w:left="440" w:top="270" w:right="459" w:bottom="1440" w:gutter="0" w:footer="0" w:header="0"/>
        </w:sectPr>
      </w:pPr>
    </w:p>
    <w:bookmarkStart w:id="99" w:name="page100"/>
    <w:bookmarkEnd w:id="99"/>
    <w:p>
      <w:pPr>
        <w:ind w:firstLine="987"/>
        <w:spacing w:after="0" w:line="251" w:lineRule="auto"/>
        <w:tabs>
          <w:tab w:leader="none" w:pos="124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 of Issuance, Amendment, Extension; Certain Conditions</w:t>
      </w:r>
      <w:r>
        <w:rPr>
          <w:rFonts w:ascii="Times New Roman" w:cs="Times New Roman" w:eastAsia="Times New Roman" w:hAnsi="Times New Roman"/>
          <w:sz w:val="18"/>
          <w:szCs w:val="18"/>
          <w:color w:val="auto"/>
        </w:rPr>
        <w:t>. To request the issuance of a Letter of Credit (or the amendment or extension of an outstanding Letter of Credit), the Borrower shall hand deliver or telecopy (or transmit by electronic communication, including an Approved Borrower Portal, if arrangements for doing so have been approved by the applicable Issuing Bank) to the Issuing Bank selected by the Borrower and to the Administrative Agent (reasonably in advance of the requested date of issuance, amendment or extension, but in any event no less than three (3) Business Days) a written notice requesting the issuance of a Letter of Credit, or identifying the Letter of Credit to be amended or extended, and specifying the date of issuance, amendment or extension (which shall be a Business Day), the date on which such Letter of Credit is to expire (which shall comply with paragraph (c) of this Section), the amount of such Letter of Credit, the Agreed Currency applicable thereto, the name and address of the beneficiary thereof and such other information as shall be necessary to prepare, amend or extend such Letter of Credit. In addition, as a condition to any such Letter of Credit issuance, the Borrower shall have entered into a continuing agreement (or other letter of credit agreement) for the issuance of letters of credit and/or shall submit a letter of credit application, in each case, as required by the applicable Issuing Bank and using such Issuing Bank’s standard form (each, a “</w:t>
      </w:r>
      <w:r>
        <w:rPr>
          <w:rFonts w:ascii="Times New Roman" w:cs="Times New Roman" w:eastAsia="Times New Roman" w:hAnsi="Times New Roman"/>
          <w:sz w:val="18"/>
          <w:szCs w:val="18"/>
          <w:u w:val="single" w:color="auto"/>
          <w:color w:val="auto"/>
        </w:rPr>
        <w:t>Letter of Credit Agreement</w:t>
      </w:r>
      <w:r>
        <w:rPr>
          <w:rFonts w:ascii="Times New Roman" w:cs="Times New Roman" w:eastAsia="Times New Roman" w:hAnsi="Times New Roman"/>
          <w:sz w:val="18"/>
          <w:szCs w:val="18"/>
          <w:color w:val="auto"/>
        </w:rPr>
        <w:t xml:space="preserve">”). In the event of any conflict between the terms and conditions of this Agreement and the terms and conditions of any Letter of Credit Agreement, the terms and conditions of this Agreement shall control. A Letter of Credit shall be issued, amended or extended only if (and upon issuance, amendment or extension of each Letter of Credit the Borrower shall be deemed to represent and warrant that), after giving effect to such issuance, amendment or extension subject to Sections 2.04 and 2.11(b), (i) (x) the aggregate undrawn Dollar Amount of all outstanding Letters of Credit issued by any Issuing Bank at such time plus (y) the aggregate Dollar Amount of all LC Disbursements made by such Issuing Bank that have not yet been reimbursed by or on behalf of the Borrower at such time shall not, subject to the immediately succeeding sentence, exceed its Letter of Credit Base Commitment, (ii) the Dollar Amount of the LC Exposure shall not exceed $100,000,000, (iii) the Dollar Amount of the Total Revolving Credit Exposure shall not exceed the Aggregate Commitment and (iv) the Dollar Amount of each Lender’s Revolving Credit Exposure shall not exceed such Lender’s Commitment. It is hereby understood and agreed that any Issuing Bank may agree, but shall have no obligation or commitment, to issue any Letter of Credit if the Dollar Amount of the LC Exposure after giving effect to the issuance of such Letter of Credit would exceed such Issuing Bank’s Letter of Credit Base Commitment;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any event, subject to Sections 2.04 and 2.11(b), after giving effect to such issuance of such Letter of Credit, (1) clauses (iii) and (iv) of the immediately preceding satisfied and (2) the Dollar Amount of LC Exposure shall not exceed $150,000,000.</w:t>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An Issuing Bank shall not be under any obligation to issue, amend or extend any Letter of Credit if:</w:t>
      </w:r>
    </w:p>
    <w:p>
      <w:pPr>
        <w:spacing w:after="0" w:line="117" w:lineRule="exact"/>
        <w:rPr>
          <w:sz w:val="20"/>
          <w:szCs w:val="20"/>
          <w:color w:val="auto"/>
        </w:rPr>
      </w:pPr>
    </w:p>
    <w:p>
      <w:pPr>
        <w:ind w:left="440" w:right="180" w:firstLine="948"/>
        <w:spacing w:after="0" w:line="255" w:lineRule="auto"/>
        <w:tabs>
          <w:tab w:leader="none" w:pos="1607"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order, judgment or decree of any Governmental Authority or arbitrator shall by its terms purport to enjoin or restrain such Issuing Bank from issuing, amending or extending such Letter of Credit, or request that such Issuing Bank refrain from issuing, amending or extending such Letter of Credit, or any law applicable to such Issuing Bank shall prohibit, the issuance, amendment or extension of letters of credit generally or such Letter of Credit in particular or any such order, judgment or decree, or law shall impose upon such Issuing Bank with respect to such Letter of Credit any restriction, reserve or capital or liquidity requirement (for which such Issuing Bank is not otherwise compensated hereunder) not in effect on the Effective Date, or shall impose upon such Issuing Bank any unreimbursed loss, cost or expense that was not applicable on the Effective Date and that such Issuing Bank in good faith deems material to it; or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0"/>
          </w:cols>
          <w:pgMar w:left="440" w:top="270" w:right="459" w:bottom="1440" w:gutter="0" w:footer="0" w:header="0"/>
        </w:sectPr>
      </w:pPr>
    </w:p>
    <w:bookmarkStart w:id="100" w:name="page101"/>
    <w:bookmarkEnd w:id="100"/>
    <w:p>
      <w:pPr>
        <w:ind w:left="440" w:firstLine="948"/>
        <w:spacing w:after="0" w:line="282" w:lineRule="auto"/>
        <w:tabs>
          <w:tab w:leader="none" w:pos="1657"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issuance, amendment or extension of such Letter of Credit would violate one or more policies of such Issuing Bank applicable to letters of credit generally.</w:t>
      </w:r>
    </w:p>
    <w:p>
      <w:pPr>
        <w:spacing w:after="0" w:line="161" w:lineRule="exact"/>
        <w:rPr>
          <w:rFonts w:ascii="Times New Roman" w:cs="Times New Roman" w:eastAsia="Times New Roman" w:hAnsi="Times New Roman"/>
          <w:sz w:val="18"/>
          <w:szCs w:val="18"/>
          <w:color w:val="auto"/>
        </w:rPr>
      </w:pPr>
    </w:p>
    <w:p>
      <w:pPr>
        <w:ind w:right="140" w:firstLine="987"/>
        <w:spacing w:after="0" w:line="255" w:lineRule="auto"/>
        <w:tabs>
          <w:tab w:leader="none" w:pos="123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xml:space="preserve">. Each Letter of Credit shall expire (or be subject to termination by notice from the applicable Issuing Bank to the beneficiary thereof) at or prior to the close of business on the earlier of (i) the date one year after the date of the issuance of such Letter of Credit (or, in the case of any extension of the expiration date thereof, one year after such extension) and (ii) the date that is five (5) Business Days prior to the Maturity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Letter of Credit with a one-year tenor may contain customary automatic extension provisions agreed upon by the Borrower and such Issuing Bank that provide for the extension thereof for additional one-year periods (which shall in no event extend beyond the date referenced in clause (ii) above), subject to a right on the part of such Issuing Bank to prevent any such extension from occurring by giving notice to the beneficiary in advance of any such extension.</w:t>
      </w:r>
    </w:p>
    <w:p>
      <w:pPr>
        <w:spacing w:after="0" w:line="188" w:lineRule="exact"/>
        <w:rPr>
          <w:rFonts w:ascii="Times New Roman" w:cs="Times New Roman" w:eastAsia="Times New Roman" w:hAnsi="Times New Roman"/>
          <w:sz w:val="18"/>
          <w:szCs w:val="18"/>
          <w:color w:val="auto"/>
        </w:rPr>
      </w:pPr>
    </w:p>
    <w:p>
      <w:pPr>
        <w:ind w:firstLine="987"/>
        <w:spacing w:after="0" w:line="253" w:lineRule="auto"/>
        <w:tabs>
          <w:tab w:leader="none" w:pos="124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Participations</w:t>
      </w:r>
      <w:r>
        <w:rPr>
          <w:rFonts w:ascii="Times New Roman" w:cs="Times New Roman" w:eastAsia="Times New Roman" w:hAnsi="Times New Roman"/>
          <w:sz w:val="18"/>
          <w:szCs w:val="18"/>
          <w:color w:val="auto"/>
        </w:rPr>
        <w:t>. By the issuance of a Letter of Credit (or an amendment to a Letter of Credit increasing the amount or extending the term thereof) and without any further action on the part of the applicable Issuing Bank or the Lenders, such Issuing Bank hereby grants to each Lender, and each Lender hereby acquires from such Issuing Bank, a participation in such Letter of Credit equal to such Lender’s Applicable Percentage of the aggregate amount available to be drawn under such Letter of Credit. In consideration and in furtherance of the foregoing, each Lender hereby absolutely and unconditionally agrees to pay to the Administrative Agent, for the account of the applicable Issuing Bank, such Lender’s Applicable Percentage of each LC Disbursement made by such Issuing Bank and not reimbursed by the Borrower on the date due as provided in paragraph (e) of this Section, or of any reimbursement payment required to be refunded to the Borrower for any reason, including after the Maturity Date. Each such payment shall be made without any offset, abatement, withholding or reduction whatsoever. Each Lender acknowledges and agrees that its obligations to acquire participations pursuant to this paragraph in respect of Letters of Credit and to make payments in respect of such acquired participations are absolute and unconditional and shall not be affected by any circumstance whatsoever, including any amendment or extension of any Letter of Credit or the occurrence and continuance of a Default or reduction or termination of the Commitments.</w:t>
      </w:r>
    </w:p>
    <w:p>
      <w:pPr>
        <w:spacing w:after="0" w:line="191" w:lineRule="exact"/>
        <w:rPr>
          <w:rFonts w:ascii="Times New Roman" w:cs="Times New Roman" w:eastAsia="Times New Roman" w:hAnsi="Times New Roman"/>
          <w:sz w:val="18"/>
          <w:szCs w:val="18"/>
          <w:color w:val="auto"/>
        </w:rPr>
      </w:pPr>
    </w:p>
    <w:p>
      <w:pPr>
        <w:ind w:right="60" w:firstLine="987"/>
        <w:spacing w:after="0" w:line="252" w:lineRule="auto"/>
        <w:tabs>
          <w:tab w:leader="none" w:pos="123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Reimbursement</w:t>
      </w:r>
      <w:r>
        <w:rPr>
          <w:rFonts w:ascii="Times New Roman" w:cs="Times New Roman" w:eastAsia="Times New Roman" w:hAnsi="Times New Roman"/>
          <w:sz w:val="18"/>
          <w:szCs w:val="18"/>
          <w:color w:val="auto"/>
        </w:rPr>
        <w:t xml:space="preserve">. If an Issuing Bank shall make any LC Disbursement in respect of a Letter of Credit, the Borrower shall reimburse such LC Disbursement by paying to the Administrative Agent an amount in the currency of such LC Disbursement equal to such LC Disbursement not later than 12:00 noon, New York City time, on the date that such LC Disbursement is made, if the Borrower shall have received notice of such LC Disbursement prior to 10:00 a.m., New York City time, on such date, or, if such notice has not been received by the Borrower prior to such time on such date, then not later than 12:00 noon, New York City time, on the Business Day immediately following the day that the Borrower receives such notice, if such notice is not received prior to such time on the day of receipt;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LC Disbursement is not less than the Dollar Amount of $1,000,000, the Borrower may, subject to the conditions to borrowing set forth herein, request in accordance with Section 2.03 or 2.05 that such payment be financed with (i) to the extent such LC Disbursement was made in Dollars, an ABR Revolving Borrowing, a Term Benchmark Revolving Borrowing or a Swingline Loan in Dollars in an amount equal to such LC Disbursement or (ii) to the extent that such LC Disbursement was made in a Foreign Currency, a Term Benchmark Revolving Borrowing or an RFR Revolving Borrowing in such Foreign Currency in an amount equal to such LC Disbursement and, in each case, to the extent so financed, the Borrower’s obligation to make such payment shall be discharged and replaced by the resulting ABR Revolving Borrowing, Term Benchmark Revolving Borrowing, RFR Revolving Borrowing or Swingline Loan, as applicable. If the Borrower fails to make such payment when due, the Administrative Agent shall notify each Lender of the applicable LC Disbursement, the payment then due from the Borrower in respect thereof and such Lender’s Applicable Percentage thereof. Promptly following receipt of such notice, each Lender shall pay to the Administrative Agent its Applicable Percentage of the payment then due from the Borrower,</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20"/>
          </w:cols>
          <w:pgMar w:left="440" w:top="270" w:right="439" w:bottom="1440" w:gutter="0" w:footer="0" w:header="0"/>
        </w:sectPr>
      </w:pPr>
    </w:p>
    <w:bookmarkStart w:id="101" w:name="page102"/>
    <w:bookmarkEnd w:id="101"/>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the same manner as provided in Section 2.07 with respect to Loans made by such Lender (and Section 2.07 shall apply, </w:t>
      </w:r>
      <w:r>
        <w:rPr>
          <w:rFonts w:ascii="Times New Roman" w:cs="Times New Roman" w:eastAsia="Times New Roman" w:hAnsi="Times New Roman"/>
          <w:sz w:val="18"/>
          <w:szCs w:val="18"/>
          <w:u w:val="single" w:color="auto"/>
          <w:color w:val="auto"/>
        </w:rPr>
        <w:t>mutatis mutandis</w:t>
      </w:r>
      <w:r>
        <w:rPr>
          <w:rFonts w:ascii="Times New Roman" w:cs="Times New Roman" w:eastAsia="Times New Roman" w:hAnsi="Times New Roman"/>
          <w:sz w:val="18"/>
          <w:szCs w:val="18"/>
          <w:color w:val="auto"/>
        </w:rPr>
        <w:t>, to the payment obligations of the Lenders), and the Administrative Agent shall promptly pay to the applicable Issuing Bank the amounts so received by it from the Lenders. Promptly following receipt by the Administrative Agent of any payment from the Borrower pursuant to this paragraph, the Administrative Agent shall distribute such payment to the applicable Issuing Bank or, to the extent that Lenders have made payments pursuant to this paragraph to reimburse such Issuing Bank, then to such Lenders and such Issuing Bank as their interests may appear. Any payment made by a Lender pursuant to this paragraph to reimburse an Issuing Bank for any LC Disbursement (other than the funding of Revolving Loans or a Swingline Loan as contemplated above) shall not constitute a Loan and shall not relieve the Borrower of its obligation to reimburse such LC Disbursement.</w:t>
      </w:r>
    </w:p>
    <w:p>
      <w:pPr>
        <w:spacing w:after="0" w:line="189" w:lineRule="exact"/>
        <w:rPr>
          <w:sz w:val="20"/>
          <w:szCs w:val="20"/>
          <w:color w:val="auto"/>
        </w:rPr>
      </w:pPr>
    </w:p>
    <w:p>
      <w:pPr>
        <w:ind w:firstLine="987"/>
        <w:spacing w:after="0" w:line="251" w:lineRule="auto"/>
        <w:tabs>
          <w:tab w:leader="none" w:pos="121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Absolute</w:t>
      </w:r>
      <w:r>
        <w:rPr>
          <w:rFonts w:ascii="Times New Roman" w:cs="Times New Roman" w:eastAsia="Times New Roman" w:hAnsi="Times New Roman"/>
          <w:sz w:val="18"/>
          <w:szCs w:val="18"/>
          <w:color w:val="auto"/>
        </w:rPr>
        <w:t xml:space="preserve">. The Borrower’s obligation to reimburse LC Disbursements as provided in paragraph (e) of this Section shall be absolute, unconditional and irrevocable, and shall be performed strictly in accordance with the terms of this Agreement under any and all circumstances whatsoever and irrespective of (i) any lack of validity or enforceability of any Letter of Credit, any Letter of Credit Agreement or this Agreement, or any term or provision therein or herein, (ii) any draft or other document presented under a Letter of Credit proving to be forged, fraudulent or invalid in any respect or any statement therein being untrue or inaccurate in any respect, (iii) any payment by the applicable Issuing Bank under a Letter of Credit against presentation of a draft or other document that does not comply with the terms of such Letter of Credit, (iv) any other event or circumstance whatsoever, whether or not similar to any of the foregoing, that might, but for the provisions of this Section, constitute a legal or equitable discharge of, or provide a right of setoff against, the Borrower’s obligations hereunder, or (v) any adverse change in the relevant exchange rates or in the availability of the relevant Foreign Currency to the Borrower or any Subsidiary or in the relevant currency markets generally. Neither the Administrative Agent, the Lenders nor any Issuing Bank, nor any of their respective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document, notice or other communication under or relating to any Letter of Credit (including any document required to make a drawing thereunder), any error in interpretation of technical terms, any error in translation or any consequence arising from causes beyond the control of the applicable Issuing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be construed to excuse an Issuing Bank from liability to the Borrower to the extent of any direct damages (as opposed to special, indirect, consequential or punitive damages, claims in respect of which are hereby waived by the Borrower to the extent permitted by applicable law) suffered by the Borrower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an Issuing Bank (as finally determined by a court of competent jurisdiction),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an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204" w:lineRule="exact"/>
        <w:rPr>
          <w:rFonts w:ascii="Times New Roman" w:cs="Times New Roman" w:eastAsia="Times New Roman" w:hAnsi="Times New Roman"/>
          <w:sz w:val="18"/>
          <w:szCs w:val="18"/>
          <w:color w:val="auto"/>
        </w:rPr>
      </w:pPr>
    </w:p>
    <w:p>
      <w:pPr>
        <w:ind w:firstLine="987"/>
        <w:spacing w:after="0" w:line="256" w:lineRule="auto"/>
        <w:tabs>
          <w:tab w:leader="none" w:pos="124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Disbursement Procedures</w:t>
      </w:r>
      <w:r>
        <w:rPr>
          <w:rFonts w:ascii="Times New Roman" w:cs="Times New Roman" w:eastAsia="Times New Roman" w:hAnsi="Times New Roman"/>
          <w:sz w:val="18"/>
          <w:szCs w:val="18"/>
          <w:color w:val="auto"/>
        </w:rPr>
        <w:t xml:space="preserve">. The Issuing Bank for any Letter of Credit shall, within the time allowed by applicable law or the specific terms of the Letter of Credit following its receipt thereof, examine all documents purporting to represent a demand for payment under such Letter of Credit. Such Issuing Bank shall promptly after such examination notify the Administrative Agent and the Borrower by telephone (confirmed by telecopy or electronic mail) of such demand for payment and whether such Issuing Bank has made or will make an LC Disbursement thereunder;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notice need not be given prior to payment by such Issuing Bank and any failure to give or delay in giving such notice shall not relieve the Borrower of its obligation to reimburse such Issuing Bank and the Lenders with respect to any such LC Disbursement.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00"/>
          </w:cols>
          <w:pgMar w:left="440" w:top="270" w:right="459" w:bottom="1440" w:gutter="0" w:footer="0" w:header="0"/>
        </w:sectPr>
      </w:pPr>
    </w:p>
    <w:bookmarkStart w:id="102" w:name="page103"/>
    <w:bookmarkEnd w:id="102"/>
    <w:p>
      <w:pPr>
        <w:ind w:left="4" w:right="20" w:firstLine="987"/>
        <w:spacing w:after="0" w:line="254" w:lineRule="auto"/>
        <w:tabs>
          <w:tab w:leader="none" w:pos="125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Interim Interest</w:t>
      </w:r>
      <w:r>
        <w:rPr>
          <w:rFonts w:ascii="Times New Roman" w:cs="Times New Roman" w:eastAsia="Times New Roman" w:hAnsi="Times New Roman"/>
          <w:sz w:val="18"/>
          <w:szCs w:val="18"/>
          <w:color w:val="auto"/>
        </w:rPr>
        <w:t xml:space="preserve">. If the Issuing Bank for any Letter of Credit shall make any LC Disbursement, then, unless the Borrower shall reimburse such LC Disbursement in full in the applicable currency on the date such LC Disbursement is made, the unpaid amount thereof shall bear interest, for each day from and including the date such LC Disbursement is made to but excluding the date that the reimbursement is due and payable, at the rate per annum then applicable to ABR Revolving Loans and such interest shall be due and payable on the date when such reimbursement is payable;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Borrower fails to reimburse such LC Disbursement when due pursuant to paragraph (e) of this Section, then</w:t>
      </w:r>
    </w:p>
    <w:p>
      <w:pPr>
        <w:spacing w:after="0" w:line="3" w:lineRule="exact"/>
        <w:rPr>
          <w:rFonts w:ascii="Times New Roman" w:cs="Times New Roman" w:eastAsia="Times New Roman" w:hAnsi="Times New Roman"/>
          <w:sz w:val="18"/>
          <w:szCs w:val="18"/>
          <w:color w:val="auto"/>
        </w:rPr>
      </w:pPr>
    </w:p>
    <w:p>
      <w:pPr>
        <w:jc w:val="both"/>
        <w:ind w:left="4"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2.13(d) shall apply. Interest accrued pursuant to this paragraph shall be for the account of such Issuing Bank, except that interest accrued on and after the date of payment by any Lender pursuant to paragraph (e) of this Section to reimburse such Issuing Bank for such LC Disbursement shall be for the account of such Lender to the extent of such payment.</w:t>
      </w:r>
    </w:p>
    <w:p>
      <w:pPr>
        <w:spacing w:after="0" w:line="185" w:lineRule="exact"/>
        <w:rPr>
          <w:rFonts w:ascii="Times New Roman" w:cs="Times New Roman" w:eastAsia="Times New Roman" w:hAnsi="Times New Roman"/>
          <w:sz w:val="18"/>
          <w:szCs w:val="18"/>
          <w:color w:val="auto"/>
        </w:rPr>
      </w:pPr>
    </w:p>
    <w:p>
      <w:pPr>
        <w:ind w:left="4" w:firstLine="987"/>
        <w:spacing w:after="0" w:line="269" w:lineRule="auto"/>
        <w:tabs>
          <w:tab w:leader="none" w:pos="1210" w:val="left"/>
        </w:tabs>
        <w:numPr>
          <w:ilvl w:val="1"/>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Replacement and Resignation of an Issuing Bank</w:t>
      </w:r>
      <w:r>
        <w:rPr>
          <w:rFonts w:ascii="Times New Roman" w:cs="Times New Roman" w:eastAsia="Times New Roman" w:hAnsi="Times New Roman"/>
          <w:sz w:val="17"/>
          <w:szCs w:val="17"/>
          <w:color w:val="auto"/>
        </w:rPr>
        <w:t>. (A) The Issuing Bank may be replaced at any time by written agreement among the Borrower, the Administrative Agent, the replaced Issuing Bank and the successor Issuing Bank. The Administrative Agent shall notify the Lenders of any such replacement of an Issuing Bank. At the time any such replacement shall become effective, the Borrower shall pay all unpaid fees accrued for the account of the replaced Issuing Bank pursuant to Section 2.12(b). From and after the effective date of any such replacement, (i) the successor Issuing Bank shall have all the rights and obligations of an Issuing Bank under this Agreement with respect to Letters of Credit to be issued by it thereafter and</w:t>
      </w:r>
    </w:p>
    <w:p>
      <w:pPr>
        <w:spacing w:after="0" w:line="2" w:lineRule="exact"/>
        <w:rPr>
          <w:rFonts w:ascii="Times New Roman" w:cs="Times New Roman" w:eastAsia="Times New Roman" w:hAnsi="Times New Roman"/>
          <w:sz w:val="17"/>
          <w:szCs w:val="17"/>
          <w:color w:val="auto"/>
        </w:rPr>
      </w:pPr>
    </w:p>
    <w:p>
      <w:pPr>
        <w:ind w:left="4" w:right="40" w:hanging="4"/>
        <w:spacing w:after="0" w:line="253" w:lineRule="auto"/>
        <w:tabs>
          <w:tab w:leader="none" w:pos="269"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herein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then outstanding and issued by it prior to such replacement, but shall not be required to issue additional Letters of Credit or extend or otherwise amend any existing Letter of Credit.</w:t>
      </w:r>
    </w:p>
    <w:p>
      <w:pPr>
        <w:spacing w:after="0" w:line="186" w:lineRule="exact"/>
        <w:rPr>
          <w:rFonts w:ascii="Times New Roman" w:cs="Times New Roman" w:eastAsia="Times New Roman" w:hAnsi="Times New Roman"/>
          <w:sz w:val="18"/>
          <w:szCs w:val="18"/>
          <w:color w:val="auto"/>
        </w:rPr>
      </w:pPr>
    </w:p>
    <w:p>
      <w:pPr>
        <w:jc w:val="both"/>
        <w:ind w:left="4" w:right="80" w:firstLine="1428"/>
        <w:spacing w:after="0" w:line="266" w:lineRule="auto"/>
        <w:tabs>
          <w:tab w:leader="none" w:pos="1721" w:val="left"/>
        </w:tabs>
        <w:numPr>
          <w:ilvl w:val="2"/>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appointment and acceptance of a successor Issuing Bank, any Issuing Bank may resign as an Issuing Bank at any time upon thirty days’ prior written notice to the Administrative Agent, the Borrower and the Lenders, in which case, such resigning Issuing Bank shall be replaced in accordance with Section 2.06(i)(A) above.</w:t>
      </w:r>
    </w:p>
    <w:p>
      <w:pPr>
        <w:spacing w:after="0" w:line="175" w:lineRule="exact"/>
        <w:rPr>
          <w:rFonts w:ascii="Times New Roman" w:cs="Times New Roman" w:eastAsia="Times New Roman" w:hAnsi="Times New Roman"/>
          <w:sz w:val="18"/>
          <w:szCs w:val="18"/>
          <w:color w:val="auto"/>
        </w:rPr>
      </w:pPr>
    </w:p>
    <w:p>
      <w:pPr>
        <w:ind w:left="4" w:firstLine="987"/>
        <w:spacing w:after="0" w:line="253" w:lineRule="auto"/>
        <w:tabs>
          <w:tab w:leader="none" w:pos="121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Collateralization</w:t>
      </w:r>
      <w:r>
        <w:rPr>
          <w:rFonts w:ascii="Times New Roman" w:cs="Times New Roman" w:eastAsia="Times New Roman" w:hAnsi="Times New Roman"/>
          <w:sz w:val="18"/>
          <w:szCs w:val="18"/>
          <w:color w:val="auto"/>
        </w:rPr>
        <w:t>. If any Event of Default shall occur and be continuing, on the Business Day that the Borrower receives notice from the Administrative Agent or the Required Lenders (or, if the maturity of the Loans has been accelerated, Lenders with LC Exposure representing greater than 50% of the total LC Exposure) demanding the deposit of cash collateral pursuant to this paragraph, the Borrower shall deposit in an account or accounts with the Administrative Agent, in the name of the Administrative Agent and for the benefit of the Lenders (the “</w:t>
      </w:r>
      <w:r>
        <w:rPr>
          <w:rFonts w:ascii="Times New Roman" w:cs="Times New Roman" w:eastAsia="Times New Roman" w:hAnsi="Times New Roman"/>
          <w:sz w:val="18"/>
          <w:szCs w:val="18"/>
          <w:u w:val="single" w:color="auto"/>
          <w:color w:val="auto"/>
        </w:rPr>
        <w:t>LC Collateral Account</w:t>
      </w:r>
      <w:r>
        <w:rPr>
          <w:rFonts w:ascii="Times New Roman" w:cs="Times New Roman" w:eastAsia="Times New Roman" w:hAnsi="Times New Roman"/>
          <w:sz w:val="18"/>
          <w:szCs w:val="18"/>
          <w:color w:val="auto"/>
        </w:rPr>
        <w:t xml:space="preserve">”), an amount in cash equal to 105% of the amount of the LC Exposure in the applicable currencies as of such date plus any accrued and unpaid interest thereon;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the Borrower described in Section 7.01(f). The Borrower also shall deposit cash collateral pursuant to this paragraph as and to the extent required by Section 2.11(b). Such deposit shall be held by the Administrative Agent as collateral for the payment and performance of the Obligations. In addition, and without limiting the foregoing or Section 2.06(c), if any LC Exposure remains outstanding after the expiration date specified in Section 2.06(c), the Borrower shall immediately deposit into the LC Collateral Account an amount in</w:t>
      </w:r>
    </w:p>
    <w:p>
      <w:pPr>
        <w:spacing w:after="0" w:line="12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984"/>
          </w:cols>
          <w:pgMar w:left="436" w:top="270" w:right="479" w:bottom="1440" w:gutter="0" w:footer="0" w:header="0"/>
        </w:sectPr>
      </w:pPr>
    </w:p>
    <w:bookmarkStart w:id="103" w:name="page104"/>
    <w:bookmarkEnd w:id="103"/>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cash equal to 105% of the amount of such LC Exposure as of such date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any accrued and unpaid interest thereon. The Administrative Agent shall have exclusive dominion and control, including the exclusive right of withdrawal, over such account. Other than any interest earned on the investment of such deposits, which investments shall be made at the option and sole discretion of the Administrative Agent and at the Borrower’s risk and expense, such deposits shall not bear interest. Interest or profits, if any, on such investments shall accumulate in such account. Moneys in such account shall be applied by the Administrative Agent to reimburse each Issuing Bank for LC Disbursements for which it has not been reimbursed, together with related fees, costs and customary processing charges, and, to the extent not so applied, shall be held for the satisfaction of the reimbursement obligations of the Borrower for the LC Exposure at such time or, if the maturity of the Loans has been accelerated (but subject to the consent of Lenders with LC Exposure representing greater than 50% of the total LC Exposure), be applied to satisfy other Obligations. If the Borrower is required to provide an amount of cash collateral hereunder as a result of the occurrence of an Event of Default, such amount (to the extent not applied as aforesaid) shall be returned to the Borrower within three (3) Business Days after all Events of Default have been cured or waived.</w:t>
      </w:r>
    </w:p>
    <w:p>
      <w:pPr>
        <w:spacing w:after="0" w:line="194" w:lineRule="exact"/>
        <w:rPr>
          <w:sz w:val="20"/>
          <w:szCs w:val="20"/>
          <w:color w:val="auto"/>
        </w:rPr>
      </w:pPr>
    </w:p>
    <w:p>
      <w:pPr>
        <w:ind w:right="20" w:firstLine="987"/>
        <w:spacing w:after="0" w:line="254" w:lineRule="auto"/>
        <w:tabs>
          <w:tab w:leader="none" w:pos="124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Letters of Credit Issued for Account of Subsidiaries</w:t>
      </w:r>
      <w:r>
        <w:rPr>
          <w:rFonts w:ascii="Times New Roman" w:cs="Times New Roman" w:eastAsia="Times New Roman" w:hAnsi="Times New Roman"/>
          <w:sz w:val="18"/>
          <w:szCs w:val="18"/>
          <w:color w:val="auto"/>
        </w:rPr>
        <w:t>. Notwithstanding that a Letter of Credit issued or outstanding hereunder supports any obligations of, or is for the account of, a Subsidiary, or states that a Subsidiary is the “account party,” “applicant,” “customer,” “instructing party,” or the like of or for such Letter of Credit, and without derogating from any rights of the applicable Issuing Bank (whether arising by contract, at law, in equity or otherwise) against such Subsidiary in respect of such Letter of Credit, the Borrower (i) shall reimburse, indemnify and compensate the applicable Issuing Bank hereunder for such Letter of Credit (including to reimburse any and all drawings thereunder) as if such Letter of Credit had been issued solely for the account of the Borrower and (ii) irrevocably waives any and all defenses that might otherwise be available to it as a guarantor or surety of any or all of the obligations of such Subsidiary in respect of such Letter of Credit. The Borrower hereby acknowledges that the issuance of such Letters of Credit for its Subsidiaries inures to the benefit of the Borrower, and that the Borrower’s business derives substantial benefits from the businesses of such Subsidiaries.</w:t>
      </w:r>
    </w:p>
    <w:p>
      <w:pPr>
        <w:spacing w:after="0" w:line="188" w:lineRule="exact"/>
        <w:rPr>
          <w:rFonts w:ascii="Times New Roman" w:cs="Times New Roman" w:eastAsia="Times New Roman" w:hAnsi="Times New Roman"/>
          <w:sz w:val="18"/>
          <w:szCs w:val="18"/>
          <w:color w:val="auto"/>
        </w:rPr>
      </w:pPr>
    </w:p>
    <w:p>
      <w:pPr>
        <w:ind w:right="100" w:firstLine="987"/>
        <w:spacing w:after="0" w:line="254" w:lineRule="auto"/>
        <w:tabs>
          <w:tab w:leader="none" w:pos="120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Issuing Bank Agreements</w:t>
      </w:r>
      <w:r>
        <w:rPr>
          <w:rFonts w:ascii="Times New Roman" w:cs="Times New Roman" w:eastAsia="Times New Roman" w:hAnsi="Times New Roman"/>
          <w:sz w:val="18"/>
          <w:szCs w:val="18"/>
          <w:color w:val="auto"/>
        </w:rPr>
        <w:t>. Each Issuing Bank agrees that, unless otherwise requested by the Administrative Agent, such Issuing Bank shall report in writing to the Administrative Agent (i) on or prior to each Business Day on which such Issuing Bank expects to issue, amend or extend any Letter of Credit, the date of such issuance, amendment or extension, and the aggregate face amount and currency of the Letters of Credit to be issued, amended or extended by it and outstanding after giving effect to such issuance, amendment or extension occurred (and whether the amount thereof changed), (ii) on each Business Day on which such Issuing Bank pays any amount in respect of one or more drawings under Letters of Credit, the date of such payment(s) and the amount and currency of such payment(s), (iii) on any Business Day on which the Borrower fails to reimburse any amount required to be reimbursed to such Issuing Bank on such day, the date of such failure and the amount and currency of such payment in respect of Letters of Credit and (iv) on any other Business Day, such other information as the Administrative Agent shall reasonably request.</w:t>
      </w:r>
    </w:p>
    <w:p>
      <w:pPr>
        <w:spacing w:after="0" w:line="192" w:lineRule="exact"/>
        <w:rPr>
          <w:sz w:val="20"/>
          <w:szCs w:val="20"/>
          <w:color w:val="auto"/>
        </w:rPr>
      </w:pPr>
    </w:p>
    <w:p>
      <w:pPr>
        <w:ind w:right="16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u w:val="single" w:color="auto"/>
          <w:color w:val="auto"/>
        </w:rPr>
        <w:t>Funding of Borrowings</w:t>
      </w:r>
      <w:r>
        <w:rPr>
          <w:rFonts w:ascii="Times New Roman" w:cs="Times New Roman" w:eastAsia="Times New Roman" w:hAnsi="Times New Roman"/>
          <w:sz w:val="18"/>
          <w:szCs w:val="18"/>
          <w:color w:val="auto"/>
        </w:rPr>
        <w:t xml:space="preserve">. (a) Each Lender shall make each Loan to be made by it hereunder on the proposed date thereof solely by wire transfer of immediately available funds (i) in the case of Loans denominated in Dollars, by 12:00 noon, New York City time, to the account of the Administrative Agent most recently designated by it for such purpose by notice to the Lenders and (ii) in the case of each Loan denominated in a Foreign Currency, by 12:00 noon, Local Time, in the city of the Administrative Agent’s Foreign Currency Payment Office for such currency and at such Foreign Currency Payment Office for such currency;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Swingline Loans shall be made as provided in Section 2.05. Except in respect of the provisions of this Agreement covering the reimbursement of Letters of Credit, the Administrative Agent will make such Loans available to the Borrower by promptly crediting</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20"/>
          </w:cols>
          <w:pgMar w:left="440" w:top="270" w:right="439" w:bottom="1440" w:gutter="0" w:footer="0" w:header="0"/>
        </w:sectPr>
      </w:pPr>
    </w:p>
    <w:bookmarkStart w:id="104" w:name="page105"/>
    <w:bookmarkEnd w:id="104"/>
    <w:p>
      <w:pPr>
        <w:ind w:left="4" w:right="8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funds so received in the aforesaid account of the Administrative Agent to (x) an account of the Borrower maintained with the Administrative Agent in New York City or Chicago and designated by the Borrower in the applicable Borrowing Request, in the case of Loans denominated in Dollars and</w:t>
      </w:r>
    </w:p>
    <w:p>
      <w:pPr>
        <w:spacing w:after="0" w:line="1" w:lineRule="exact"/>
        <w:rPr>
          <w:sz w:val="20"/>
          <w:szCs w:val="20"/>
          <w:color w:val="auto"/>
        </w:rPr>
      </w:pPr>
    </w:p>
    <w:p>
      <w:pPr>
        <w:ind w:left="4" w:right="240" w:hanging="4"/>
        <w:spacing w:after="0" w:line="255" w:lineRule="auto"/>
        <w:tabs>
          <w:tab w:leader="none" w:pos="259"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account of the Borrower in the relevant jurisdiction and designated by the Borrower in the applicable Borrowing Request, in the case of Loans denominated in a Foreign Currency;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Revolving Loans made to finance the reimbursement of an LC Disbursement as provided in Section 2.06(e) shall be remitted by the Administrative Agent to the applicable Issuing Bank.</w:t>
      </w:r>
    </w:p>
    <w:p>
      <w:pPr>
        <w:spacing w:after="0" w:line="185" w:lineRule="exact"/>
        <w:rPr>
          <w:rFonts w:ascii="Times New Roman" w:cs="Times New Roman" w:eastAsia="Times New Roman" w:hAnsi="Times New Roman"/>
          <w:sz w:val="18"/>
          <w:szCs w:val="18"/>
          <w:color w:val="auto"/>
        </w:rPr>
      </w:pPr>
    </w:p>
    <w:p>
      <w:pPr>
        <w:ind w:left="4" w:firstLine="987"/>
        <w:spacing w:after="0" w:line="253" w:lineRule="auto"/>
        <w:tabs>
          <w:tab w:leader="none" w:pos="125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Administrative Agent shall have received notice from a Lender prior to the proposed date of any Borrowing (or in the case of an ABR Borrowing, prior to 12:00 noon, New York City time, on the date of such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greater of the applicable Overnight Rate and a rate determined by the Administrative Agent in accordance with banking industry rules on interbank compensation or (ii) in the case of the Borrower, the interest rate applicable to ABR Loans, or in the case of Foreign Currencies, in accordance with such market practice, in each case, as applicable. If such Lender pays such amount to the Administrative Agent, then such amount shall constitute such Lender’s Loan included in such Borrowing.</w:t>
      </w:r>
    </w:p>
    <w:p>
      <w:pPr>
        <w:spacing w:after="0" w:line="192" w:lineRule="exact"/>
        <w:rPr>
          <w:sz w:val="20"/>
          <w:szCs w:val="20"/>
          <w:color w:val="auto"/>
        </w:rPr>
      </w:pPr>
    </w:p>
    <w:p>
      <w:pPr>
        <w:ind w:left="4" w:right="8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u w:val="single" w:color="auto"/>
          <w:color w:val="auto"/>
        </w:rPr>
        <w:t>Interest Elections</w:t>
      </w:r>
      <w:r>
        <w:rPr>
          <w:rFonts w:ascii="Times New Roman" w:cs="Times New Roman" w:eastAsia="Times New Roman" w:hAnsi="Times New Roman"/>
          <w:sz w:val="18"/>
          <w:szCs w:val="18"/>
          <w:color w:val="auto"/>
        </w:rPr>
        <w:t>. (a) Each Borrowing initially shall be of the Type and Agreed Currency specified in the applicable Borrowing Request and, in the case of a Term Benchmark Borrowing, shall have an initial Interest Period as specified in such Borrowing Request. Thereafter, the Borrower may elect to convert such Borrowing to a different Type or to continue such Borrowing and, in the case of a Term Benchmark Borrowing, may elect Interest Periods therefor, all as provided in this Section.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Section shall not apply to Swingline Borrowings, which may not be converted or continued.</w:t>
      </w:r>
    </w:p>
    <w:p>
      <w:pPr>
        <w:spacing w:after="0" w:line="189" w:lineRule="exact"/>
        <w:rPr>
          <w:sz w:val="20"/>
          <w:szCs w:val="20"/>
          <w:color w:val="auto"/>
        </w:rPr>
      </w:pPr>
    </w:p>
    <w:p>
      <w:pPr>
        <w:ind w:left="4" w:right="40" w:firstLine="987"/>
        <w:spacing w:after="0" w:line="255" w:lineRule="auto"/>
        <w:tabs>
          <w:tab w:leader="none" w:pos="125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make an election pursuant to this Section, the Borrower shall notify the Administrative Agent of such election by the time that a Borrowing Request would be required under Section 2.03 if the Borrower were requesting a Borrowing of the Type resulting from such election to be made on the effective date of such election. Each such Interest Election Request shall be irrevocable and shall be signed by a Responsible Officer of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Interest Election Request is submitted through an Approved Borrower Portal, the foregoing signature requirement may be waived at the sole discretion of the Administrative Agent. Notwithstanding any contrary provision herein, this Section shall not be construed to permit the Borrower to (i) change the currency of any Borrowing, (ii) elect an Interest Period for Term Benchmark Loans that does not comply with Section 2.02(d) or (iii) convert any Borrowing to a Borrowing of a Type not available under such Borrowing.</w:t>
      </w:r>
    </w:p>
    <w:p>
      <w:pPr>
        <w:spacing w:after="0" w:line="12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964"/>
          </w:cols>
          <w:pgMar w:left="436" w:top="270" w:right="499" w:bottom="1440" w:gutter="0" w:footer="0" w:header="0"/>
        </w:sectPr>
      </w:pPr>
    </w:p>
    <w:bookmarkStart w:id="105" w:name="page106"/>
    <w:bookmarkEnd w:id="105"/>
    <w:p>
      <w:pPr>
        <w:ind w:left="1240" w:hanging="253"/>
        <w:spacing w:after="0"/>
        <w:tabs>
          <w:tab w:leader="none" w:pos="124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Interest Election Request shall specify the following information in compliance with Section 2.02:</w:t>
      </w:r>
    </w:p>
    <w:p>
      <w:pPr>
        <w:spacing w:after="0" w:line="117" w:lineRule="exact"/>
        <w:rPr>
          <w:rFonts w:ascii="Times New Roman" w:cs="Times New Roman" w:eastAsia="Times New Roman" w:hAnsi="Times New Roman"/>
          <w:sz w:val="18"/>
          <w:szCs w:val="18"/>
          <w:color w:val="auto"/>
        </w:rPr>
      </w:pPr>
    </w:p>
    <w:p>
      <w:pPr>
        <w:ind w:left="440" w:right="100" w:firstLine="419"/>
        <w:spacing w:after="0" w:line="266" w:lineRule="auto"/>
        <w:tabs>
          <w:tab w:leader="none" w:pos="1078"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Agreed Currency and principal amount of 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date of the election made pursuant to such Interest Election Request, which shall be a Business Day;</w:t>
      </w:r>
    </w:p>
    <w:p>
      <w:pPr>
        <w:spacing w:after="0" w:line="117" w:lineRule="exact"/>
        <w:rPr>
          <w:rFonts w:ascii="Times New Roman" w:cs="Times New Roman" w:eastAsia="Times New Roman" w:hAnsi="Times New Roman"/>
          <w:sz w:val="18"/>
          <w:szCs w:val="18"/>
          <w:color w:val="auto"/>
        </w:rPr>
      </w:pPr>
    </w:p>
    <w:p>
      <w:pPr>
        <w:ind w:left="440" w:right="800" w:firstLine="419"/>
        <w:spacing w:after="0" w:line="266" w:lineRule="auto"/>
        <w:tabs>
          <w:tab w:leader="none" w:pos="1178"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resulting Borrowing is to be (x) in the case of Borrowings denominated in Dollars, an ABR Borrowing or a Term Benchmark Borrowing (or, subject to the last paragraph of this Section 2.08(c), an RFR Borrowing) and (y) in the case of Borrowings denominated in a Foreign Currency, a Term Benchmark Borrowing or an RFR Borrowing; and</w:t>
      </w:r>
    </w:p>
    <w:p>
      <w:pPr>
        <w:spacing w:after="0" w:line="67" w:lineRule="exact"/>
        <w:rPr>
          <w:rFonts w:ascii="Times New Roman" w:cs="Times New Roman" w:eastAsia="Times New Roman" w:hAnsi="Times New Roman"/>
          <w:sz w:val="18"/>
          <w:szCs w:val="18"/>
          <w:color w:val="auto"/>
        </w:rPr>
      </w:pPr>
    </w:p>
    <w:p>
      <w:pPr>
        <w:ind w:left="440" w:right="520" w:firstLine="419"/>
        <w:spacing w:after="0" w:line="282" w:lineRule="auto"/>
        <w:tabs>
          <w:tab w:leader="none" w:pos="1168"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resulting Borrowing is a Term Benchmark Borrowing, the Interest Period to be applicable thereto after giving effect to such election, which Interest Period shall be a period contemplated by the definition of the term “Interest Period”.</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If any such Interest Election Request requests a Term Benchmark Borrowing but does not specify an Interest Period, then the Borrower shall be deemed to have selected an Interest Period of one month’s duration.</w:t>
      </w:r>
    </w:p>
    <w:p>
      <w:pPr>
        <w:spacing w:after="0" w:line="16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Notwithstanding the foregoing, in no event shall the Borrower be permitted to request pursuant to this Section 2.08(c) a CBR Loan or, prior to a Benchmark Transition Event and Benchmark Replacement Date with respect to (x) the Term SOFR Rate, an RFR Loan bearing interest based on Daily Simple SOFR or (y) Term CORRA, an RFR Loan bearing interest based on Daily Simple CORRA (it being understood and agreed that a Central Bank Rate, the Canadian Prime Rate, the Japanese Prime Rate, Daily Simple SOFR and Daily Simple CORRA shall only apply to the extent provided in Sections 2.08(e) (solely with respect to the Central Bank Rate, the Canadian Prime Rate and the Japanese Prime Rate), 2.14(a) and 2.14(f), as applicable).</w:t>
      </w:r>
    </w:p>
    <w:p>
      <w:pPr>
        <w:spacing w:after="0" w:line="187" w:lineRule="exact"/>
        <w:rPr>
          <w:sz w:val="20"/>
          <w:szCs w:val="20"/>
          <w:color w:val="auto"/>
        </w:rPr>
      </w:pPr>
    </w:p>
    <w:p>
      <w:pPr>
        <w:ind w:right="280" w:firstLine="987"/>
        <w:spacing w:after="0" w:line="282" w:lineRule="auto"/>
        <w:tabs>
          <w:tab w:leader="none" w:pos="124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receipt of an Interest Election Request, the Administrative Agent shall advise each Lender of the details thereof and of such Lender’s portion of each resulting Borrowing.</w:t>
      </w:r>
    </w:p>
    <w:p>
      <w:pPr>
        <w:spacing w:after="0" w:line="161" w:lineRule="exact"/>
        <w:rPr>
          <w:rFonts w:ascii="Times New Roman" w:cs="Times New Roman" w:eastAsia="Times New Roman" w:hAnsi="Times New Roman"/>
          <w:sz w:val="18"/>
          <w:szCs w:val="18"/>
          <w:color w:val="auto"/>
        </w:rPr>
      </w:pPr>
    </w:p>
    <w:p>
      <w:pPr>
        <w:ind w:firstLine="987"/>
        <w:spacing w:after="0" w:line="252" w:lineRule="auto"/>
        <w:tabs>
          <w:tab w:leader="none" w:pos="123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Borrower fails to deliver a timely Interest Election Request with respect to a Term Benchmark Borrowing denominated in Dollars prior to the end of the Interest Period applicable thereto, then, unless such Borrowing is repaid as provided herein, at the end of such Interest Period such Borrowing shall be deemed to have an Interest Period that is one (1) month. If the Borrower fails to deliver a timely and complete Interest Election Request with respect to a Term Benchmark Borrowing denominated in a Foreign Currency prior to the end of the Interest Period therefor, then, unless such Term Benchmark Borrowing is repaid as provided herein, the Borrower shall be deemed to have selected that such Term Benchmark Borrowing shall automatically be continued as a Term Benchmark Borrowing in its original Agreed Currency with an Interest Period of one month at the end of such Interest Period. Notwithstanding any contrary provision hereof, if an Event of Default has occurred and is continuing and the Administrative Agent, at the request of the Required Lenders, so notifies the Borrower, then, so long as an Event of Default is continuing (i) no outstanding Borrowing may be converted to or continued as a Term Benchmark Borrowing or an RFR Borrowing and (ii) unless repaid, (x) (A) each Term Benchmark Borrowing denominated in Dollars shall be converted to an ABR Borrowing at the end of the Interest Period applicable thereto and (B) each RFR Borrowing denominated in Dollars shall be converted to an ABR Borrowing immediately and (y) each Term Benchmark Borrowing and each RFR Borrowing, in each case denominated in a Foreign Currency shall bear interest at the Central Bank Rate (or in the case of (a) Japanese Yen, the Japanese Prime Rate or (b) Canadian Dollars, the Canadian Prime Rate) for the applicable Agreed Currency plus the CBR Spread;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Administrative Agent determines (which determination shall be conclusive and binding absent manifest error) that the Central Bank Rate (or in the case of (a) Japanese</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00"/>
          </w:cols>
          <w:pgMar w:left="440" w:top="270" w:right="459" w:bottom="1440" w:gutter="0" w:footer="0" w:header="0"/>
        </w:sectPr>
      </w:pPr>
    </w:p>
    <w:bookmarkStart w:id="106" w:name="page107"/>
    <w:bookmarkEnd w:id="106"/>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Yen, the Japanese Prime Rate or (b) Canadian Dollars, the Canadian Prime Rate) for the applicable Agreed Currency cannot be determined, any outstanding affected Term Benchmark Loans denominated in any Foreign Currency shall either be (A) converted to an ABR Borrowing denominated in Dollars (in an amount equal to the Dollar Amount of such Foreign Currency) at the end of the applicable Interest Period or on the next applicable Interest Payment Date, as applicable, therefor or (B) prepaid at the end of the applicable Interest Period or on the next applicable Interest Payment Date, as applicable, in full;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no election is made by the Borrower by the earlier of (x) the date that is three (3) Business Days after receipt by the Borrower of such notice and (y) the last day of the current Interest Period for the applicable Term Benchmark Loan, the Borrower shall be deemed to have elected clause (A) above.</w:t>
      </w:r>
    </w:p>
    <w:p>
      <w:pPr>
        <w:spacing w:after="0" w:line="189"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u w:val="single" w:color="auto"/>
          <w:color w:val="auto"/>
        </w:rPr>
        <w:t>Termination and Reduction of Commitments</w:t>
      </w:r>
      <w:r>
        <w:rPr>
          <w:rFonts w:ascii="Times New Roman" w:cs="Times New Roman" w:eastAsia="Times New Roman" w:hAnsi="Times New Roman"/>
          <w:sz w:val="18"/>
          <w:szCs w:val="18"/>
          <w:color w:val="auto"/>
        </w:rPr>
        <w:t>. (a) Unless previously terminated, the Commitments shall terminate on the Maturity Date.</w:t>
      </w:r>
    </w:p>
    <w:p>
      <w:pPr>
        <w:spacing w:after="0" w:line="162" w:lineRule="exact"/>
        <w:rPr>
          <w:sz w:val="20"/>
          <w:szCs w:val="20"/>
          <w:color w:val="auto"/>
        </w:rPr>
      </w:pPr>
    </w:p>
    <w:p>
      <w:pPr>
        <w:ind w:firstLine="987"/>
        <w:spacing w:after="0" w:line="258" w:lineRule="auto"/>
        <w:tabs>
          <w:tab w:leader="none" w:pos="1246"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may at any time terminate, or from time to time reduce, the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each reduction of the Commitments shall be in an amount that is an integral multiple of $1,000,000 and not less than $5,000,000 and (ii) the Borrower shall not terminate or reduce the Commitments if, after giving effect to any concurrent prepayment of the Loans in accordance with Section 2.11, (A) the Dollar Amount of any Lender’s Revolving Credit Exposure would exceed its Commitment or (B) the Dollar Amount of the Total Revolving Credit Exposure would exceed the Aggregate Commitment.</w:t>
      </w:r>
    </w:p>
    <w:p>
      <w:pPr>
        <w:spacing w:after="0" w:line="183" w:lineRule="exact"/>
        <w:rPr>
          <w:rFonts w:ascii="Times New Roman" w:cs="Times New Roman" w:eastAsia="Times New Roman" w:hAnsi="Times New Roman"/>
          <w:sz w:val="18"/>
          <w:szCs w:val="18"/>
          <w:color w:val="auto"/>
        </w:rPr>
      </w:pPr>
    </w:p>
    <w:p>
      <w:pPr>
        <w:ind w:right="20" w:firstLine="987"/>
        <w:spacing w:after="0" w:line="254" w:lineRule="auto"/>
        <w:tabs>
          <w:tab w:leader="none" w:pos="1236"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notify the Administrative Agent of any election to terminate or reduce the Commitments under paragraph (b) of this Section at least three (3) Business Days prior to the effective date of such termination or reduction, specifying such election and the effective date thereof. Promptly following receipt of any notice, the Administrative Agent shall advise the Lenders of the contents thereof. Each notice delivered by the Borrower pursuant to this Section shall be irrevocable;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notice of termination of the Commitments delivered by the Borrower may state that such notice is conditioned upon the effectiveness of other credit facilities or other transactions specified therein, in which case such notice may be revoked by the Borrower (by notice to the Administrative Agent on or prior to the specified effective date) if such condition is not satisfied. Any termination or reduction of the Commitments shall be permanent. Each reduction of the Commitments shall be made ratably among the Lenders in accordance with their respective Commitments.</w:t>
      </w:r>
    </w:p>
    <w:p>
      <w:pPr>
        <w:spacing w:after="0" w:line="192" w:lineRule="exact"/>
        <w:rPr>
          <w:sz w:val="20"/>
          <w:szCs w:val="20"/>
          <w:color w:val="auto"/>
        </w:rPr>
      </w:pPr>
    </w:p>
    <w:p>
      <w:pPr>
        <w:ind w:right="40" w:firstLine="991"/>
        <w:spacing w:after="0" w:line="236" w:lineRule="auto"/>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Repayment of Loans; Evidence of Debt</w:t>
      </w:r>
      <w:r>
        <w:rPr>
          <w:rFonts w:ascii="Times New Roman" w:cs="Times New Roman" w:eastAsia="Times New Roman" w:hAnsi="Times New Roman"/>
          <w:sz w:val="18"/>
          <w:szCs w:val="18"/>
          <w:color w:val="auto"/>
        </w:rPr>
        <w:t>. (a) The Borrower hereby unconditionally promises to pay (i) to the Administrative Agent for the account of each Lender the then unpaid principal amount of each Revolving Loan on the Maturity Date in the currency of such Loan and (ii) to the Administrative Agent for the account of the Swingline Lender the then unpaid principal amount of each Swingline Loan on the earlier of the Maturity Date and the fifth (5</w:t>
      </w:r>
      <w:r>
        <w:rPr>
          <w:rFonts w:ascii="Times New Roman" w:cs="Times New Roman" w:eastAsia="Times New Roman" w:hAnsi="Times New Roman"/>
          <w:sz w:val="26"/>
          <w:szCs w:val="26"/>
          <w:u w:val="single" w:color="auto"/>
          <w:color w:val="auto"/>
          <w:vertAlign w:val="superscript"/>
        </w:rPr>
        <w:t>th</w:t>
      </w:r>
      <w:r>
        <w:rPr>
          <w:rFonts w:ascii="Times New Roman" w:cs="Times New Roman" w:eastAsia="Times New Roman" w:hAnsi="Times New Roman"/>
          <w:sz w:val="18"/>
          <w:szCs w:val="18"/>
          <w:color w:val="auto"/>
        </w:rPr>
        <w:t xml:space="preserve">) Business Day after such Swingline Loan is made;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on each date that a Revolving Borrowing is made, the Borrower shall repay all Swingline Loans then outstanding and the proceeds of any such Borrowing shall be applied by the Administrative Agent to repay any Swingline Loans outstanding.</w:t>
      </w:r>
    </w:p>
    <w:p>
      <w:pPr>
        <w:spacing w:after="0" w:line="200" w:lineRule="exact"/>
        <w:rPr>
          <w:sz w:val="20"/>
          <w:szCs w:val="20"/>
          <w:color w:val="auto"/>
        </w:rPr>
      </w:pPr>
    </w:p>
    <w:p>
      <w:pPr>
        <w:ind w:right="180" w:firstLine="987"/>
        <w:spacing w:after="0" w:line="266" w:lineRule="auto"/>
        <w:tabs>
          <w:tab w:leader="none" w:pos="124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175" w:lineRule="exact"/>
        <w:rPr>
          <w:rFonts w:ascii="Times New Roman" w:cs="Times New Roman" w:eastAsia="Times New Roman" w:hAnsi="Times New Roman"/>
          <w:sz w:val="18"/>
          <w:szCs w:val="18"/>
          <w:color w:val="auto"/>
        </w:rPr>
      </w:pPr>
    </w:p>
    <w:p>
      <w:pPr>
        <w:ind w:right="180" w:firstLine="987"/>
        <w:spacing w:after="0" w:line="261" w:lineRule="auto"/>
        <w:tabs>
          <w:tab w:leader="none" w:pos="123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maintain accounts in which it shall record (i) the amount of each Loan made hereunder, the Class, Agreed Currency and Type thereof and the Interest Period applicable thereto,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00"/>
          </w:cols>
          <w:pgMar w:left="440" w:top="270" w:right="459" w:bottom="1440" w:gutter="0" w:footer="0" w:header="0"/>
        </w:sectPr>
      </w:pPr>
    </w:p>
    <w:bookmarkStart w:id="107" w:name="page108"/>
    <w:bookmarkEnd w:id="107"/>
    <w:p>
      <w:pPr>
        <w:ind w:left="4" w:right="20" w:firstLine="987"/>
        <w:spacing w:after="0" w:line="261" w:lineRule="auto"/>
        <w:tabs>
          <w:tab w:leader="none" w:pos="125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entries made in the accounts maintained pursuant to paragraph (b) or (c) of this Section shall be </w:t>
      </w:r>
      <w:r>
        <w:rPr>
          <w:rFonts w:ascii="Times New Roman" w:cs="Times New Roman" w:eastAsia="Times New Roman" w:hAnsi="Times New Roman"/>
          <w:sz w:val="18"/>
          <w:szCs w:val="18"/>
          <w:u w:val="single" w:color="auto"/>
          <w:color w:val="auto"/>
        </w:rPr>
        <w:t>prima facie</w:t>
      </w:r>
      <w:r>
        <w:rPr>
          <w:rFonts w:ascii="Times New Roman" w:cs="Times New Roman" w:eastAsia="Times New Roman" w:hAnsi="Times New Roman"/>
          <w:sz w:val="18"/>
          <w:szCs w:val="18"/>
          <w:color w:val="auto"/>
        </w:rPr>
        <w:t xml:space="preserve"> evidence of the existence and amounts of the obligations recorded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of any Lender or the Administrative Agent to maintain such accounts or any error therein shall not in any manner affect the Obligations (including, without limitation, the obligation of the Borrower to repay the Loans in accordance with the terms of this Agreement).</w:t>
      </w:r>
    </w:p>
    <w:p>
      <w:pPr>
        <w:spacing w:after="0" w:line="179" w:lineRule="exact"/>
        <w:rPr>
          <w:rFonts w:ascii="Times New Roman" w:cs="Times New Roman" w:eastAsia="Times New Roman" w:hAnsi="Times New Roman"/>
          <w:sz w:val="18"/>
          <w:szCs w:val="18"/>
          <w:color w:val="auto"/>
        </w:rPr>
      </w:pPr>
    </w:p>
    <w:p>
      <w:pPr>
        <w:ind w:left="4" w:right="20" w:firstLine="987"/>
        <w:spacing w:after="0" w:line="281" w:lineRule="auto"/>
        <w:tabs>
          <w:tab w:leader="none" w:pos="124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Lender may request that Loans made by it be evidenced by a promissory note. In such event, the Borrower shall prepare, execute and deliver to such Lender a promissory note payable to such Lender (or, if requested by such Lender, to such Lender and its registered assigns) and in the form attached hereto as </w:t>
      </w:r>
      <w:r>
        <w:rPr>
          <w:rFonts w:ascii="Times New Roman" w:cs="Times New Roman" w:eastAsia="Times New Roman" w:hAnsi="Times New Roman"/>
          <w:sz w:val="17"/>
          <w:szCs w:val="17"/>
          <w:u w:val="single" w:color="auto"/>
          <w:color w:val="auto"/>
        </w:rPr>
        <w:t>Exhibit G</w:t>
      </w:r>
      <w:r>
        <w:rPr>
          <w:rFonts w:ascii="Times New Roman" w:cs="Times New Roman" w:eastAsia="Times New Roman" w:hAnsi="Times New Roman"/>
          <w:sz w:val="17"/>
          <w:szCs w:val="17"/>
          <w:color w:val="auto"/>
        </w:rPr>
        <w:t xml:space="preserve"> or as otherwise approved by the Administrative Agent. Thereafter, the Loans evidenced by such promissory note and interest thereon shall at all times (including after assignment pursuant to Section 9.04) be represented by one or more promissory notes in such form.</w:t>
      </w:r>
    </w:p>
    <w:p>
      <w:pPr>
        <w:spacing w:after="0" w:line="164"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Prepayment of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87"/>
        <w:spacing w:after="0" w:line="254" w:lineRule="auto"/>
        <w:tabs>
          <w:tab w:leader="none" w:pos="124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have the right at any time and from time to time to prepay any Borrowing in whole or in part, subject to prior notice in accordance with the provisions of this Section 2.11(a). The Borrower shall notify the Administrative Agent (and, in the case of prepayment of a Swingline Loan, the Swingline Lender) by written notice (by telecopy or electronic communication, including an Approved Borrower Portal, if arrangements for doing so have been approved by the Administrative Agent and, if relevant, the Swingline Lender) of any prepayment hereunder (i) (x) in the case of prepayment of a Term Benchmark Revolving Borrowing denominated in Dollars, not later than 11:00 a.m., New York City time, three</w:t>
      </w:r>
    </w:p>
    <w:p>
      <w:pPr>
        <w:spacing w:after="0" w:line="3" w:lineRule="exact"/>
        <w:rPr>
          <w:rFonts w:ascii="Times New Roman" w:cs="Times New Roman" w:eastAsia="Times New Roman" w:hAnsi="Times New Roman"/>
          <w:sz w:val="18"/>
          <w:szCs w:val="18"/>
          <w:color w:val="auto"/>
        </w:rPr>
      </w:pPr>
    </w:p>
    <w:p>
      <w:pPr>
        <w:ind w:left="4" w:right="20" w:hanging="4"/>
        <w:spacing w:after="0" w:line="251" w:lineRule="auto"/>
        <w:tabs>
          <w:tab w:leader="none" w:pos="259"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Business Days before the date of prepayment, (y) in the case of prepayment of a Term Benchmark Revolving Borrowing denominated in euro, Japanese Yen or Canadian Dollars, not later than 11:00 a.m., New York City time, three (3) Business Days before the date of prepayment and (z) in the case of prepayment of an RFR Borrowing, not later than 11:00 a.m., New York City time, five (5) RFR Business Days before the date of prepayment, (ii) in the case of prepayment of an ABR Revolving Borrowing, not later than 11:00 a.m., New York City time, on the date of prepayment or (iii) in the case of prepayment of a Swingline Loan, not later than 12:00 noon, New York City time, on the date of prepayment. Each such notice shall be irrevocable and shall specify the prepayment date and the principal amount of each Borrowing or portion thereof to be prepaid;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notice of prepayment is given in connection with a conditional notice of termination of the Commitments as contemplated by Section 2.09, then such notice of prepayment may be revoked if such notice of termination is revoked in accordance with Section 2.09. Promptly following receipt of any such notice relating to a Borrowing, the Administrative Agent shall advise the Lenders of the contents thereof. Each partial prepayment of any Borrowing shall be in an amount that would be permitted in the case of an advance of a Borrowing of the same Type as provided in Section 2.02. Each prepayment of a Revolving Borrowing shall be applied ratably to the Loans included in the prepaid Borrowing. Prepayments shall be accompanied by (i) accrued interest to the extent required by Section 2.13 and (ii) any break funding payments required by Section 2.16.</w:t>
      </w:r>
    </w:p>
    <w:p>
      <w:pPr>
        <w:spacing w:after="0" w:line="192" w:lineRule="exact"/>
        <w:rPr>
          <w:rFonts w:ascii="Times New Roman" w:cs="Times New Roman" w:eastAsia="Times New Roman" w:hAnsi="Times New Roman"/>
          <w:sz w:val="18"/>
          <w:szCs w:val="18"/>
          <w:color w:val="auto"/>
        </w:rPr>
      </w:pPr>
    </w:p>
    <w:p>
      <w:pPr>
        <w:ind w:left="4" w:right="80" w:firstLine="987"/>
        <w:spacing w:after="0" w:line="254" w:lineRule="auto"/>
        <w:tabs>
          <w:tab w:leader="none" w:pos="125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(i) other than as a result of fluctuations in currency exchange rates, the aggregate principal Dollar Amount of the Total Revolving Credit Exposure (calculated, with respect to those Credit Events denominated in Foreign Currencies, as of the most recent Computation Date with respect to each such Credit Event) exceeds the Aggregate Commitment or (ii) solely as a result of fluctuations in currency exchange rates, the aggregate principal Dollar Amount of the Total Revolving Credit Exposure (so calculated) exceeds 105% of the Aggregate Commitment, the Borrower shall in each case immediately repay Borrowings or cash collateralize LC Exposure in an account with the Administrative Agent pursuant to</w:t>
      </w:r>
    </w:p>
    <w:p>
      <w:pPr>
        <w:spacing w:after="0" w:line="3" w:lineRule="exact"/>
        <w:rPr>
          <w:rFonts w:ascii="Times New Roman" w:cs="Times New Roman" w:eastAsia="Times New Roman" w:hAnsi="Times New Roman"/>
          <w:sz w:val="18"/>
          <w:szCs w:val="18"/>
          <w:color w:val="auto"/>
        </w:rPr>
      </w:pPr>
    </w:p>
    <w:p>
      <w:pPr>
        <w:ind w:left="4" w:right="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2.06(j), as applicable, in an aggregate principal amount sufficient to cause the aggregate Dollar Amount of the Total Revolving Credit Exposure (so calculated) to be less than or equal to the Aggregate Commitment.</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24"/>
          </w:cols>
          <w:pgMar w:left="436" w:top="270" w:right="439" w:bottom="1440" w:gutter="0" w:footer="0" w:header="0"/>
        </w:sectPr>
      </w:pPr>
    </w:p>
    <w:bookmarkStart w:id="108" w:name="page109"/>
    <w:bookmarkEnd w:id="108"/>
    <w:p>
      <w:pPr>
        <w:ind w:right="20" w:firstLine="991"/>
        <w:spacing w:after="0" w:line="24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2.12. </w:t>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(a) The Borrower agrees to pay to the Administrative Agent for the account of each Lender a facility fee, which shall accrue at the Applicable Rate on the daily amount of the Commitment of such Lender (whether used or unused) during the period from and including the Effective Date to but excluding the date on which such Commitment terminates; provided that, if such Lender continues to have any Revolving Credit Exposure after its Commitment terminates, then such facility fee shall continue to accrue on the daily amount of such Lender’s Revolving Credit Exposure from and including the date on which its Commitment terminates to but excluding the date on which such Lender ceases to have any Revolving Credit Exposure. Facility fees accrued through and including the last day of March, June, September and December of each year shall be payable in arrears on the fifteenth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following such last day and on the date on which the Commitments terminate, commencing on the first such date to occur after the date hereof; provided that any facility fees accruing after the date on which the Commitments terminate shall be payable on demand. All facility fees shall be computed on the basis of a year of 360 days and shall be payable for the actual number of days elapsed (including the first day and the last day of each period but excluding the date on which the Commitments terminate).</w:t>
      </w:r>
    </w:p>
    <w:p>
      <w:pPr>
        <w:spacing w:after="0" w:line="196" w:lineRule="exact"/>
        <w:rPr>
          <w:sz w:val="20"/>
          <w:szCs w:val="20"/>
          <w:color w:val="auto"/>
        </w:rPr>
      </w:pPr>
    </w:p>
    <w:p>
      <w:pPr>
        <w:ind w:firstLine="987"/>
        <w:spacing w:after="0" w:line="245" w:lineRule="auto"/>
        <w:tabs>
          <w:tab w:leader="none" w:pos="1246"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agrees to pay (i) to the Administrative Agent for the account of each Lender a participation fee with respect to its participations in each outstanding Letter of Credit, which shall accrue on the Dollar Amount of the daily maximum stated amount then available to be drawn under such Letter of Credit at the same Applicable Rate used to determine the interest rate applicable to Term Benchmark Revolving Loans, during the period from and including the Effective Date to but excluding the later of the date on which such Lender’s Commitment terminates and the date on which such Lender ceases to have any LC Exposure and (ii) to each Issuing Bank for its own account a fronting fee, which shall accrue at the rate of 0.125% per annum on the Dollar Amount of the daily maximum stated amount then available to be drawn under each Letter of Credit issued by such Issuing Bank, during the period from and including the Effective Date to but excluding the later of the date of termination of the Commitments and the date on which there ceases to be any LC Exposure with respect to Letters of Credit issued by such Issuing Bank, as well as such Issuing Bank’s standard fees with respect to the issuance, amendment or extension of any Letter of Credit and other processing fees, and other standard costs and charges, of such Issuing Bank relating to the Letters of Credit as from time to time in effect. Participation fees and fronting fees accrued through and including the last day of March, June, September and December of each year shall be payable on the fifteenth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following such last day, commencing on the first such date to occur after the Effective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such fees shall be payable on the date on which the Commitments terminate and any such fees accruing after the date on which the Commitments terminate shall be payable on demand. Any other fees payable to an Issuing Bank pursuant to this paragraph shall be payable within ten (10) days after demand. All participation fees and fronting fees shall be computed on the basis of a year of 360 days and shall be payable for the actual number of days elapsed (including the first day but excluding the last day). Participation fees and fronting fees in respect of Letters of Credit denominated in Dollars shall be paid in Dollars, and participation fees and fronting fees in respect of Letters of Credit denominated in a Foreign Currency shall be paid in Dollars in the Dollar Amount thereof.</w:t>
      </w:r>
    </w:p>
    <w:p>
      <w:pPr>
        <w:spacing w:after="0" w:line="202" w:lineRule="exact"/>
        <w:rPr>
          <w:rFonts w:ascii="Times New Roman" w:cs="Times New Roman" w:eastAsia="Times New Roman" w:hAnsi="Times New Roman"/>
          <w:sz w:val="18"/>
          <w:szCs w:val="18"/>
          <w:color w:val="auto"/>
        </w:rPr>
      </w:pPr>
    </w:p>
    <w:p>
      <w:pPr>
        <w:ind w:right="180" w:firstLine="987"/>
        <w:spacing w:after="0" w:line="282" w:lineRule="auto"/>
        <w:tabs>
          <w:tab w:leader="none" w:pos="1236"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agrees to pay to the Administrative Agent, for its own account, fees payable in the amounts and at the times separately agreed upon between the Borrower and the Administrative Agent.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00"/>
          </w:cols>
          <w:pgMar w:left="440" w:top="270" w:right="459" w:bottom="1440" w:gutter="0" w:footer="0" w:header="0"/>
        </w:sectPr>
      </w:pPr>
    </w:p>
    <w:bookmarkStart w:id="109" w:name="page110"/>
    <w:bookmarkEnd w:id="109"/>
    <w:p>
      <w:pPr>
        <w:jc w:val="both"/>
        <w:ind w:right="120" w:firstLine="987"/>
        <w:spacing w:after="0" w:line="266" w:lineRule="auto"/>
        <w:tabs>
          <w:tab w:leader="none" w:pos="124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fees payable hereunder shall be paid on the dates due, in Dollars (except as otherwise expressly provided in this Section 2.12) and immediately available funds, to the Administrative Agent (or to an Issuing Bank, in the case of fees payable to it) for distribution, in the case of facility fees and participation fees, to the Lenders. Fees paid shall not be refundable under any circumstances.</w:t>
      </w:r>
    </w:p>
    <w:p>
      <w:pPr>
        <w:spacing w:after="0" w:line="176"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xml:space="preserve">. (a) The Loans comprising each ABR Borrowing shall bear interest at the Alternate Base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Rate. Each Swingline Loan shall bear interest at the Adjusted Term SOFR Rate for a one month Interest Period on the applicable date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Rate for Term Benchmark Borrowings.</w:t>
      </w:r>
    </w:p>
    <w:p>
      <w:pPr>
        <w:spacing w:after="0" w:line="176" w:lineRule="exact"/>
        <w:rPr>
          <w:sz w:val="20"/>
          <w:szCs w:val="20"/>
          <w:color w:val="auto"/>
        </w:rPr>
      </w:pPr>
    </w:p>
    <w:p>
      <w:pPr>
        <w:ind w:firstLine="987"/>
        <w:spacing w:after="0" w:line="266" w:lineRule="auto"/>
        <w:tabs>
          <w:tab w:leader="none" w:pos="1246"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Loans comprising each Term Benchmark Borrowing shall bear interest at the Adjusted Term SOFR Rate, the Adjusted EURIBO Rate, the Adjusted TIBO Rate or the Adjusted Term CORRA Rate, as applicable, for the Interest Period in effect for such Borrowing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Rate.</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RFR Loan shall bear interest at a rate per annum equal to the applicable Adjusted Daily Simple RFR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Rate.</w:t>
      </w:r>
    </w:p>
    <w:p>
      <w:pPr>
        <w:spacing w:after="0" w:line="225" w:lineRule="exact"/>
        <w:rPr>
          <w:rFonts w:ascii="Times New Roman" w:cs="Times New Roman" w:eastAsia="Times New Roman" w:hAnsi="Times New Roman"/>
          <w:sz w:val="18"/>
          <w:szCs w:val="18"/>
          <w:color w:val="auto"/>
        </w:rPr>
      </w:pPr>
    </w:p>
    <w:p>
      <w:pPr>
        <w:ind w:right="300" w:firstLine="987"/>
        <w:spacing w:after="0" w:line="258" w:lineRule="auto"/>
        <w:tabs>
          <w:tab w:leader="none" w:pos="1246"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if any principal of or interest on any Loan or any fee or other amount payable by the Borrower hereunder is not paid when due, whether at stated maturity, upon acceleration or otherwise, such overdue amount shall bear interest, after as well as before judgment, at a rate per annum equal to (i) in the case of overdue principal of any Loan, 2% plus the rate otherwise applicable to such Loan as provided in the preceding paragraphs of this Section or (ii) in the case of any other amount, 2% plus the rate applicable to ABR Loans as provided in paragraph (a) of this Section.</w:t>
      </w:r>
    </w:p>
    <w:p>
      <w:pPr>
        <w:spacing w:after="0" w:line="183" w:lineRule="exact"/>
        <w:rPr>
          <w:rFonts w:ascii="Times New Roman" w:cs="Times New Roman" w:eastAsia="Times New Roman" w:hAnsi="Times New Roman"/>
          <w:sz w:val="18"/>
          <w:szCs w:val="18"/>
          <w:color w:val="auto"/>
        </w:rPr>
      </w:pPr>
    </w:p>
    <w:p>
      <w:pPr>
        <w:ind w:right="40" w:firstLine="987"/>
        <w:spacing w:after="0" w:line="256" w:lineRule="auto"/>
        <w:tabs>
          <w:tab w:leader="none" w:pos="1236"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Accrued interest on each Loan shall be payable in arrears on each Interest Payment Date for such Loan and upon termination of the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interest accrued pursuant to paragraph (d) of this Section shall be payable on demand, (ii) in the event of any repayment or prepayment of any Loan (other than a prepayment of an ABR Revolving Loan prior to the end of the Availability Period), accrued interest on the principal amount repaid or prepaid shall be payable on the date of such repayment or prepayment and (iii) in the event of any conversion of any Term Benchmark Loan prior to the end of the current Interest Period therefor, accrued interest on such Loan shall be payable on the effective date of such conversion.</w:t>
      </w:r>
    </w:p>
    <w:p>
      <w:pPr>
        <w:spacing w:after="0" w:line="187" w:lineRule="exact"/>
        <w:rPr>
          <w:rFonts w:ascii="Times New Roman" w:cs="Times New Roman" w:eastAsia="Times New Roman" w:hAnsi="Times New Roman"/>
          <w:sz w:val="18"/>
          <w:szCs w:val="18"/>
          <w:color w:val="auto"/>
        </w:rPr>
      </w:pPr>
    </w:p>
    <w:p>
      <w:pPr>
        <w:ind w:firstLine="987"/>
        <w:spacing w:after="0" w:line="254" w:lineRule="auto"/>
        <w:tabs>
          <w:tab w:leader="none" w:pos="1216"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interest hereunder shall be computed on the basis of a year of 360 days, except that interest computed by reference to the Daily Simple RFR with respect to Pounds Sterling, the Japanese Prime Rate (if applicable), Term CORRA, Daily Simple CORRA (if applicable), the Canadian Prime Rate (if applicable) or the Alternate Base Rate only at times when the Alternate Base Rate is based on the Prime Rate shall be computed on the basis of a year of 365 days (or 366 days in a leap year). In each case interest shall be payable for the actual number of days elapsed (including the first day but excluding the last day). All interest hereunder on any Loan shall be computed on a daily basis based upon the outstanding principal amount of such Loan as of the applicable date of determination. A determination of the applicable Alternate Base Rate, Adjusted Term SOFR Rate, Term SOFR Rate, Adjusted EURIBO Rate, EURIBO Rate, Adjusted TIBO Rate, TIBO Rate, Adjusted Term CORRA Rate, the Term CORRA, Adjusted Daily Simple RFR, Daily Simple RFR, Central Bank Rate, Japanese Prime Rate or Canadian Prime Rate shall be determined by the Administrative Agent, and such determination shall be conclusive absent manifest error.</w:t>
      </w:r>
    </w:p>
    <w:p>
      <w:pPr>
        <w:spacing w:after="0" w:line="188" w:lineRule="exact"/>
        <w:rPr>
          <w:rFonts w:ascii="Times New Roman" w:cs="Times New Roman" w:eastAsia="Times New Roman" w:hAnsi="Times New Roman"/>
          <w:sz w:val="18"/>
          <w:szCs w:val="18"/>
          <w:color w:val="auto"/>
        </w:rPr>
      </w:pPr>
    </w:p>
    <w:p>
      <w:pPr>
        <w:ind w:right="120" w:firstLine="987"/>
        <w:spacing w:after="0" w:line="282" w:lineRule="auto"/>
        <w:tabs>
          <w:tab w:leader="none" w:pos="1246"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 respect of Loans denominated in Dollars shall be paid in Dollars, and interest in respect of Loans denominated in a Foreign Currency shall be paid in such Foreign Currency.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00"/>
          </w:cols>
          <w:pgMar w:left="440" w:top="270" w:right="459" w:bottom="1440" w:gutter="0" w:footer="0" w:header="0"/>
        </w:sectPr>
      </w:pPr>
    </w:p>
    <w:bookmarkStart w:id="110" w:name="page111"/>
    <w:bookmarkEnd w:id="110"/>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2.14. </w:t>
      </w:r>
      <w:r>
        <w:rPr>
          <w:rFonts w:ascii="Times New Roman" w:cs="Times New Roman" w:eastAsia="Times New Roman" w:hAnsi="Times New Roman"/>
          <w:sz w:val="18"/>
          <w:szCs w:val="18"/>
          <w:u w:val="single" w:color="auto"/>
          <w:color w:val="auto"/>
        </w:rPr>
        <w:t>Alternate Rate of 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44" w:hanging="253"/>
        <w:spacing w:after="0"/>
        <w:tabs>
          <w:tab w:leader="none" w:pos="1244"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clauses (b), (c), (d), (e) and (f) of this Section 2.14, if:</w:t>
      </w:r>
    </w:p>
    <w:p>
      <w:pPr>
        <w:spacing w:after="0" w:line="117" w:lineRule="exact"/>
        <w:rPr>
          <w:rFonts w:ascii="Times New Roman" w:cs="Times New Roman" w:eastAsia="Times New Roman" w:hAnsi="Times New Roman"/>
          <w:sz w:val="18"/>
          <w:szCs w:val="18"/>
          <w:color w:val="auto"/>
        </w:rPr>
      </w:pPr>
    </w:p>
    <w:p>
      <w:pPr>
        <w:ind w:left="444" w:right="240" w:firstLine="948"/>
        <w:spacing w:after="0" w:line="256" w:lineRule="auto"/>
        <w:tabs>
          <w:tab w:leader="none" w:pos="1611"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determines (which determination shall be conclusive absent manifest error) (A) prior to the commencement of any Interest Period for a Term Benchmark Borrowing, that adequate and reasonable means do not exist for ascertaining the Adjusted Term SOFR Rate, the Adjusted EURIBO Rate, the Adjusted TIBO Rate or the Adjusted Term CORRA Rate (including because the Relevant Screen Rate is not available or published on a current basis) for the applicable Agreed Currency and such Interest Period or (B) at any time, that adequate and reasonable means do not exist for ascertaining the applicable Adjusted Daily Simple RFR for the applicable Agreed Currency; or</w:t>
      </w:r>
    </w:p>
    <w:p>
      <w:pPr>
        <w:spacing w:after="0" w:line="79" w:lineRule="exact"/>
        <w:rPr>
          <w:rFonts w:ascii="Times New Roman" w:cs="Times New Roman" w:eastAsia="Times New Roman" w:hAnsi="Times New Roman"/>
          <w:sz w:val="18"/>
          <w:szCs w:val="18"/>
          <w:color w:val="auto"/>
        </w:rPr>
      </w:pPr>
    </w:p>
    <w:p>
      <w:pPr>
        <w:ind w:left="444" w:firstLine="948"/>
        <w:spacing w:after="0" w:line="256" w:lineRule="auto"/>
        <w:tabs>
          <w:tab w:leader="none" w:pos="1661"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is advised by the Required Lenders that (A) prior to the commencement of any Interest Period for a Term Benchmark Borrowing, the Adjusted Term SOFR Rate, the Adjusted EURIBO Rate, the Adjusted TIBO Rate or the Adjusted Term CORRA Rate for the applicable Agreed Currency and such Interest Period will not adequately and fairly reflect the cost to such Lenders of making or maintaining their Loans included in such Borrowing for the applicable Agreed Currency and such Interest Period or (B) at any time, the applicable Adjusted Daily Simple RFR for the applicable Agreed Currency will not adequately and fairly reflect the cost to such Lenders of making or maintaining their Loans included in such Borrowing for the applicable Agreed Currency;</w:t>
      </w:r>
    </w:p>
    <w:p>
      <w:pPr>
        <w:spacing w:after="0" w:line="1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then the Administrative Agent shall give notice thereof to the Borrower and the Lenders by telephone, telecopy or electronic mail as promptly as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practicable thereafter and, until (x) the Administrative Agent notifies the Borrower and the Lenders that the circumstances giving rise to such notice no</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longer exist with respect to the relevant Benchmark and (y) the Borrower delivers a new Interest Election Request in accordance with the terms of</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Section 2.08 or a new Borrowing Request in accordance with the terms of Section 2.03, (A) for Loans denominated in Dollars, (1) any Interest Election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Request that requests the conversion of any Borrowing to, or continuation of any Borrowing as, a Term Benchmark Borrowing and any Borrowing</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Request that requests a Term Benchmark Borrowing shall instead be deemed to be an Interest Election Request or a Borrowing Request, as applicable,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for (x) an RFR Borrowing denominated in Dollars so long as the Adjusted Daily Simple RFR for Dollar Borrowings is not also the subject of</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Section 2.14(a)(i) or (ii) above or (y) an ABR Borrowing if the Adjusted Daily Simple RFR for Dollar Borrowings also is the subject of Section 2.14(a)</w:t>
      </w:r>
    </w:p>
    <w:p>
      <w:pPr>
        <w:spacing w:after="0" w:line="9" w:lineRule="exact"/>
        <w:rPr>
          <w:sz w:val="20"/>
          <w:szCs w:val="20"/>
          <w:color w:val="auto"/>
        </w:rPr>
      </w:pPr>
    </w:p>
    <w:p>
      <w:pPr>
        <w:ind w:left="4" w:right="20" w:hanging="4"/>
        <w:spacing w:after="0" w:line="251" w:lineRule="auto"/>
        <w:tabs>
          <w:tab w:leader="none" w:pos="219"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(ii) above and (2) any Borrowing Request that requests an RFR Borrowing shall instead be deemed to be a Borrowing Request, as applicable, for an ABR Borrowing and (B) for Loans denominated in a Foreign Currency, any Interest Election Request that requests the conversion of any Revolving Borrowing to, or continuation of any Revolving Borrowing as, a Term Benchmark Borrowing and any Borrowing Request that requests a Term Benchmark Borrowing or an RFR Borrowing, in each case, for the relevant Benchmark, shall be ineffective; provided that if the circumstances giving rise to such notice affect only one Type of Borrowing, then all other Types of Borrowings shall be permitted. Furthermore, if any Term Benchmark Loan or RFR Loan in any Agreed Currency is outstanding on the date of the Borrower’s receipt of the notice from the Administrative Agent referred to in this Section 2.14(a) with respect to a Relevant Rate applicable to such Term Benchmark Loan or RFR Loan, then until (x) the Administrative Agent notifies the Borrower and the Lenders that the circumstances giving rise to such notice no longer exist with respect to the relevant Benchmark and (y) the Borrower delivers a new Interest Election Request in accordance with the terms of Section 2.08 or a new Borrowing Request in accordance with the terms of Section 2.03, (A) for Loans denominated in Dollars, (1) any Term Benchmark Loan shall on the last day of the Interest Period applicable to such Loan, be converted by the Administrative Agent to, and shall constitute, (x) an RFR Borrowing denominated in Dollars so long as the Adjusted Daily Simple RFR for Dollar Borrowings is not also the subject of Section 2.14(a)(i) or (ii) above or (y) an ABR Loan if the Adjusted Daily Simple RFR for Dollar Borrowings also is the subject of Section 2.14(a)(i) or (ii) above, on such day, and (2) any RFR Loan shall on and from such day be converted by the Administrative Agent to, and shall constitute an ABR Loan and (B) for Loans denominated in a Foreign Currency, (1) any Term Benchmark Loan shall, on the last day of the Interest Period applicable to such</w:t>
      </w:r>
    </w:p>
    <w:p>
      <w:pPr>
        <w:spacing w:after="0" w:line="123"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04"/>
          </w:cols>
          <w:pgMar w:left="436" w:top="270" w:right="459" w:bottom="1440" w:gutter="0" w:footer="0" w:header="0"/>
        </w:sectPr>
      </w:pPr>
    </w:p>
    <w:bookmarkStart w:id="111" w:name="page112"/>
    <w:bookmarkEnd w:id="111"/>
    <w:p>
      <w:pPr>
        <w:ind w:right="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Loan bear interest at the Central Bank Rate (or in the case of (a) Japanese Yen, the Japanese Prime Rate or (b) Canadian Dollars, the Canadian Prime Rate) for the applicable Foreign Currency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CBR Spread;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Administrative Agent determines (which determination shall be conclusive and binding absent manifest error) that the Central Bank Rate (or in the case of (a) Japanese Yen, the Japanese Prime Rate or (b) Canadian Dollars, the Canadian Prime Rate) for the applicable Foreign Currency cannot be determined, any outstanding affected Term Benchmark Loans denominated in such Foreign Currency shall, at the Borrower’s election prior to such day: (A) be prepaid by the Borrower on such day or (B) solely for the purpose of calculating the interest rate applicable to such Term Benchmark Loan, such Term Benchmark Loan denominated in such Foreign Currency shall be deemed to be a Term Benchmark Loan denominated in Dollars and shall accrue interest at the same interest rate applicable to Term Benchmark Loans denominated in Dollars at such time and (2) any RFR Loan shall bear interest at the Central Bank Rate (or in the case of (a) Japanese Yen, the Japanese Prime Rate or (b) Canadian Dollars, the Canadian Prime Rate) for the applicable Foreign Currency plus the CBR Spread;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Administrative Agent determines (which determination shall be conclusive and binding absent manifest error) that the Central Bank Rate (or in the case of (a) Japanese Yen, the Japanese Prime Rate or (b) Canadian Dollars, the Canadian Prime Rate) for the applicable Foreign Currency cannot be determined, any outstanding affected RFR Loans denominated in any Foreign Currency, at the Borrower’s election, shall either (A) be converted into ABR Loans denominated in Dollars (in an amount equal to the Dollar Amount of such Foreign Currency) immediately or (B) be prepaid in full immediately.</w:t>
      </w:r>
    </w:p>
    <w:p>
      <w:pPr>
        <w:spacing w:after="0" w:line="197" w:lineRule="exact"/>
        <w:rPr>
          <w:sz w:val="20"/>
          <w:szCs w:val="20"/>
          <w:color w:val="auto"/>
        </w:rPr>
      </w:pPr>
    </w:p>
    <w:p>
      <w:pPr>
        <w:ind w:right="40" w:firstLine="987"/>
        <w:spacing w:after="0" w:line="253" w:lineRule="auto"/>
        <w:tabs>
          <w:tab w:leader="none" w:pos="124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or in any other Loan Document, if a Benchmark Transition Event and its related Benchmark Replacement Date have occurred prior to the Reference Time in respect of any setting of the then-current Benchmark, then (x) if a Benchmark Replacement is determined in accordance with clause (1) of the definition of “Benchmark Replacement” with respect to Dollars and/or Canadian Dollars for such Benchmark Replacement Date, such Benchmark Replacement will replace such Benchmark (including any related adjustments)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(2) of the definition of “Benchmark Replacement” with respect to any Agreed Currency for such Benchmark Replacement Date, such Benchmark Replacement will replace such Benchmark (including any related adjustments)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189" w:lineRule="exact"/>
        <w:rPr>
          <w:rFonts w:ascii="Times New Roman" w:cs="Times New Roman" w:eastAsia="Times New Roman" w:hAnsi="Times New Roman"/>
          <w:sz w:val="18"/>
          <w:szCs w:val="18"/>
          <w:color w:val="auto"/>
        </w:rPr>
      </w:pPr>
    </w:p>
    <w:p>
      <w:pPr>
        <w:ind w:firstLine="987"/>
        <w:spacing w:after="0" w:line="253" w:lineRule="auto"/>
        <w:tabs>
          <w:tab w:leader="none" w:pos="123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Notwithstanding anything to the contrary herein or in any other Loan Document,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 (ii) Notwithstanding anything to the contrary herein or in any other Loan Document and subject to the proviso below in this paragraph, with respect to a Loan denominated in Canadian Dollars, if a Term CORRA Reelection Event and its related Benchmark Replacement Date have occurred prior to the Reference Time in respect of any setting of the then-current Benchmark, then the applicable Benchmark Replacement will replace the then-current Benchmark for all purposes hereunder or under any Loan Document in respect of such Benchmark setting and subsequent Benchmark settings, without any amendment to, or further action or consent of any other party to, this Agreement or any other Loan Document;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clause (c)(ii) shall not be effective unless the Administrative Agent has delivered to the Lenders and the Borrower a Term CORRA Notice. For the avoidance of doubt, the Administrative Agent shall not be required to deliver a Term CORRA Notice after the occurrence of a Term CORRA Reelection Event and may do so in its sole discretion.</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00"/>
          </w:cols>
          <w:pgMar w:left="440" w:top="270" w:right="459" w:bottom="1440" w:gutter="0" w:footer="0" w:header="0"/>
        </w:sectPr>
      </w:pPr>
    </w:p>
    <w:bookmarkStart w:id="112" w:name="page113"/>
    <w:bookmarkEnd w:id="112"/>
    <w:p>
      <w:pPr>
        <w:ind w:left="1244" w:hanging="253"/>
        <w:spacing w:after="0"/>
        <w:tabs>
          <w:tab w:leader="none" w:pos="1244"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Administrative Agent will promptly notify the Borrower and the Lenders of (i) any occurrence of a Benchmark Transition Event,</w:t>
      </w:r>
    </w:p>
    <w:p>
      <w:pPr>
        <w:spacing w:after="0" w:line="27" w:lineRule="exact"/>
        <w:rPr>
          <w:rFonts w:ascii="Times New Roman" w:cs="Times New Roman" w:eastAsia="Times New Roman" w:hAnsi="Times New Roman"/>
          <w:sz w:val="18"/>
          <w:szCs w:val="18"/>
          <w:color w:val="auto"/>
        </w:rPr>
      </w:pPr>
    </w:p>
    <w:p>
      <w:pPr>
        <w:ind w:left="4" w:hanging="4"/>
        <w:spacing w:after="0" w:line="252" w:lineRule="auto"/>
        <w:tabs>
          <w:tab w:leader="none" w:pos="269"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any Benchmark Replacement, (iii) the effectiveness of any Benchmark Replacement Conforming Changes, (iv) the removal or reinstatement of any tenor of a Benchmark pursuant to clause (e) below and (v) the commencement or conclusion of any Benchmark Unavailability Period. Any determination, decision or election that may be made by the Administrative Agent or, if applicable, any Lender (or group of Lenders) pursuant to this Section 2.14,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2.14.</w:t>
      </w:r>
    </w:p>
    <w:p>
      <w:pPr>
        <w:spacing w:after="0" w:line="188" w:lineRule="exact"/>
        <w:rPr>
          <w:rFonts w:ascii="Times New Roman" w:cs="Times New Roman" w:eastAsia="Times New Roman" w:hAnsi="Times New Roman"/>
          <w:sz w:val="18"/>
          <w:szCs w:val="18"/>
          <w:color w:val="auto"/>
        </w:rPr>
      </w:pPr>
    </w:p>
    <w:p>
      <w:pPr>
        <w:ind w:left="4" w:right="60" w:firstLine="987"/>
        <w:spacing w:after="0" w:line="253" w:lineRule="auto"/>
        <w:tabs>
          <w:tab w:leader="none" w:pos="124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or in any other Loan Document, at any time (including in connection with the implementation of a Benchmark Replacement), (i) if the then-current Benchmark is a term rate (including the Term SOFR Rate, the EURIBO Rate, the TIBO Rate or Term CORRA)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94" w:lineRule="exact"/>
        <w:rPr>
          <w:rFonts w:ascii="Times New Roman" w:cs="Times New Roman" w:eastAsia="Times New Roman" w:hAnsi="Times New Roman"/>
          <w:sz w:val="18"/>
          <w:szCs w:val="18"/>
          <w:color w:val="auto"/>
        </w:rPr>
      </w:pPr>
    </w:p>
    <w:p>
      <w:pPr>
        <w:ind w:left="4" w:right="20" w:firstLine="987"/>
        <w:spacing w:after="0" w:line="252" w:lineRule="auto"/>
        <w:tabs>
          <w:tab w:leader="none" w:pos="122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Borrower’s receipt of notice of the commencement of a Benchmark Unavailability Period, the Borrower may revoke any request for (i) a Term Benchmark Borrowing, conversion to or continuation of Term Benchmark Loans to be made, converted or continued or (ii) a RFR Borrowing or conversion to RFR Loans, during any Benchmark Unavailability Period and, failing that, either (x) the Borrower will be deemed to have converted any request for a Term Benchmark Borrowing or RFR Borrowing, as applicable, denominated in Dollars into a request for a Borrowing of or conversion to (A) solely with respect to any such request for a Term Benchmark Borrowing, an RFR Borrowing denominated in Dollars so long as the Adjusted Daily Simple RFR for Dollar Borrowings is not the subject of a Benchmark Transition Event or (B) an ABR Borrowing if the Adjusted Daily Simple RFR for Dollar Borrowings is the subject of a Benchmark Transition Event or (y) any request relating to a Term Benchmark Borrowing or RFR Borrowing denominated in a Foreign Currency shall be ineffective. During any Benchmark Unavailability Period or at any time that a tenor for the then-current Benchmark is not an Available Tenor, the component of the Alternate Base Rate based upon the then-current Benchmark or such tenor for such Benchmark, as applicable, will not be used in any determination of the Alternate Base Rate. Furthermore, if any Term Benchmark Loan or RFR Loan in any Agreed Currency is outstanding on the date of the Borrower’s receipt of notice of the commencement of a Benchmark Unavailability Period with respect to a Relevant Rate applicable to such Term Benchmark Loan or RFR Loan, then until such time as a Benchmark Replacement for such Agreed Currency is implemented pursuant to this Section 2.14, (A) for Loans denominated in Dollars (1) any Term Benchmark Loan shall on the last day of the Interest Period applicable to such Loan, be converted by the Administrative Agent to, and shall constitute, (x) an RFR</w:t>
      </w:r>
    </w:p>
    <w:p>
      <w:pPr>
        <w:spacing w:after="0" w:line="13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04"/>
          </w:cols>
          <w:pgMar w:left="436" w:top="270" w:right="459" w:bottom="1440" w:gutter="0" w:footer="0" w:header="0"/>
        </w:sectPr>
      </w:pPr>
    </w:p>
    <w:bookmarkStart w:id="113" w:name="page114"/>
    <w:bookmarkEnd w:id="113"/>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Borrowing denominated in Dollars so long as the Adjusted Daily Simple RFR for Dollar Borrowings is not the subject of a Benchmark Transition Event or (y) an ABR Loan if the Adjusted Daily Simple RFR for Dollar Borrowings is the subject of a Benchmark Transition Event, on such day and (2) any RFR Loan shall on and from such day be converted by the Administrative Agent to, and shall constitute an ABR Loan and (B) for Loans denominated in a Foreign Currency, (1) any Term Benchmark Loan shall, on the last day of the Interest Period applicable to such Loan bear interest at the Central Bank Rate (or in the case of (a) Japanese Yen, the Japanese Prime Rate or (b) Canadian Dollars, the Canadian Prime Rate) for the applicable Foreign Currency plus the CBR Spread;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Administrative Agent determines (which determination shall be conclusive and binding absent manifest error) that the Central Bank Rate (or in the case of (a) Japanese Yen, the Japanese Prime Rate or (b) Canadian Dollars, the Canadian Prime Rate) for the applicable Foreign Currency cannot be determined, any outstanding affected Term Benchmark Loans denominated in any Foreign Currency shall, at the Borrower’s election prior to such day: (A) be prepaid by the Borrower on such day or (B) solely for the purpose of calculating the interest rate applicable to such Term Benchmark Loan, such Term Benchmark Loan denominated in any Foreign Currency shall be deemed to be a Term Benchmark Loan denominated in Dollars and shall accrue interest at the same interest rate applicable to Term Benchmark Loans denominated in Dollars at such time and (2) any RFR Loan shall bear interest at the Central Bank Rate (or in the case of (a) Japanese Yen, the Japanese Prime Rate or (b) Canadian Dollars, the Canadian Prime Rate) for the applicable Foreign Currency plus the CBR Spread; provided that, if the Administrative Agent determines (which determination shall be conclusive and binding absent manifest error) that the Central Bank Rate (or in the case of (a) Japanese Yen, the Japanese Prime Rate or (b) Canadian Dollars, the Canadian Prime Rate) for the applicable Foreign Currency cannot be determined, any outstanding affected RFR Loans denominated in any Foreign Currency, at the Borrower’s election, shall either (A) be converted into ABR Loans denominated in Dollars (in an amount equal to the Dollar Amount of such Foreign Currency) immediately or (B) be prepaid in full immediately.</w:t>
      </w:r>
    </w:p>
    <w:p>
      <w:pPr>
        <w:spacing w:after="0" w:line="19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2.15. </w:t>
      </w:r>
      <w:r>
        <w:rPr>
          <w:rFonts w:ascii="Times New Roman" w:cs="Times New Roman" w:eastAsia="Times New Roman" w:hAnsi="Times New Roman"/>
          <w:sz w:val="18"/>
          <w:szCs w:val="18"/>
          <w:u w:val="single" w:color="auto"/>
          <w:color w:val="auto"/>
        </w:rPr>
        <w:t>Increased Costs</w:t>
      </w:r>
      <w:r>
        <w:rPr>
          <w:rFonts w:ascii="Times New Roman" w:cs="Times New Roman" w:eastAsia="Times New Roman" w:hAnsi="Times New Roman"/>
          <w:sz w:val="18"/>
          <w:szCs w:val="18"/>
          <w:color w:val="auto"/>
        </w:rPr>
        <w:t>. (a) If any Change in Law shall:</w:t>
      </w:r>
    </w:p>
    <w:p>
      <w:pPr>
        <w:spacing w:after="0" w:line="117" w:lineRule="exact"/>
        <w:rPr>
          <w:sz w:val="20"/>
          <w:szCs w:val="20"/>
          <w:color w:val="auto"/>
        </w:rPr>
      </w:pPr>
    </w:p>
    <w:p>
      <w:pPr>
        <w:ind w:left="1080" w:hanging="221"/>
        <w:spacing w:after="0"/>
        <w:tabs>
          <w:tab w:leader="none" w:pos="10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modify or deem applicable any reserve, special deposit, liquidity or similar requirement (including any compulsory loan</w:t>
      </w:r>
    </w:p>
    <w:p>
      <w:pPr>
        <w:spacing w:after="0" w:line="27" w:lineRule="exact"/>
        <w:rPr>
          <w:rFonts w:ascii="Times New Roman" w:cs="Times New Roman" w:eastAsia="Times New Roman" w:hAnsi="Times New Roman"/>
          <w:sz w:val="18"/>
          <w:szCs w:val="18"/>
          <w:color w:val="auto"/>
        </w:rPr>
      </w:pPr>
    </w:p>
    <w:p>
      <w:pPr>
        <w:jc w:val="both"/>
        <w:ind w:left="4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 insurance charge or other assessment) against assets of, deposits with or for the account of, or credit extended by, any Lender (except any such reserve requirement reflected in the Adjusted EURIBO Rate, the Adjusted TIBO Rate or the Adjusted Term CORRA Rate, as applicable) or any Issuing Bank;</w:t>
      </w:r>
    </w:p>
    <w:p>
      <w:pPr>
        <w:spacing w:after="0" w:line="77" w:lineRule="exact"/>
        <w:rPr>
          <w:rFonts w:ascii="Times New Roman" w:cs="Times New Roman" w:eastAsia="Times New Roman" w:hAnsi="Times New Roman"/>
          <w:sz w:val="18"/>
          <w:szCs w:val="18"/>
          <w:color w:val="auto"/>
        </w:rPr>
      </w:pPr>
    </w:p>
    <w:p>
      <w:pPr>
        <w:ind w:left="440" w:right="320" w:firstLine="419"/>
        <w:spacing w:after="0" w:line="266" w:lineRule="auto"/>
        <w:tabs>
          <w:tab w:leader="none" w:pos="1128"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on any Lender or any Issuing Bank or the applicable offshore interbank market for the applicable Agreed Currency any other condition, cost or expense (other than Taxes) affecting this Agreement or Loans made by such Lender or any Letter of Credit or participation therein; or</w:t>
      </w:r>
    </w:p>
    <w:p>
      <w:pPr>
        <w:spacing w:after="0" w:line="67" w:lineRule="exact"/>
        <w:rPr>
          <w:rFonts w:ascii="Times New Roman" w:cs="Times New Roman" w:eastAsia="Times New Roman" w:hAnsi="Times New Roman"/>
          <w:sz w:val="18"/>
          <w:szCs w:val="18"/>
          <w:color w:val="auto"/>
        </w:rPr>
      </w:pPr>
    </w:p>
    <w:p>
      <w:pPr>
        <w:jc w:val="both"/>
        <w:ind w:left="440" w:right="20" w:firstLine="419"/>
        <w:spacing w:after="0" w:line="266" w:lineRule="auto"/>
        <w:tabs>
          <w:tab w:leader="none" w:pos="1178"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and the result of any of the foregoing shall be to increase the cost to such Lender, such Issuing Bank or such other Recipient of making, continuing, converting or maintaining any Loan (or of maintaining its obligation to make any such Loan) or to increase the cost to such Lender, such Issuing Bank or such other Recipient of participating in, issuing or maintaining any Letter of Credit or to reduce the amount of any sum received or receivable by such Lender, such Issuing Bank or such other Recipient hereunder (whether of principal, interest or otherwise), then the Borrower will pay to such Lender, such Issuing Bank or such other Recipient, as the case may be, such additional amount or amounts as will compensate such Lender, such Issuing Bank or such other Recipient, as the case may be, for such additional costs incurred or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00"/>
          </w:cols>
          <w:pgMar w:left="440" w:top="270" w:right="459" w:bottom="1440" w:gutter="0" w:footer="0" w:header="0"/>
        </w:sectPr>
      </w:pPr>
    </w:p>
    <w:bookmarkStart w:id="114" w:name="page115"/>
    <w:bookmarkEnd w:id="114"/>
    <w:p>
      <w:pPr>
        <w:ind w:right="2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reduction suffered as reasonably determined by the Administrative Agent, such Lender or such Issuing Bank (which determination shall be made in good faith (and not on an arbitrary or capricious basis) and generally consistent with similarly situated customers of the Administrative Agent, such Lender or such Issuing Bank, as applicable, under agreements having provisions similar to this Section 2.15, after consideration of such factors as the Administrative Agent, such Lender or such Issuing Bank, as applicable, then reasonably determines to be relevant).</w:t>
      </w:r>
    </w:p>
    <w:p>
      <w:pPr>
        <w:spacing w:after="0" w:line="180" w:lineRule="exact"/>
        <w:rPr>
          <w:sz w:val="20"/>
          <w:szCs w:val="20"/>
          <w:color w:val="auto"/>
        </w:rPr>
      </w:pPr>
    </w:p>
    <w:p>
      <w:pPr>
        <w:ind w:right="120" w:firstLine="987"/>
        <w:spacing w:after="0" w:line="254" w:lineRule="auto"/>
        <w:tabs>
          <w:tab w:leader="none" w:pos="1246"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or Issuing Bank determines that any Change in Law regarding capital or liquidity requirements has or would have the effect of reducing the rate of return on such Lender’s or Issuing Bank’s capital or on the capital of such Lender’s or Issuing Bank’s holding company, if any, as a consequence of this Agreement or the Loans made by, or participations in Letters of Credit or Swingline Loans held by, such Lender, or the Letters of Credit issued by such Issuing Bank, to a level below that which such Lender or Issuing Bank or such Lender’s or Issuing Bank’s holding company could have achieved but for such Change in Law (taking into consideration such Lender’s or Issuing Bank’s policies and the policies of such Lender’s or Issuing Bank’s holding company with respect to capital adequacy and liquidity), then from time to time the Borrower will pay to such Lender or Issuing Bank, as the case may be, such additional amount or amounts as will compensate such Lender or Issuing Bank or such Lender’s or Issuing Bank’s holding company for any such reduction suffered.</w:t>
      </w:r>
    </w:p>
    <w:p>
      <w:pPr>
        <w:spacing w:after="0" w:line="191" w:lineRule="exact"/>
        <w:rPr>
          <w:rFonts w:ascii="Times New Roman" w:cs="Times New Roman" w:eastAsia="Times New Roman" w:hAnsi="Times New Roman"/>
          <w:sz w:val="18"/>
          <w:szCs w:val="18"/>
          <w:color w:val="auto"/>
        </w:rPr>
      </w:pPr>
    </w:p>
    <w:p>
      <w:pPr>
        <w:ind w:right="100" w:firstLine="987"/>
        <w:spacing w:after="0" w:line="261" w:lineRule="auto"/>
        <w:tabs>
          <w:tab w:leader="none" w:pos="1236"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a Lender or Issuing Bank setting forth the amount or amounts, and a calculation in reasonable detail of such amount or amounts, necessary to compensate such Lender or Issuing Bank or its holding company, as the case may be, as specified in paragraph (a) or (b) of this Section shall be delivered to the Borrower and shall be conclusive absent manifest error. The Borrower shall pay such Lender or Issuing Bank, as the case may be, the amount shown as due on any such certificate within ten (10) days after receipt thereof.</w:t>
      </w:r>
    </w:p>
    <w:p>
      <w:pPr>
        <w:spacing w:after="0" w:line="179" w:lineRule="exact"/>
        <w:rPr>
          <w:rFonts w:ascii="Times New Roman" w:cs="Times New Roman" w:eastAsia="Times New Roman" w:hAnsi="Times New Roman"/>
          <w:sz w:val="18"/>
          <w:szCs w:val="18"/>
          <w:color w:val="auto"/>
        </w:rPr>
      </w:pPr>
    </w:p>
    <w:p>
      <w:pPr>
        <w:ind w:right="20" w:firstLine="987"/>
        <w:spacing w:after="0" w:line="256" w:lineRule="auto"/>
        <w:tabs>
          <w:tab w:leader="none" w:pos="1246"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Failure or delay on the part of any Lender or Issuing Bank to demand compensation pursuant to this Section shall not constitute a waiver of such Lender’s or Issuing Bank’s right to demand such compensation;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not be required to compensate a Lender or an Issuing Bank pursuant to this Section for any increased costs or reductions incurred more than 180 days prior to the date that such Lender or Issuing Bank, as the case may be, notifies the Borrower of the Change in Law giving rise to such increased costs or reductions and of such Lender’s or Issuing Bank’s intention to claim compensation therefor;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if the Change in Law giving rise to such increased costs or reductions is retroactive, then the 180-day period referred to above shall be extended to include the period of retroactive effect thereof.</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2.16. </w:t>
      </w:r>
      <w:r>
        <w:rPr>
          <w:rFonts w:ascii="Times New Roman" w:cs="Times New Roman" w:eastAsia="Times New Roman" w:hAnsi="Times New Roman"/>
          <w:sz w:val="18"/>
          <w:szCs w:val="18"/>
          <w:u w:val="single" w:color="auto"/>
          <w:color w:val="auto"/>
        </w:rPr>
        <w:t>Break Funding 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3" w:lineRule="auto"/>
        <w:tabs>
          <w:tab w:leader="none" w:pos="123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Term Benchmark Loans, in the event of (i) the payment of any principal of any Term Benchmark Loan other than on the last day of an Interest Period applicable thereto (including as a result of an Event of Default or as a result of any prepayment pursuant to Section 2.11), (ii) the conversion of any Term Benchmark Loan other than on the last day of the Interest Period applicable thereto, (iii) the failure to borrow, convert, continue or prepay any Term Benchmark Loan on the date specified in any notice delivered pursuant hereto (regardless of whether such notice may be revoked under Section 2.11(a) and is revoked in accordance therewith), (iv) the assignment of any Term Benchmark Loan other than on the last day of the Interest Period applicable thereto as a result of a request by the Borrower pursuant to Section 2.19 or 9.02(d) or (v) the failure by the Borrower to make any payment of any Loan or drawing under any Letter of Credit (or interest due thereof) denominated in a Foreign Currency on its scheduled due date or any payment thereof in a different currency, then, in any such event, the Borrower shall compensate each Lender for the loss, cost and expense attributable to such event (which shall not include any loss of anticipated profits). A certificate of any Lender setting forth any amount or amounts, and a calculation in reasonable detail of such amount or amounts, that such Lender is entitled to receive pursuant to this Section shall be delivered to the Borrower and shall be conclusive absent manifest error. The Borrower shall pay such Lender the amount shown as due on any such certificate within ten (10) days after receipt thereof.</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00"/>
          </w:cols>
          <w:pgMar w:left="440" w:top="270" w:right="459" w:bottom="1440" w:gutter="0" w:footer="0" w:header="0"/>
        </w:sectPr>
      </w:pPr>
    </w:p>
    <w:bookmarkStart w:id="115" w:name="page116"/>
    <w:bookmarkEnd w:id="115"/>
    <w:p>
      <w:pPr>
        <w:ind w:right="40" w:firstLine="987"/>
        <w:spacing w:after="0" w:line="253" w:lineRule="auto"/>
        <w:tabs>
          <w:tab w:leader="none" w:pos="1246"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respect to RFR Loans, in the event of (i) the payment of any principal of any RFR Loan other than on the Interest Payment Date applicable thereto (including as a result of an Event of Default or as a result of any prepayment pursuant to Section 2.11), (ii) the failure to borrow or prepay any RFR Loan on the date specified in any notice delivered pursuant hereto (regardless of whether such notice may be revoked under Section 2.11(a) and is revoked in accordance therewith), (iii) the assignment of any RFR Loan other than on the Interest Payment Date applicable thereto as a result of a request by the Borrower pursuant to Section 2.19 or 9.02(d) or (iv) the failure by the Borrower to make any payment of any Loan or drawing under any Letter of Credit (or interest due thereof) denominated in a Foreign Currency on its scheduled due date or any payment thereof in a different currency, then, in any such event, the Borrower shall compensate each Lender for the loss, cost and expense attributable to such event. A certificate of any Lender setting forth any amount or amounts, and a calculation in reasonable detail of such amount or amounts, that such Lender is entitled to receive pursuant to this Section shall be delivered to the Borrower and shall be conclusive absent manifest error. The Borrower shall pay such Lender the amount shown as due on any such certificate within ten (10) days after receipt thereof.</w:t>
      </w:r>
    </w:p>
    <w:p>
      <w:pPr>
        <w:spacing w:after="0" w:line="194" w:lineRule="exact"/>
        <w:rPr>
          <w:sz w:val="20"/>
          <w:szCs w:val="20"/>
          <w:color w:val="auto"/>
        </w:rPr>
      </w:pPr>
    </w:p>
    <w:p>
      <w:pPr>
        <w:ind w:right="8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2.17.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Payments Free of Taxes</w:t>
      </w:r>
      <w:r>
        <w:rPr>
          <w:rFonts w:ascii="Times New Roman" w:cs="Times New Roman" w:eastAsia="Times New Roman" w:hAnsi="Times New Roman"/>
          <w:sz w:val="18"/>
          <w:szCs w:val="18"/>
          <w:color w:val="auto"/>
        </w:rPr>
        <w:t>. Any and all payments by or on account of any obligation of the Borrower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Borrower shall be increased as necessary so that after such deduction or withholding has been made (including such deductions and withholdings applicable to additional sums payable under this Section 2.17) the applicable Recipient receives an amount equal to the sum it would have received had no such deduction or withholding been made.</w:t>
      </w:r>
    </w:p>
    <w:p>
      <w:pPr>
        <w:spacing w:after="0" w:line="192" w:lineRule="exact"/>
        <w:rPr>
          <w:sz w:val="20"/>
          <w:szCs w:val="20"/>
          <w:color w:val="auto"/>
        </w:rPr>
      </w:pPr>
    </w:p>
    <w:p>
      <w:pPr>
        <w:ind w:right="200" w:firstLine="987"/>
        <w:spacing w:after="0" w:line="282" w:lineRule="auto"/>
        <w:tabs>
          <w:tab w:leader="none" w:pos="1246"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Other Taxes by the Borrower</w:t>
      </w:r>
      <w:r>
        <w:rPr>
          <w:rFonts w:ascii="Times New Roman" w:cs="Times New Roman" w:eastAsia="Times New Roman" w:hAnsi="Times New Roman"/>
          <w:sz w:val="18"/>
          <w:szCs w:val="18"/>
          <w:color w:val="auto"/>
        </w:rPr>
        <w:t>. The Borrower shall timely pay to the relevant Governmental Authority in accordance with applicable law, or at the option of the Administrative Agent timely reimburse it for, Other Taxes.</w:t>
      </w:r>
    </w:p>
    <w:p>
      <w:pPr>
        <w:spacing w:after="0" w:line="161" w:lineRule="exact"/>
        <w:rPr>
          <w:rFonts w:ascii="Times New Roman" w:cs="Times New Roman" w:eastAsia="Times New Roman" w:hAnsi="Times New Roman"/>
          <w:sz w:val="18"/>
          <w:szCs w:val="18"/>
          <w:color w:val="auto"/>
        </w:rPr>
      </w:pPr>
    </w:p>
    <w:p>
      <w:pPr>
        <w:ind w:right="260" w:firstLine="987"/>
        <w:spacing w:after="0" w:line="261" w:lineRule="auto"/>
        <w:tabs>
          <w:tab w:leader="none" w:pos="1236"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Evidence of Payments</w:t>
      </w:r>
      <w:r>
        <w:rPr>
          <w:rFonts w:ascii="Times New Roman" w:cs="Times New Roman" w:eastAsia="Times New Roman" w:hAnsi="Times New Roman"/>
          <w:sz w:val="18"/>
          <w:szCs w:val="18"/>
          <w:color w:val="auto"/>
        </w:rPr>
        <w:t>. As soon as practicable after any payment of Taxes by the Borrower to a Governmental Authority pursuant to this Section 2.17,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79" w:lineRule="exact"/>
        <w:rPr>
          <w:rFonts w:ascii="Times New Roman" w:cs="Times New Roman" w:eastAsia="Times New Roman" w:hAnsi="Times New Roman"/>
          <w:sz w:val="18"/>
          <w:szCs w:val="18"/>
          <w:color w:val="auto"/>
        </w:rPr>
      </w:pPr>
    </w:p>
    <w:p>
      <w:pPr>
        <w:ind w:firstLine="987"/>
        <w:spacing w:after="0" w:line="256" w:lineRule="auto"/>
        <w:tabs>
          <w:tab w:leader="none" w:pos="1246"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Borrower</w:t>
      </w:r>
      <w:r>
        <w:rPr>
          <w:rFonts w:ascii="Times New Roman" w:cs="Times New Roman" w:eastAsia="Times New Roman" w:hAnsi="Times New Roman"/>
          <w:sz w:val="18"/>
          <w:szCs w:val="18"/>
          <w:color w:val="auto"/>
        </w:rPr>
        <w:t>. The Borrower shall indemnify each Recipient, within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00"/>
          </w:cols>
          <w:pgMar w:left="440" w:top="270" w:right="459" w:bottom="1440" w:gutter="0" w:footer="0" w:header="0"/>
        </w:sectPr>
      </w:pPr>
    </w:p>
    <w:bookmarkStart w:id="116" w:name="page117"/>
    <w:bookmarkEnd w:id="116"/>
    <w:p>
      <w:pPr>
        <w:ind w:right="80" w:firstLine="987"/>
        <w:spacing w:after="0" w:line="253" w:lineRule="auto"/>
        <w:tabs>
          <w:tab w:leader="none" w:pos="1236"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Indemnification by the Lenders</w:t>
      </w:r>
      <w:r>
        <w:rPr>
          <w:rFonts w:ascii="Times New Roman" w:cs="Times New Roman" w:eastAsia="Times New Roman" w:hAnsi="Times New Roman"/>
          <w:sz w:val="18"/>
          <w:szCs w:val="18"/>
          <w:color w:val="auto"/>
        </w:rPr>
        <w:t>. Each Lender shall severally indemnify the Administrative Agent, within 10 days after demand therefor, for (i) any Indemnified Taxes attributable to such Lender (but only to the extent that the Borrower has not already indemnified the Administrative Agent for such Indemnified Taxes and without limiting the obligation of the Borrower to do so), (ii) any Taxes attributable to such Lender’s failure to comply with the provisions of Section 9.04(c)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setoff and apply any and all amounts at any time owing to such Lender under any Loan Document or otherwise payable by the Administrative Agent to the Lender from any other source against any amount due to the Administrative Agent under this paragraph (e).</w:t>
      </w:r>
    </w:p>
    <w:p>
      <w:pPr>
        <w:spacing w:after="0" w:line="194" w:lineRule="exact"/>
        <w:rPr>
          <w:rFonts w:ascii="Times New Roman" w:cs="Times New Roman" w:eastAsia="Times New Roman" w:hAnsi="Times New Roman"/>
          <w:sz w:val="18"/>
          <w:szCs w:val="18"/>
          <w:color w:val="auto"/>
        </w:rPr>
      </w:pPr>
    </w:p>
    <w:p>
      <w:pPr>
        <w:ind w:right="40" w:firstLine="987"/>
        <w:spacing w:after="0" w:line="253" w:lineRule="auto"/>
        <w:tabs>
          <w:tab w:leader="none" w:pos="1216"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of Lenders</w:t>
      </w:r>
      <w:r>
        <w:rPr>
          <w:rFonts w:ascii="Times New Roman" w:cs="Times New Roman" w:eastAsia="Times New Roman" w:hAnsi="Times New Roman"/>
          <w:sz w:val="18"/>
          <w:szCs w:val="18"/>
          <w:color w:val="auto"/>
        </w:rPr>
        <w:t>. (i) 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2.17(f)(ii)(A), (ii)(B) and (ii)(D)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86"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in the event that the Borrower is a U.S. Person:</w:t>
      </w:r>
    </w:p>
    <w:p>
      <w:pPr>
        <w:spacing w:after="0" w:line="117" w:lineRule="exact"/>
        <w:rPr>
          <w:rFonts w:ascii="Times New Roman" w:cs="Times New Roman" w:eastAsia="Times New Roman" w:hAnsi="Times New Roman"/>
          <w:sz w:val="18"/>
          <w:szCs w:val="18"/>
          <w:color w:val="auto"/>
        </w:rPr>
      </w:pPr>
    </w:p>
    <w:p>
      <w:pPr>
        <w:ind w:left="980" w:right="20" w:firstLine="408"/>
        <w:spacing w:after="0" w:line="261" w:lineRule="auto"/>
        <w:tabs>
          <w:tab w:leader="none" w:pos="1676" w:val="left"/>
        </w:tabs>
        <w:numPr>
          <w:ilvl w:val="2"/>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an executed copy of IRS Form W-9 certifying that such Lender is exempt from U.S. federal backup withholding tax;</w:t>
      </w:r>
    </w:p>
    <w:p>
      <w:pPr>
        <w:spacing w:after="0" w:line="71" w:lineRule="exact"/>
        <w:rPr>
          <w:rFonts w:ascii="Times New Roman" w:cs="Times New Roman" w:eastAsia="Times New Roman" w:hAnsi="Times New Roman"/>
          <w:sz w:val="18"/>
          <w:szCs w:val="18"/>
          <w:color w:val="auto"/>
        </w:rPr>
      </w:pPr>
    </w:p>
    <w:p>
      <w:pPr>
        <w:ind w:left="980" w:right="300" w:firstLine="408"/>
        <w:spacing w:after="0" w:line="261" w:lineRule="auto"/>
        <w:tabs>
          <w:tab w:leader="none" w:pos="1666" w:val="left"/>
        </w:tabs>
        <w:numPr>
          <w:ilvl w:val="2"/>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72" w:lineRule="exact"/>
        <w:rPr>
          <w:sz w:val="20"/>
          <w:szCs w:val="20"/>
          <w:color w:val="auto"/>
        </w:rPr>
      </w:pPr>
    </w:p>
    <w:p>
      <w:pPr>
        <w:jc w:val="both"/>
        <w:ind w:left="1420" w:firstLine="8"/>
        <w:spacing w:after="0" w:line="257" w:lineRule="auto"/>
        <w:tabs>
          <w:tab w:leader="none" w:pos="167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Foreign Lender claiming the benefits of an income tax treaty to which the United States is a party (x) with respect to payments of interest under any Loan Document, an executed copy of IRS Form W-8BEN or IRS Form W-8BEN-E, as applicable, establishing an exemption from, or reduction of, U.S. federal withholding Tax pursuant to the “interest” article of such tax treaty and</w:t>
      </w:r>
    </w:p>
    <w:p>
      <w:pPr>
        <w:spacing w:after="0" w:line="1"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 with respect to any other applicable payments under any Loan Document, IRS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00"/>
          </w:cols>
          <w:pgMar w:left="440" w:top="270" w:right="459" w:bottom="1440" w:gutter="0" w:footer="0" w:header="0"/>
        </w:sectPr>
      </w:pPr>
    </w:p>
    <w:bookmarkStart w:id="117" w:name="page118"/>
    <w:bookmarkEnd w:id="117"/>
    <w:p>
      <w:pPr>
        <w:ind w:left="420" w:right="2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Form W-8BEN or IRS Form W-8BEN-E, as applicable, establishing an exemption from, or reduction of, U.S. federal withholding Tax pursuant to the “business profits” or “other income” article of such tax treaty;</w:t>
      </w:r>
    </w:p>
    <w:p>
      <w:pPr>
        <w:spacing w:after="0" w:line="54" w:lineRule="exact"/>
        <w:rPr>
          <w:sz w:val="20"/>
          <w:szCs w:val="20"/>
          <w:color w:val="auto"/>
        </w:rPr>
      </w:pPr>
    </w:p>
    <w:p>
      <w:pPr>
        <w:ind w:left="420" w:right="40" w:firstLine="8"/>
        <w:spacing w:after="0" w:line="282" w:lineRule="auto"/>
        <w:tabs>
          <w:tab w:leader="none" w:pos="675"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Foreign Lender claiming that its extension of credit will generate U.S. effectively connected income, an executed copy of IRS Form W-8ECI;</w:t>
      </w:r>
    </w:p>
    <w:p>
      <w:pPr>
        <w:spacing w:after="0" w:line="53" w:lineRule="exact"/>
        <w:rPr>
          <w:rFonts w:ascii="Times New Roman" w:cs="Times New Roman" w:eastAsia="Times New Roman" w:hAnsi="Times New Roman"/>
          <w:sz w:val="18"/>
          <w:szCs w:val="18"/>
          <w:color w:val="auto"/>
        </w:rPr>
      </w:pPr>
    </w:p>
    <w:p>
      <w:pPr>
        <w:ind w:left="680" w:hanging="252"/>
        <w:spacing w:after="0"/>
        <w:tabs>
          <w:tab w:leader="none" w:pos="68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Foreign Lender claiming the benefits of the exemption for portfolio interest under Section 881(c) of the Code,</w:t>
      </w:r>
    </w:p>
    <w:p>
      <w:pPr>
        <w:spacing w:after="0" w:line="27" w:lineRule="exact"/>
        <w:rPr>
          <w:rFonts w:ascii="Times New Roman" w:cs="Times New Roman" w:eastAsia="Times New Roman" w:hAnsi="Times New Roman"/>
          <w:sz w:val="18"/>
          <w:szCs w:val="18"/>
          <w:color w:val="auto"/>
        </w:rPr>
      </w:pPr>
    </w:p>
    <w:p>
      <w:pPr>
        <w:ind w:left="42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xml:space="preserve">(x) a certificate substantially in the form of </w:t>
      </w:r>
      <w:r>
        <w:rPr>
          <w:rFonts w:ascii="Times New Roman" w:cs="Times New Roman" w:eastAsia="Times New Roman" w:hAnsi="Times New Roman"/>
          <w:sz w:val="17"/>
          <w:szCs w:val="17"/>
          <w:u w:val="single" w:color="auto"/>
          <w:color w:val="auto"/>
        </w:rPr>
        <w:t>Exhibit F-1</w:t>
      </w:r>
      <w:r>
        <w:rPr>
          <w:rFonts w:ascii="Times New Roman" w:cs="Times New Roman" w:eastAsia="Times New Roman" w:hAnsi="Times New Roman"/>
          <w:sz w:val="17"/>
          <w:szCs w:val="17"/>
          <w:color w:val="auto"/>
        </w:rPr>
        <w:t xml:space="preserve"> 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Times New Roman" w:cs="Times New Roman" w:eastAsia="Times New Roman" w:hAnsi="Times New Roman"/>
          <w:sz w:val="17"/>
          <w:szCs w:val="17"/>
          <w:u w:val="single" w:color="auto"/>
          <w:color w:val="auto"/>
        </w:rPr>
        <w:t>U.S. Tax Compliance Certificate</w:t>
      </w:r>
      <w:r>
        <w:rPr>
          <w:rFonts w:ascii="Times New Roman" w:cs="Times New Roman" w:eastAsia="Times New Roman" w:hAnsi="Times New Roman"/>
          <w:sz w:val="17"/>
          <w:szCs w:val="17"/>
          <w:color w:val="auto"/>
        </w:rPr>
        <w:t>”) and</w:t>
      </w:r>
    </w:p>
    <w:p>
      <w:pPr>
        <w:ind w:left="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 an executed copy of IRS Form W-8BEN or IRS Form W-8BEN-E; or</w:t>
      </w:r>
    </w:p>
    <w:p>
      <w:pPr>
        <w:spacing w:after="0" w:line="98" w:lineRule="exact"/>
        <w:rPr>
          <w:rFonts w:ascii="Times New Roman" w:cs="Times New Roman" w:eastAsia="Times New Roman" w:hAnsi="Times New Roman"/>
          <w:sz w:val="18"/>
          <w:szCs w:val="18"/>
          <w:color w:val="auto"/>
        </w:rPr>
      </w:pPr>
    </w:p>
    <w:p>
      <w:pPr>
        <w:ind w:left="420" w:firstLine="8"/>
        <w:spacing w:after="0" w:line="256" w:lineRule="auto"/>
        <w:tabs>
          <w:tab w:leader="none" w:pos="675"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a Foreign Lender is not the beneficial owner, an executed copy of IRS Form W-8IMY, accompanied by IRS Form W-8ECI, IRS Form W-8BEN or IRS Form W-8BEN-E, a U.S. Tax Compliance Certificate substantially in the form of </w:t>
      </w:r>
      <w:r>
        <w:rPr>
          <w:rFonts w:ascii="Times New Roman" w:cs="Times New Roman" w:eastAsia="Times New Roman" w:hAnsi="Times New Roman"/>
          <w:sz w:val="18"/>
          <w:szCs w:val="18"/>
          <w:u w:val="single" w:color="auto"/>
          <w:color w:val="auto"/>
        </w:rPr>
        <w:t>Exhibit F-2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Exhibit F-3</w:t>
      </w:r>
      <w:r>
        <w:rPr>
          <w:rFonts w:ascii="Times New Roman" w:cs="Times New Roman" w:eastAsia="Times New Roman" w:hAnsi="Times New Roman"/>
          <w:sz w:val="18"/>
          <w:szCs w:val="18"/>
          <w:color w:val="auto"/>
        </w:rPr>
        <w:t xml:space="preserve">, IRS Form W-9, and/or other certification documents from each beneficial owner,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18"/>
          <w:szCs w:val="18"/>
          <w:u w:val="single" w:color="auto"/>
          <w:color w:val="auto"/>
        </w:rPr>
        <w:t>Exhibit F-4</w:t>
      </w:r>
      <w:r>
        <w:rPr>
          <w:rFonts w:ascii="Times New Roman" w:cs="Times New Roman" w:eastAsia="Times New Roman" w:hAnsi="Times New Roman"/>
          <w:sz w:val="18"/>
          <w:szCs w:val="18"/>
          <w:color w:val="auto"/>
        </w:rPr>
        <w:t xml:space="preserve"> on behalf of each such direct and indirect partner;</w:t>
      </w:r>
    </w:p>
    <w:p>
      <w:pPr>
        <w:spacing w:after="0" w:line="79" w:lineRule="exact"/>
        <w:rPr>
          <w:rFonts w:ascii="Times New Roman" w:cs="Times New Roman" w:eastAsia="Times New Roman" w:hAnsi="Times New Roman"/>
          <w:sz w:val="18"/>
          <w:szCs w:val="18"/>
          <w:color w:val="auto"/>
        </w:rPr>
      </w:pPr>
    </w:p>
    <w:p>
      <w:pPr>
        <w:ind w:left="-20" w:right="160" w:firstLine="408"/>
        <w:spacing w:after="0" w:line="256" w:lineRule="auto"/>
        <w:tabs>
          <w:tab w:leader="none" w:pos="666"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79" w:lineRule="exact"/>
        <w:rPr>
          <w:rFonts w:ascii="Times New Roman" w:cs="Times New Roman" w:eastAsia="Times New Roman" w:hAnsi="Times New Roman"/>
          <w:sz w:val="18"/>
          <w:szCs w:val="18"/>
          <w:color w:val="auto"/>
        </w:rPr>
      </w:pPr>
    </w:p>
    <w:p>
      <w:pPr>
        <w:ind w:left="-20" w:right="20" w:firstLine="408"/>
        <w:spacing w:after="0" w:line="254" w:lineRule="auto"/>
        <w:tabs>
          <w:tab w:leader="none" w:pos="676"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2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000"/>
          </w:cols>
          <w:pgMar w:left="1440" w:top="270" w:right="459" w:bottom="1440" w:gutter="0" w:footer="0" w:header="0"/>
        </w:sectPr>
      </w:pPr>
    </w:p>
    <w:bookmarkStart w:id="118" w:name="page119"/>
    <w:bookmarkEnd w:id="118"/>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162" w:lineRule="exact"/>
        <w:rPr>
          <w:sz w:val="20"/>
          <w:szCs w:val="20"/>
          <w:color w:val="auto"/>
        </w:rPr>
      </w:pPr>
    </w:p>
    <w:p>
      <w:pPr>
        <w:ind w:firstLine="987"/>
        <w:spacing w:after="0" w:line="253" w:lineRule="auto"/>
        <w:tabs>
          <w:tab w:leader="none" w:pos="124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Certain Refunds</w:t>
      </w:r>
      <w:r>
        <w:rPr>
          <w:rFonts w:ascii="Times New Roman" w:cs="Times New Roman" w:eastAsia="Times New Roman" w:hAnsi="Times New Roman"/>
          <w:sz w:val="18"/>
          <w:szCs w:val="18"/>
          <w:color w:val="auto"/>
        </w:rPr>
        <w:t>. If any party determines, in its sole discretion exercised in good faith, that it has received a refund of any Taxes as to which it has been indemnified pursuant to this Section 2.17 (including by the payment of additional amounts pursuant to this Section 2.17), it shall pay to the indemnifying party an amount equal to such refund (but only to the extent of indemnity payments made under this Section 2.17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(g) (plus any penalties, interest or other charges imposed by the relevant Governmental Authority) in the event that such indemnified party is required to repay such refund to such Governmental Authority. Notwithstanding anything to the contrary in this paragraph (g), in no event will the indemnified party be required to pay any amount to an indemnifying party pursuant to this paragraph (g)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87" w:lineRule="exact"/>
        <w:rPr>
          <w:rFonts w:ascii="Times New Roman" w:cs="Times New Roman" w:eastAsia="Times New Roman" w:hAnsi="Times New Roman"/>
          <w:sz w:val="18"/>
          <w:szCs w:val="18"/>
          <w:color w:val="auto"/>
        </w:rPr>
      </w:pPr>
    </w:p>
    <w:p>
      <w:pPr>
        <w:ind w:right="160" w:firstLine="987"/>
        <w:spacing w:after="0" w:line="266" w:lineRule="auto"/>
        <w:tabs>
          <w:tab w:leader="none" w:pos="124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Each party’s obligations under this Section 2.17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175"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Defined Terms</w:t>
      </w:r>
      <w:r>
        <w:rPr>
          <w:rFonts w:ascii="Times New Roman" w:cs="Times New Roman" w:eastAsia="Times New Roman" w:hAnsi="Times New Roman"/>
          <w:sz w:val="17"/>
          <w:szCs w:val="17"/>
          <w:color w:val="auto"/>
        </w:rPr>
        <w:t>. For purposes of this Section 2.17, the term “Lender” includes each Issuing Bank and the term “applicable law” includes</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FATCA.</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2.18. </w:t>
      </w:r>
      <w:r>
        <w:rPr>
          <w:rFonts w:ascii="Times New Roman" w:cs="Times New Roman" w:eastAsia="Times New Roman" w:hAnsi="Times New Roman"/>
          <w:sz w:val="18"/>
          <w:szCs w:val="18"/>
          <w:u w:val="single" w:color="auto"/>
          <w:color w:val="auto"/>
        </w:rPr>
        <w:t>Payments Generally; Pro Rata Treatment; Sharing of Setoffs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53" w:lineRule="auto"/>
        <w:tabs>
          <w:tab w:leader="none" w:pos="1236"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make each payment or prepayment required to be made by it hereunder (whether of principal, interest, fees or reimbursement of LC Disbursements, or of amounts payable under Section 2.15, 2.16 or 2.17, or otherwise) prior to (i) in the case of payments denominated in Dollars, 12:00 noon, New York City time and (ii) in the case of payments denominated in a Foreign Currency, 12:00 noon, at the Applicable Time, in the city of the Administrative Agent’s Foreign Currency Payment Office for such currency, in each case on the date when due or the date fixed for any prepayment hereunder, in immediately available funds, without setoff, recoupment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its applicable office or offices as described in the Administrative Questionnaire provided by the Administrative Agent to the Borrower from time to time, except payments to be made directly to the Issuing Bank or the Swingline Lender as expressly provided herein and except that payments pursuant to Sections 2.15, 2.16, 2.17 and 9.03 shall be made directly to the Persons entitled thereto. The Administrative Agent shall distribute any such payments denominated in the same currency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Notwithstanding the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00"/>
          </w:cols>
          <w:pgMar w:left="440" w:top="270" w:right="459" w:bottom="1440" w:gutter="0" w:footer="0" w:header="0"/>
        </w:sectPr>
      </w:pPr>
    </w:p>
    <w:bookmarkStart w:id="119" w:name="page120"/>
    <w:bookmarkEnd w:id="119"/>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foregoing provisions of this Section, if, after the making of any Credit Event in any Foreign Currency, currency control or exchange regulations are imposed in the country which issues such currency with the result that the type of currency in which the Credit Event was made (the “</w:t>
      </w:r>
      <w:r>
        <w:rPr>
          <w:rFonts w:ascii="Times New Roman" w:cs="Times New Roman" w:eastAsia="Times New Roman" w:hAnsi="Times New Roman"/>
          <w:sz w:val="18"/>
          <w:szCs w:val="18"/>
          <w:u w:val="single" w:color="auto"/>
          <w:color w:val="auto"/>
        </w:rPr>
        <w:t>Original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Currency</w:t>
      </w:r>
      <w:r>
        <w:rPr>
          <w:rFonts w:ascii="Times New Roman" w:cs="Times New Roman" w:eastAsia="Times New Roman" w:hAnsi="Times New Roman"/>
          <w:sz w:val="18"/>
          <w:szCs w:val="18"/>
          <w:color w:val="auto"/>
        </w:rPr>
        <w:t>”) no longer exists or the Borrower is not able to make payment to the Administrative Agent for the account of the Lenders in such Original Currency, then all payments to be made by the Borrower hereunder in such currency shall instead be made when due in Dollars in an amount equal to the Dollar Amount (as of the date of repayment) of such payment due, it being the intention of the parties hereto that the Borrower takes all risks of the imposition of any such currency control or exchange regulations. Without limiting the generality of the foregoing, the Administrative Agent may require that any payments due under this Agreement be made in the United States. If, for any reason, the Borrower is prohibited by any law from making any required payment hereunder in a Foreign Currency, the Borrower shall make such payment in Dollars in the Dollar Amount of the Foreign Currency payment amount.</w:t>
      </w:r>
    </w:p>
    <w:p>
      <w:pPr>
        <w:spacing w:after="0" w:line="188" w:lineRule="exact"/>
        <w:rPr>
          <w:sz w:val="20"/>
          <w:szCs w:val="20"/>
          <w:color w:val="auto"/>
        </w:rPr>
      </w:pPr>
    </w:p>
    <w:p>
      <w:pPr>
        <w:ind w:right="40" w:firstLine="987"/>
        <w:spacing w:after="0" w:line="258" w:lineRule="auto"/>
        <w:tabs>
          <w:tab w:leader="none" w:pos="1246"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insufficient funds are received by and available to the Administrative Agent to pay fully all amounts of principal, unreimbursed LC Disbursements, interest and fees then due hereunder, such funds shall be applied (i) first, towards payment of interest and fees then due hereunder, ratably among the parties entitled thereto in accordance with the amounts of interest and fees then due to such parties, and (ii) second, towards payment of principal and unreimbursed LC Disbursements then due hereunder, ratably among the parties entitled thereto in accordance with the amounts of principal and unreimbursed LC Disbursements then due to such parties.</w:t>
      </w:r>
    </w:p>
    <w:p>
      <w:pPr>
        <w:spacing w:after="0" w:line="183" w:lineRule="exact"/>
        <w:rPr>
          <w:rFonts w:ascii="Times New Roman" w:cs="Times New Roman" w:eastAsia="Times New Roman" w:hAnsi="Times New Roman"/>
          <w:sz w:val="18"/>
          <w:szCs w:val="18"/>
          <w:color w:val="auto"/>
        </w:rPr>
      </w:pPr>
    </w:p>
    <w:p>
      <w:pPr>
        <w:ind w:right="80" w:firstLine="987"/>
        <w:spacing w:after="0" w:line="253" w:lineRule="auto"/>
        <w:tabs>
          <w:tab w:leader="none" w:pos="1236"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election of the Administrative Agent, all payments of principal, interest, LC Disbursements, fees, premiums, reimbursable expenses (including, without limitation, all reimbursement for fees and expenses pursuant to Section 9.03), and other sums payable under the Loan Documents, may be paid from the proceeds of Borrowings made hereunder whether made following a request by the Borrower pursuant to Section 2.03 or a deemed request as provided in this Section or may be deducted from any deposit account of the Borrower maintained with the Administrative Agent. The Borrower hereby irrevocably authorizes (i) the Administrative Agent to make a Borrowing for the purpose of paying each payment of principal, interest and fees as it becomes due hereunder or any other amount due under the Loan Documents and agrees that all such amounts charged shall constitute Loans (including Swingline Loans) and that all such Borrowings shall be deemed to have been requested pursuant to Section 2.03 or</w:t>
      </w:r>
    </w:p>
    <w:p>
      <w:pPr>
        <w:spacing w:after="0" w:line="2" w:lineRule="exact"/>
        <w:rPr>
          <w:rFonts w:ascii="Times New Roman" w:cs="Times New Roman" w:eastAsia="Times New Roman" w:hAnsi="Times New Roman"/>
          <w:sz w:val="18"/>
          <w:szCs w:val="18"/>
          <w:color w:val="auto"/>
        </w:rPr>
      </w:pPr>
    </w:p>
    <w:p>
      <w:pPr>
        <w:ind w:right="1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2.05, as applicable and (ii) the Administrative Agent to charge any deposit account of the Borrower maintained with the Administrative Agent for each payment of principal, interest and fees as it becomes due hereunder or any other amount due under the Loan Documents.</w:t>
      </w:r>
    </w:p>
    <w:p>
      <w:pPr>
        <w:spacing w:after="0" w:line="181" w:lineRule="exact"/>
        <w:rPr>
          <w:rFonts w:ascii="Times New Roman" w:cs="Times New Roman" w:eastAsia="Times New Roman" w:hAnsi="Times New Roman"/>
          <w:sz w:val="18"/>
          <w:szCs w:val="18"/>
          <w:color w:val="auto"/>
        </w:rPr>
      </w:pPr>
    </w:p>
    <w:p>
      <w:pPr>
        <w:ind w:firstLine="987"/>
        <w:spacing w:after="0" w:line="253" w:lineRule="auto"/>
        <w:tabs>
          <w:tab w:leader="none" w:pos="1246"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Lender shall, by exercising any right of setoff or counterclaim or otherwise, obtain payment in respect of any principal of or interest on any of its Revolving Loans or participations in LC Disbursements or Swingline Loans resulting in such Lender receiving payment of a greater proportion of the aggregate amount of its Revolving Loans and participations in LC Disbursements and Swingline Loans and accrued interest thereon than the proportion received by any other Lender, then the Lender receiving such greater proportion shall purchase (for cash at face value) participations in the Revolving Loans and participations in LC Disbursements and Swingline Loans of other Lenders to the extent necessary so that the benefit of all such payments shall be shared by the Lenders ratably in accordance with the aggregate amount of principal of and accrued interest on their respective Revolving Loans and participations in LC Disbursements and Swingline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or any payment obtained by a Lender as consideration for the assignment of or sale of a participation in any of its Loans or participations in LC Disbursements and Swingline Loans to any assignee or participant, other than to the Borrower or any</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00"/>
          </w:cols>
          <w:pgMar w:left="440" w:top="270" w:right="459" w:bottom="1440" w:gutter="0" w:footer="0" w:header="0"/>
        </w:sectPr>
      </w:pPr>
    </w:p>
    <w:bookmarkStart w:id="120" w:name="page121"/>
    <w:bookmarkEnd w:id="120"/>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Subsidiary or Affiliate thereof (as to which the provisions of this paragraph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80" w:lineRule="exact"/>
        <w:rPr>
          <w:sz w:val="20"/>
          <w:szCs w:val="20"/>
          <w:color w:val="auto"/>
        </w:rPr>
      </w:pPr>
    </w:p>
    <w:p>
      <w:pPr>
        <w:ind w:firstLine="987"/>
        <w:spacing w:after="0" w:line="254" w:lineRule="auto"/>
        <w:tabs>
          <w:tab w:leader="none" w:pos="1236"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Administrative Agent shall have received, prior to any date on which any payment is due to the Administrative Agent for the account of the Lenders or the Issuing Banks pursuant to the terms of this Agreement or any other Loan Document (including any date that is fixed for prepayment by notice from the Borrower to the Administrative Agent pursuant to Section 2.11(b)), notice from the Borrower that the Borrower will not make such payment or prepayment, the Administrative Agent may assume that the Borrower has made such payment on such date in accordance herewith and may, in reliance upon such assumption, distribute to the Lenders or the Issuing Banks, as the case may be, the amount due. In such event, if the Borrower has not in fact made such payment, then each of the Lenders or the Issuing Banks,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applicable Overnight Rate.</w:t>
      </w:r>
    </w:p>
    <w:p>
      <w:pPr>
        <w:spacing w:after="0" w:line="192"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2.19. </w:t>
      </w:r>
      <w:r>
        <w:rPr>
          <w:rFonts w:ascii="Times New Roman" w:cs="Times New Roman" w:eastAsia="Times New Roman" w:hAnsi="Times New Roman"/>
          <w:sz w:val="18"/>
          <w:szCs w:val="18"/>
          <w:u w:val="single" w:color="auto"/>
          <w:color w:val="auto"/>
        </w:rPr>
        <w:t>Mitigation Obligations; Replacement of Lenders</w:t>
      </w:r>
      <w:r>
        <w:rPr>
          <w:rFonts w:ascii="Times New Roman" w:cs="Times New Roman" w:eastAsia="Times New Roman" w:hAnsi="Times New Roman"/>
          <w:sz w:val="18"/>
          <w:szCs w:val="18"/>
          <w:color w:val="auto"/>
        </w:rPr>
        <w:t>. (a) If any Lender requests compensation under Section 2.15, or if the Borrower is required to pay any Indemnified Taxes or additional amounts to any Lender or any Governmental Authority for the account of any Lender pursuant to Section 2.17,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Section 2.15 or 2.17, as the case may be,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189" w:lineRule="exact"/>
        <w:rPr>
          <w:sz w:val="20"/>
          <w:szCs w:val="20"/>
          <w:color w:val="auto"/>
        </w:rPr>
      </w:pPr>
    </w:p>
    <w:p>
      <w:pPr>
        <w:ind w:firstLine="987"/>
        <w:spacing w:after="0" w:line="252" w:lineRule="auto"/>
        <w:tabs>
          <w:tab w:leader="none" w:pos="1246"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(i) any Lender requests compensation under Section 2.15, (ii) the Borrower is required to pay any Indemnified Taxes or additional amounts to any Lender or any Governmental Authority for the account of any Lender pursuant to Section 2.17 or (iii) any Lender becomes a Defaulting Lender, then the Borrower may, at its sole expense and effort, upon notice to such Lender and the Administrative Agent, require such Lender to assign and delegate, without recourse (in accordance with and subject to the restrictions contained in Section 9.04), all its interests, rights (other than its existing rights to payments pursuant to Section 2.15 or 2.17) and obligations under this Agreement and the other Loan Documents to an assignee that shall assume such obligations (which assignee may be another Lender, if a Lender accepts such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Borrower shall have received the prior written consent of the Administrative Agent (and if a Commitment is being assigned, the Issuing Banks and the Swingline Lender), which consent shall not unreasonably be withheld, (ii) such Lender shall have received payment of an amount equal to the outstanding principal of its Loans and participations in LC Disbursements and Swingline Loans, accrued interest thereon, accrued fees and all other amounts payable to it hereunder, from the assignee (to the extent of such outstanding principal and accrued interest and fees) or the Borrower (in the case of all other amounts) and (iii) in the case of any such assignment resulting from a claim for compensation under Section 2.15 or payments required to be made pursuant to Section 2.17, such assignment will result in a reduction in such compensation or payments. A Lender shall not be required to make any such assignment and delegation if, prior thereto, as a result of a waiver by such Lender or otherwise, the circumstances entitling the Borrower to require such assignment and delegation cease to apply. Each party hereto agrees that (i) an assignment required pursuant to this paragraph may be effected pursuant to an Assignment and Assumption executed by the Borrower, the Administrative Agent and the</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00"/>
          </w:cols>
          <w:pgMar w:left="440" w:top="270" w:right="459" w:bottom="1440" w:gutter="0" w:footer="0" w:header="0"/>
        </w:sectPr>
      </w:pPr>
    </w:p>
    <w:bookmarkStart w:id="121" w:name="page122"/>
    <w:bookmarkEnd w:id="121"/>
    <w:p>
      <w:pPr>
        <w:ind w:left="4" w:right="1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assignee (or, to the extent applicable, an agreement incorporating an Assignment and Assumption by reference pursuant to an Approved Electronic Platform as to which the Administrative Agent and such parties are participants), and (ii) the Lender required to make such assignment need not be a party thereto in order for such assignment to be effective and shall be deemed to have consented to and be bound by the terms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following the effectiveness of any such assignment, the other parties to such assignment agree to execute and deliver such documents necessary to evidence such assignment as reasonably requested by the applicable Lender, provided that any such documents shall be without recourse to or warranty by the parties thereto.</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2.20. </w:t>
      </w:r>
      <w:r>
        <w:rPr>
          <w:rFonts w:ascii="Times New Roman" w:cs="Times New Roman" w:eastAsia="Times New Roman" w:hAnsi="Times New Roman"/>
          <w:sz w:val="18"/>
          <w:szCs w:val="18"/>
          <w:u w:val="single" w:color="auto"/>
          <w:color w:val="auto"/>
        </w:rPr>
        <w:t>Expansion Option</w:t>
      </w:r>
      <w:r>
        <w:rPr>
          <w:rFonts w:ascii="Times New Roman" w:cs="Times New Roman" w:eastAsia="Times New Roman" w:hAnsi="Times New Roman"/>
          <w:sz w:val="18"/>
          <w:szCs w:val="18"/>
          <w:color w:val="auto"/>
        </w:rPr>
        <w:t>. The Borrower may from time to time elect to increase the Commitments or enter into one or more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tranches of term loans (each an “</w:t>
      </w:r>
      <w:r>
        <w:rPr>
          <w:rFonts w:ascii="Times New Roman" w:cs="Times New Roman" w:eastAsia="Times New Roman" w:hAnsi="Times New Roman"/>
          <w:sz w:val="17"/>
          <w:szCs w:val="17"/>
          <w:u w:val="single" w:color="auto"/>
          <w:color w:val="auto"/>
        </w:rPr>
        <w:t>Incremental Term Loan</w:t>
      </w:r>
      <w:r>
        <w:rPr>
          <w:rFonts w:ascii="Times New Roman" w:cs="Times New Roman" w:eastAsia="Times New Roman" w:hAnsi="Times New Roman"/>
          <w:sz w:val="17"/>
          <w:szCs w:val="17"/>
          <w:color w:val="auto"/>
        </w:rPr>
        <w:t>”), in each case in a minimum amount of $25,000,000 and in increments of $1,000,000 in excess</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thereof so long as, after giving effect thereto, the aggregate amount of such increases and all such Incremental Term Loans does not exceed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$300,000,000. The Borrower may arrange for any such increase or tranche to be provided by one or more Lenders (each Lender so agreeing to an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increase in its Commitment, or to participate in such Incremental Term Loans, an “</w:t>
      </w:r>
      <w:r>
        <w:rPr>
          <w:rFonts w:ascii="Times New Roman" w:cs="Times New Roman" w:eastAsia="Times New Roman" w:hAnsi="Times New Roman"/>
          <w:sz w:val="18"/>
          <w:szCs w:val="18"/>
          <w:u w:val="single" w:color="auto"/>
          <w:color w:val="auto"/>
        </w:rPr>
        <w:t>Increasing Lender</w:t>
      </w:r>
      <w:r>
        <w:rPr>
          <w:rFonts w:ascii="Times New Roman" w:cs="Times New Roman" w:eastAsia="Times New Roman" w:hAnsi="Times New Roman"/>
          <w:sz w:val="18"/>
          <w:szCs w:val="18"/>
          <w:color w:val="auto"/>
        </w:rPr>
        <w:t>”), or by one or more new banks, financial</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institutions or other entities (each such new bank, financial institution or other entity, an “</w:t>
      </w:r>
      <w:r>
        <w:rPr>
          <w:rFonts w:ascii="Times New Roman" w:cs="Times New Roman" w:eastAsia="Times New Roman" w:hAnsi="Times New Roman"/>
          <w:sz w:val="18"/>
          <w:szCs w:val="18"/>
          <w:u w:val="single" w:color="auto"/>
          <w:color w:val="auto"/>
        </w:rPr>
        <w:t>Augmenting Lender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Ineligible Institution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may be an Augmenting Lender), which agree to increase their existing Commitments, or to participate in such Incremental Term Loans, or provide new</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Commitments, as the case may be;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each Augmenting Lender, shall be subject to the approval of the Borrower and the Administrative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Agent and (ii) (x) in the case of an Increasing Lender, the Borrower and such Increasing Lender execute an agreement substantially in the form of</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and (y) in the case of an Augmenting Lender, the Borrower and such Augmenting Lender execute an agreement substantially in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form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hereto. No consent of any Lender (other than the Lenders participating in the increase or any Incremental Term Loan) shall be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required for any increase in Commitments or Incremental Term Loan pursuant to this Section 2.20. Increases and new Commitments and Incremental</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Term Loans created pursuant to this Section 2.20 shall become effective on the date agreed by the Borrower, the Administrative Agent and the relevant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Increasing Lenders or Augmenting Lenders, and the Administrative Agent shall notify each Lender thereof. Notwithstanding the foregoing, no increase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 the Commitments (or in the Commitment of any Lender) or tranche of Incremental Term Loans shall become effective under this paragraph unless,</w:t>
      </w:r>
    </w:p>
    <w:p>
      <w:pPr>
        <w:spacing w:after="0" w:line="9" w:lineRule="exact"/>
        <w:rPr>
          <w:sz w:val="20"/>
          <w:szCs w:val="20"/>
          <w:color w:val="auto"/>
        </w:rPr>
      </w:pPr>
    </w:p>
    <w:p>
      <w:pPr>
        <w:ind w:left="4" w:right="40" w:hanging="4"/>
        <w:spacing w:after="0" w:line="251" w:lineRule="auto"/>
        <w:tabs>
          <w:tab w:leader="none" w:pos="219"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proposed date of the effectiveness of such increase or Incremental Term Loans, (x) the representations and warranties of the Borrower set forth in this Agreement shall be true and correct on and as of such date, both before and after giving effect to such increase or Incremental Term Loans, as though made on and as of such date, (y) at the time of and immediately after giving effect to such increase or Incremental Term Loans, no Default or Event of Default shall have occurred and be continuing, and (z) the Administrative Agent shall have received a certificate certifying the accuracy of the foregoing clauses (x) and (y) dated such date and executed by a Financial Officer of the Borrower and (ii) the Administrative Agent shall have received documents and opinions consistent with those delivered on the Effective Date as to the organizational power and authority of the Borrower to borrow hereunder after giving effect to such increase or Incremental Term Loan. On the effective date of any increase in the Commitments or any Incremental Term Loans being made, (i) each relevant Increasing Lender and Augmenting Lender shall make available to the Administrative Agent such amounts in immediately available funds as the Administrative Agent shall determine, for the benefit of the other Lenders, as being required in order to cause, after giving effect to such increase and the use of such amounts to make payments to such other Lenders, each Lender’s portion of the outstanding Revolving Loans of all the Lenders to equal its Applicable Percentage of such outstanding Revolving Loans, and (ii) the Borrower shall be deemed to have repaid and reborrowed all outstanding Revolving Loans as of the date of any increase in the Commitments (with such reborrowing to consist of the Types of Revolving Loans, with related Interest Periods if applicable, specified in a notice delivered by the Borrower, in accordance with the requirements of Section 2.03). The deemed payments made pursuant to clause (ii) of the immediately preceding sentence shall be accompanied by payment of all accrued interest on the amount prepaid and, in respect of each Term</w:t>
      </w:r>
    </w:p>
    <w:p>
      <w:pPr>
        <w:spacing w:after="0" w:line="12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24"/>
          </w:cols>
          <w:pgMar w:left="436" w:top="270" w:right="439" w:bottom="1440" w:gutter="0" w:footer="0" w:header="0"/>
        </w:sectPr>
      </w:pPr>
    </w:p>
    <w:bookmarkStart w:id="122" w:name="page123"/>
    <w:bookmarkEnd w:id="122"/>
    <w:p>
      <w:pPr>
        <w:ind w:left="4" w:right="12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Benchmark Loan, shall be subject to indemnification by the Borrower pursuant to the provisions of Section 2.16 if the deemed payment occurs other than on the last day of the related Interest Periods. The Incremental Term Loans (a) shall rank pari passu in right of payment with the Revolving Loans,</w:t>
      </w:r>
    </w:p>
    <w:p>
      <w:pPr>
        <w:spacing w:after="0" w:line="1" w:lineRule="exact"/>
        <w:rPr>
          <w:sz w:val="20"/>
          <w:szCs w:val="20"/>
          <w:color w:val="auto"/>
        </w:rPr>
      </w:pPr>
    </w:p>
    <w:p>
      <w:pPr>
        <w:ind w:left="4" w:right="140" w:hanging="4"/>
        <w:spacing w:after="0" w:line="251" w:lineRule="auto"/>
        <w:tabs>
          <w:tab w:leader="none" w:pos="259"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mature earlier than the Maturity Date (but may have amortization prior to such date) and (c) shall be treated substantially the same as (and in any event no more favorably than) the Revolving Loans; provided that (i) the terms and conditions applicable to any tranche of Incremental Term Loans maturing after the Maturity Date may provide for material additional or different financial or other covenants or prepayment requirements applicable only during periods after the Maturity Date and (ii) the Incremental Term Loans may be priced differently than the Revolving Loans. Incremental Term Loans may be made hereunder pursuant to an amendment or restatement (an “</w:t>
      </w:r>
      <w:r>
        <w:rPr>
          <w:rFonts w:ascii="Times New Roman" w:cs="Times New Roman" w:eastAsia="Times New Roman" w:hAnsi="Times New Roman"/>
          <w:sz w:val="18"/>
          <w:szCs w:val="18"/>
          <w:u w:val="single" w:color="auto"/>
          <w:color w:val="auto"/>
        </w:rPr>
        <w:t>Incremental Term Loan Amendment</w:t>
      </w:r>
      <w:r>
        <w:rPr>
          <w:rFonts w:ascii="Times New Roman" w:cs="Times New Roman" w:eastAsia="Times New Roman" w:hAnsi="Times New Roman"/>
          <w:sz w:val="18"/>
          <w:szCs w:val="18"/>
          <w:color w:val="auto"/>
        </w:rPr>
        <w:t>”) of this Agreement and, as appropriate, the other Loan Documents, executed by the Borrower, each Increasing Lender participating in such tranche, each Augmenting Lender participating in such tranche, if any, and the Administrative Agent. The Incremental Term Loan Amendment may, without the consent of any other Lenders, effect such amendments to this Agreement and the other Loan Documents as may be necessary or appropriate, in the reasonable opinion of the Administrative Agent, to effect the provisions of this Section 2.20. Nothing contained in this Section 2.20 shall constitute, or otherwise be deemed to be, a commitment on the part of any Lender to increase its Commitment hereunder, or provide Incremental Term Loans, at any time.</w:t>
      </w:r>
    </w:p>
    <w:p>
      <w:pPr>
        <w:spacing w:after="0" w:line="192" w:lineRule="exact"/>
        <w:rPr>
          <w:sz w:val="20"/>
          <w:szCs w:val="20"/>
          <w:color w:val="auto"/>
        </w:rPr>
      </w:pPr>
    </w:p>
    <w:p>
      <w:pPr>
        <w:ind w:left="4" w:firstLine="991"/>
        <w:spacing w:after="0" w:line="268" w:lineRule="auto"/>
        <w:rPr>
          <w:sz w:val="20"/>
          <w:szCs w:val="20"/>
          <w:color w:val="auto"/>
        </w:rPr>
      </w:pPr>
      <w:r>
        <w:rPr>
          <w:rFonts w:ascii="Times New Roman" w:cs="Times New Roman" w:eastAsia="Times New Roman" w:hAnsi="Times New Roman"/>
          <w:sz w:val="17"/>
          <w:szCs w:val="17"/>
          <w:color w:val="auto"/>
        </w:rPr>
        <w:t xml:space="preserve">SECTION 2.21. </w:t>
      </w:r>
      <w:r>
        <w:rPr>
          <w:rFonts w:ascii="Times New Roman" w:cs="Times New Roman" w:eastAsia="Times New Roman" w:hAnsi="Times New Roman"/>
          <w:sz w:val="17"/>
          <w:szCs w:val="17"/>
          <w:u w:val="single" w:color="auto"/>
          <w:color w:val="auto"/>
        </w:rPr>
        <w:t>Judgment Currency</w:t>
      </w:r>
      <w:r>
        <w:rPr>
          <w:rFonts w:ascii="Times New Roman" w:cs="Times New Roman" w:eastAsia="Times New Roman" w:hAnsi="Times New Roman"/>
          <w:sz w:val="17"/>
          <w:szCs w:val="17"/>
          <w:color w:val="auto"/>
        </w:rPr>
        <w:t>. If for the purposes of obtaining judgment in any court it is necessary to convert a sum due from the Borrower hereunder in the currency expressed to be payable herein (the “</w:t>
      </w:r>
      <w:r>
        <w:rPr>
          <w:rFonts w:ascii="Times New Roman" w:cs="Times New Roman" w:eastAsia="Times New Roman" w:hAnsi="Times New Roman"/>
          <w:sz w:val="17"/>
          <w:szCs w:val="17"/>
          <w:u w:val="single" w:color="auto"/>
          <w:color w:val="auto"/>
        </w:rPr>
        <w:t>specified currency</w:t>
      </w:r>
      <w:r>
        <w:rPr>
          <w:rFonts w:ascii="Times New Roman" w:cs="Times New Roman" w:eastAsia="Times New Roman" w:hAnsi="Times New Roman"/>
          <w:sz w:val="17"/>
          <w:szCs w:val="17"/>
          <w:color w:val="auto"/>
        </w:rPr>
        <w:t>”) into another currency, the parties hereto agree, to the fullest extent that they may effectively do so, that the rate of exchange used shall be that at which in accordance with normal banking procedures the Administrative Agent could purchase the specified currency with such other currency at the Administrative Agent’s main New York City office on the Business Day preceding that on which final, non-appealable judgment is given. The obligations of the Borrower in respect of any sum due to any Lender or the Administrative Agent hereunder shall, notwithstanding any judgment in a currency other than the specified currency, be discharged only to the extent that on the Business Day following receipt by such Lender or the Administrative Agent (as the case may be) of any sum adjudged to be so due in such other currency such Lender or the Administrative Agent (as the case may be) may in accordance with normal, reasonable banking procedures purchase the specified currency with such other currency. If the amount of the specified currency so purchased is less than the sum originally due to such Lender or the Administrative Agent, as the case may be, in the specified currency, the Borrower agrees, to the fullest extent that it may effectively do so, as a separate obligation and notwithstanding any such judgment, to indemnify such Lender or the Administrative Agent, as the case may be, against such loss, and if the amount of the specified currency so purchased exceeds (a) the sum originally due to any Lender or the Administrative Agent, as the case may be, in the specified currency and (b) any amounts shared with other Lenders as a result of allocations of such excess as a disproportionate payment to such Lender under Section 2.18, such Lender or the Administrative Agent, as the case may be, agrees to remit such excess to the Borrower.</w:t>
      </w:r>
    </w:p>
    <w:p>
      <w:pPr>
        <w:spacing w:after="0" w:line="184" w:lineRule="exact"/>
        <w:rPr>
          <w:sz w:val="20"/>
          <w:szCs w:val="20"/>
          <w:color w:val="auto"/>
        </w:rPr>
      </w:pPr>
    </w:p>
    <w:p>
      <w:pPr>
        <w:ind w:left="4"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2.22. </w:t>
      </w:r>
      <w:r>
        <w:rPr>
          <w:rFonts w:ascii="Times New Roman" w:cs="Times New Roman" w:eastAsia="Times New Roman" w:hAnsi="Times New Roman"/>
          <w:sz w:val="18"/>
          <w:szCs w:val="18"/>
          <w:u w:val="single" w:color="auto"/>
          <w:color w:val="auto"/>
        </w:rPr>
        <w:t>Defaulting Lenders</w:t>
      </w:r>
      <w:r>
        <w:rPr>
          <w:rFonts w:ascii="Times New Roman" w:cs="Times New Roman" w:eastAsia="Times New Roman" w:hAnsi="Times New Roman"/>
          <w:sz w:val="18"/>
          <w:szCs w:val="18"/>
          <w:color w:val="auto"/>
        </w:rPr>
        <w:t>. Notwithstanding any provision of this Agreement to the contrary, if any Lender becomes a Defaulting Lender, then the following provisions shall apply for so long as such Lender is a Defaulting Lender:</w:t>
      </w:r>
    </w:p>
    <w:p>
      <w:pPr>
        <w:spacing w:after="0" w:line="54" w:lineRule="exact"/>
        <w:rPr>
          <w:sz w:val="20"/>
          <w:szCs w:val="20"/>
          <w:color w:val="auto"/>
        </w:rPr>
      </w:pPr>
    </w:p>
    <w:p>
      <w:pPr>
        <w:ind w:left="5424" w:right="2500" w:hanging="4433"/>
        <w:spacing w:after="0" w:line="454" w:lineRule="auto"/>
        <w:tabs>
          <w:tab w:leader="none" w:pos="1242"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shall cease to accrue on the Commitment of such Defaulting Lender pursuant to Section 2.12(a); 64</w:t>
      </w:r>
    </w:p>
    <w:p>
      <w:pPr>
        <w:sectPr>
          <w:pgSz w:w="11900" w:h="16838" w:orient="portrait"/>
          <w:cols w:equalWidth="0" w:num="1">
            <w:col w:w="11004"/>
          </w:cols>
          <w:pgMar w:left="436" w:top="270" w:right="459" w:bottom="1440" w:gutter="0" w:footer="0" w:header="0"/>
        </w:sectPr>
      </w:pPr>
    </w:p>
    <w:bookmarkStart w:id="123" w:name="page124"/>
    <w:bookmarkEnd w:id="123"/>
    <w:p>
      <w:pPr>
        <w:ind w:left="-20" w:right="20" w:firstLine="987"/>
        <w:spacing w:after="0" w:line="251" w:lineRule="auto"/>
        <w:tabs>
          <w:tab w:leader="none" w:pos="1226"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payment of principal, interest, fees or other amounts received by the Administrative Agent for the account of such Defaulting Lender (whether voluntary or mandatory, at maturity or otherwise) or received by the Administrative Agent from a Defaulting Lender pursuant to Section 9.08 shall be applied at such time or times as may be determined by the Administrative Agent as follows: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the payment of any amounts owing by such Defaulting Lender to the Administrative Agent hereunder;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to the payment on a pro rata basis of any amounts owing by such Defaulting Lender to any Issuing Bank or the Swingline Lender hereunder;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to cash collateralize LC Exposure with respect to such Defaulting Lender in accordance with this Section;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xml:space="preserve">, if so determined by the Administrative Agent and the Borrower, to be held in a deposit account and released pro rata in order to (x) satisfy such Defaulting Lender’s potential future funding obligations with respect to Loans under this Agreement and (y) cash collateralize future LC Exposure with respect to such Defaulting Lender with respect to future Letters of Credit issued under this Agreement, in accordance with this Section; </w:t>
      </w:r>
      <w:r>
        <w:rPr>
          <w:rFonts w:ascii="Times New Roman" w:cs="Times New Roman" w:eastAsia="Times New Roman" w:hAnsi="Times New Roman"/>
          <w:sz w:val="18"/>
          <w:szCs w:val="18"/>
          <w:u w:val="single" w:color="auto"/>
          <w:color w:val="auto"/>
        </w:rPr>
        <w:t>sixth</w:t>
      </w:r>
      <w:r>
        <w:rPr>
          <w:rFonts w:ascii="Times New Roman" w:cs="Times New Roman" w:eastAsia="Times New Roman" w:hAnsi="Times New Roman"/>
          <w:sz w:val="18"/>
          <w:szCs w:val="18"/>
          <w:color w:val="auto"/>
        </w:rPr>
        <w:t xml:space="preserve">, to the payment of any amounts owing to the Lenders, the Issuing Banks or the Swingline Lender as a result of any judgment of a court of competent jurisdiction obtained by any Lender, the Issuing Banks or the Swingline Lender against such Defaulting Lender as a result of such Defaulting Lender’s breach of its obligations under this Agreement or under any other Loan Document; </w:t>
      </w:r>
      <w:r>
        <w:rPr>
          <w:rFonts w:ascii="Times New Roman" w:cs="Times New Roman" w:eastAsia="Times New Roman" w:hAnsi="Times New Roman"/>
          <w:sz w:val="18"/>
          <w:szCs w:val="18"/>
          <w:u w:val="single" w:color="auto"/>
          <w:color w:val="auto"/>
        </w:rPr>
        <w:t>seventh</w:t>
      </w:r>
      <w:r>
        <w:rPr>
          <w:rFonts w:ascii="Times New Roman" w:cs="Times New Roman" w:eastAsia="Times New Roman" w:hAnsi="Times New Roman"/>
          <w:sz w:val="18"/>
          <w:szCs w:val="18"/>
          <w:color w:val="auto"/>
        </w:rPr>
        <w:t>,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or under any other Loan Document; and eighth, to such Defaulting Lender or as otherwise directed by a court of competent jurisdiction; provided that if (x) such payment is a payment of the principal amount of any Loans or LC Disbursements in respect of which such Defaulting Lender has not fully funded its appropriate share, and (y) such Loans were made or the related Letters of Credit were issued at a time when the conditions set forth in Section 4.02 were satisfied or waived, such payment shall be applied solely to pay the Loans of, and LC Disbursements owed to, all non-Defaulting Lenders on a pro rata basis prior to being applied to the payment of any Loans of, or LC Disbursements owed to, such Defaulting Lender until such time as all Loans and funded and unfunded participations in the Borrower’s obligations corresponding to such Defaulting Lender’s LC Exposure and Swingline Loans are held by the Lenders pro rata in accordance with the Commitments without giving effect to clause (d) below. Any payments, prepayments or other amounts paid or payable to a Defaulting Lender that are applied (or held) to pay amounts owed by a Defaulting Lender or to post cash collateral pursuant to this Section shall be deemed paid to and redirected by such Defaulting Lender, and each Lender irrevocably consents hereto;</w:t>
      </w:r>
    </w:p>
    <w:p>
      <w:pPr>
        <w:spacing w:after="0" w:line="204" w:lineRule="exact"/>
        <w:rPr>
          <w:rFonts w:ascii="Times New Roman" w:cs="Times New Roman" w:eastAsia="Times New Roman" w:hAnsi="Times New Roman"/>
          <w:sz w:val="18"/>
          <w:szCs w:val="18"/>
          <w:color w:val="auto"/>
        </w:rPr>
      </w:pPr>
    </w:p>
    <w:p>
      <w:pPr>
        <w:jc w:val="both"/>
        <w:ind w:left="-20" w:right="40" w:firstLine="987"/>
        <w:spacing w:after="0" w:line="261" w:lineRule="auto"/>
        <w:tabs>
          <w:tab w:leader="none" w:pos="1216"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Commitment and Revolving Credit Exposure of such Defaulting Lender shall not be included in determining whether the Required Lenders have taken or may take any action hereunder (including any consent to any amendment, waiver or other modification pursuant to Section 9.02);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any amendment, waiver or other modification requiring the consent of all Lenders or all Lenders directly affected thereby shall not, except as otherwise provided in Section 9.02, require the consent of such Defaulting Lender in accordance with the terms hereof;</w:t>
      </w:r>
    </w:p>
    <w:p>
      <w:pPr>
        <w:spacing w:after="0" w:line="179" w:lineRule="exact"/>
        <w:rPr>
          <w:rFonts w:ascii="Times New Roman" w:cs="Times New Roman" w:eastAsia="Times New Roman" w:hAnsi="Times New Roman"/>
          <w:sz w:val="18"/>
          <w:szCs w:val="18"/>
          <w:color w:val="auto"/>
        </w:rPr>
      </w:pPr>
    </w:p>
    <w:p>
      <w:pPr>
        <w:ind w:left="1220" w:hanging="253"/>
        <w:spacing w:after="0"/>
        <w:tabs>
          <w:tab w:leader="none" w:pos="122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Swingline Exposure or LC Exposure exists at the time such Lender becomes a Defaulting Lender then:</w:t>
      </w:r>
    </w:p>
    <w:p>
      <w:pPr>
        <w:spacing w:after="0" w:line="117" w:lineRule="exact"/>
        <w:rPr>
          <w:rFonts w:ascii="Times New Roman" w:cs="Times New Roman" w:eastAsia="Times New Roman" w:hAnsi="Times New Roman"/>
          <w:sz w:val="18"/>
          <w:szCs w:val="18"/>
          <w:color w:val="auto"/>
        </w:rPr>
      </w:pPr>
    </w:p>
    <w:p>
      <w:pPr>
        <w:jc w:val="both"/>
        <w:ind w:left="420" w:firstLine="419"/>
        <w:spacing w:after="0" w:line="261" w:lineRule="auto"/>
        <w:tabs>
          <w:tab w:leader="none" w:pos="1058"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any part of the Swingline Exposure and LC Exposure of such Defaulting Lender (other than, in the case of a Defaulting Lender that is the Swingline Lender, the portion of such Swingline Exposure referred to in clause (b) of the definition of such term) shall be reallocated among the non-Defaulting Lenders in accordance with their respective Applicable Percentages but only to the extent that such reallocation does not, as to any non-Defaulting Lender, cause such non-Defaulting Lender’s Revolving Credit Exposure to exceed its Commitment;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0980"/>
          </w:cols>
          <w:pgMar w:left="460" w:top="270" w:right="459" w:bottom="1440" w:gutter="0" w:footer="0" w:header="0"/>
        </w:sectPr>
      </w:pPr>
    </w:p>
    <w:bookmarkStart w:id="124" w:name="page125"/>
    <w:bookmarkEnd w:id="124"/>
    <w:p>
      <w:pPr>
        <w:ind w:left="440" w:right="40" w:firstLine="419"/>
        <w:spacing w:after="0" w:line="258" w:lineRule="auto"/>
        <w:tabs>
          <w:tab w:leader="none" w:pos="1128"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if the reallocation described in clause (i) above cannot, or can only partially, be effected, the Borrower shall within one (1) Business Day following notice by the Administrative Agent (x)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prepay such Swingline Exposure and (y)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cash collateralize for the benefit of the Issuing Banks only the Borrower’s obligations corresponding to such Defaulting Lender’s LC Exposure (after giving effect to any partial reallocation pursuant to clause (i) above) in accordance with the procedures set forth in Section 2.06(j) for so long as such LC Exposure is outstanding;</w:t>
      </w:r>
    </w:p>
    <w:p>
      <w:pPr>
        <w:spacing w:after="0" w:line="75" w:lineRule="exact"/>
        <w:rPr>
          <w:rFonts w:ascii="Times New Roman" w:cs="Times New Roman" w:eastAsia="Times New Roman" w:hAnsi="Times New Roman"/>
          <w:sz w:val="18"/>
          <w:szCs w:val="18"/>
          <w:color w:val="auto"/>
        </w:rPr>
      </w:pPr>
    </w:p>
    <w:p>
      <w:pPr>
        <w:ind w:left="440" w:right="60" w:firstLine="419"/>
        <w:spacing w:after="0" w:line="266" w:lineRule="auto"/>
        <w:tabs>
          <w:tab w:leader="none" w:pos="1178"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cash collateralizes any portion of such Defaulting Lender’s LC Exposure pursuant to clause (ii) above, the Borrower shall not be required to pay any fees to such Defaulting Lender pursuant to Section 2.12(b) with respect to such Defaulting Lender’s LC Exposure during the period such Defaulting Lender’s LC Exposure is cash collateralized;</w:t>
      </w:r>
    </w:p>
    <w:p>
      <w:pPr>
        <w:spacing w:after="0" w:line="67" w:lineRule="exact"/>
        <w:rPr>
          <w:rFonts w:ascii="Times New Roman" w:cs="Times New Roman" w:eastAsia="Times New Roman" w:hAnsi="Times New Roman"/>
          <w:sz w:val="18"/>
          <w:szCs w:val="18"/>
          <w:color w:val="auto"/>
        </w:rPr>
      </w:pPr>
    </w:p>
    <w:p>
      <w:pPr>
        <w:ind w:left="440" w:right="520" w:firstLine="419"/>
        <w:spacing w:after="0" w:line="282" w:lineRule="auto"/>
        <w:tabs>
          <w:tab w:leader="none" w:pos="1168"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LC Exposure of the non-Defaulting Lenders is reallocated pursuant to clause (i) above, then the fees payable to the Lenders pursuant to Section 2.12(b) shall be adjusted in accordance with such non-Defaulting Lenders’ Applicable Percentages; and</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all or any portion of such Defaulting Lender’s LC Exposure is neither reallocated nor cash collateralized pursuant to clause (i) or</w:t>
      </w:r>
    </w:p>
    <w:p>
      <w:pPr>
        <w:spacing w:after="0" w:line="27" w:lineRule="exact"/>
        <w:rPr>
          <w:rFonts w:ascii="Times New Roman" w:cs="Times New Roman" w:eastAsia="Times New Roman" w:hAnsi="Times New Roman"/>
          <w:sz w:val="18"/>
          <w:szCs w:val="18"/>
          <w:color w:val="auto"/>
        </w:rPr>
      </w:pPr>
    </w:p>
    <w:p>
      <w:pPr>
        <w:ind w:left="440" w:right="60" w:hanging="4"/>
        <w:spacing w:after="0" w:line="253" w:lineRule="auto"/>
        <w:tabs>
          <w:tab w:leader="none" w:pos="70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then, without prejudice to any rights or remedies of any Issuing Bank or any other Lender hereunder, all facility fees that otherwise would have been payable to such Defaulting Lender (solely with respect to the portion of such Defaulting Lender’s Commitment that was utilized by such LC Exposure) and letter of credit fees payable under Section 2.12(b) with respect to such Defaulting Lender’s LC Exposure shall be payable to the Issuing Bank until and to the extent that such LC Exposure is reallocated and/or cash collateralized; and</w:t>
      </w:r>
    </w:p>
    <w:p>
      <w:pPr>
        <w:spacing w:after="0" w:line="188" w:lineRule="exact"/>
        <w:rPr>
          <w:rFonts w:ascii="Times New Roman" w:cs="Times New Roman" w:eastAsia="Times New Roman" w:hAnsi="Times New Roman"/>
          <w:sz w:val="18"/>
          <w:szCs w:val="18"/>
          <w:color w:val="auto"/>
        </w:rPr>
      </w:pPr>
    </w:p>
    <w:p>
      <w:pPr>
        <w:ind w:right="160" w:firstLine="987"/>
        <w:spacing w:after="0" w:line="256" w:lineRule="auto"/>
        <w:tabs>
          <w:tab w:leader="none" w:pos="1236" w:val="left"/>
        </w:tabs>
        <w:numPr>
          <w:ilvl w:val="2"/>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such Lender is a Defaulting Lender, the Swingline Lender shall not be required to fund any Swingline Loan and no Issuing Bank shall be required to issue, amend or increase any Letter of Credit, unless it is satisfied that the related exposure and the Defaulting Lender’s then outstanding LC Exposure will be 100% covered by the Commitments of the non-Defaulting Lenders and/or cash collateral will be provided by the Borrower in accordance with Section 2.22(d), and Swingline Exposure related to any such newly made Swingline Loan or LC Exposure related to any newly issued or increased Letter of Credit shall be allocated among non-Defaulting Lenders in a manner consistent with Section 2.22(d)(i) (and such Defaulting Lender shall not participate therein).</w:t>
      </w:r>
    </w:p>
    <w:p>
      <w:pPr>
        <w:spacing w:after="0" w:line="187" w:lineRule="exact"/>
        <w:rPr>
          <w:sz w:val="20"/>
          <w:szCs w:val="20"/>
          <w:color w:val="auto"/>
        </w:rPr>
      </w:pPr>
    </w:p>
    <w:p>
      <w:pPr>
        <w:ind w:right="120" w:firstLine="991"/>
        <w:spacing w:after="0" w:line="256" w:lineRule="auto"/>
        <w:rPr>
          <w:sz w:val="20"/>
          <w:szCs w:val="20"/>
          <w:color w:val="auto"/>
        </w:rPr>
      </w:pPr>
      <w:r>
        <w:rPr>
          <w:rFonts w:ascii="Times New Roman" w:cs="Times New Roman" w:eastAsia="Times New Roman" w:hAnsi="Times New Roman"/>
          <w:sz w:val="18"/>
          <w:szCs w:val="18"/>
          <w:color w:val="auto"/>
        </w:rPr>
        <w:t>If (i) a Bankruptcy Event or a Bail-In Action with respect to a Lender Parent shall occur following the date hereof and for so long as such event shall continue or (ii) the Swingline Lender or any Issuing Bank has a good faith belief that any Lender has defaulted in fulfilling its obligations under one or more other agreements in which such Lender commits to extend credit, the Swingline Lender shall not be required to fund any Swingline Loan and no Issuing Bank shall be required to issue, amend or increase any Letter of Credit, unless the Swingline Lender or the Issuing Banks, as the case may be, shall have entered into arrangements with the Borrower or such Lender, satisfactory to the Swingline Lender or such Issuing Bank, as the case may be, to defease any risk to it in respect of such Lender hereunder.</w:t>
      </w:r>
    </w:p>
    <w:p>
      <w:pPr>
        <w:spacing w:after="0" w:line="187"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In the event that the Administrative Agent, the Borrower, the Swingline Lender and each Issuing Bank each agrees that a Defaulting Lender has adequately remedied all matters that caused such Lender to be a Defaulting Lender, then the Swingline Exposure and LC Exposure of the Lenders shall be readjusted to reflect the inclusion of such Lender’s Commitment and on such date such Lender shall purchase at par such of the Loans of the other Lenders (other than Swingline Loans) as the Administrative Agent shall determine may be necessary in order for such Lender to hold such Loans in accordance with its Applicable Percentage, whereupon such Lender will cease to be a Defaulting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adjustments will be made retroactively with respect to fees accrued or payments made by or on behalf of the Borrower while that Lender was a Defaulting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further,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00"/>
          </w:cols>
          <w:pgMar w:left="440" w:top="270" w:right="459" w:bottom="1440" w:gutter="0" w:footer="0" w:header="0"/>
        </w:sectPr>
      </w:pPr>
    </w:p>
    <w:bookmarkStart w:id="125" w:name="page126"/>
    <w:bookmarkEnd w:id="125"/>
    <w:p>
      <w:pPr>
        <w:ind w:right="50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provisions hereof relating to Defaulting Lenders shall not impair any rights or remedies that the Borrower may have against any Defaulting Lender hereunder or under applicable law.</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2.23. </w:t>
      </w:r>
      <w:r>
        <w:rPr>
          <w:rFonts w:ascii="Times New Roman" w:cs="Times New Roman" w:eastAsia="Times New Roman" w:hAnsi="Times New Roman"/>
          <w:sz w:val="18"/>
          <w:szCs w:val="18"/>
          <w:u w:val="single" w:color="auto"/>
          <w:color w:val="auto"/>
        </w:rPr>
        <w:t>Extension of Maturity Date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61" w:lineRule="auto"/>
        <w:tabs>
          <w:tab w:leader="none" w:pos="1236"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Requests for Extension</w:t>
      </w:r>
      <w:r>
        <w:rPr>
          <w:rFonts w:ascii="Times New Roman" w:cs="Times New Roman" w:eastAsia="Times New Roman" w:hAnsi="Times New Roman"/>
          <w:sz w:val="18"/>
          <w:szCs w:val="18"/>
          <w:color w:val="auto"/>
        </w:rPr>
        <w:t>. The Borrower may, by notice to the Administrative Agent (who shall promptly notify the Lenders) not earlier than 60 days and not later than 30 days prior to each anniversary of the date of this Agreement (each such date, an “</w:t>
      </w:r>
      <w:r>
        <w:rPr>
          <w:rFonts w:ascii="Times New Roman" w:cs="Times New Roman" w:eastAsia="Times New Roman" w:hAnsi="Times New Roman"/>
          <w:sz w:val="18"/>
          <w:szCs w:val="18"/>
          <w:u w:val="single" w:color="auto"/>
          <w:color w:val="auto"/>
        </w:rPr>
        <w:t>Extension Date</w:t>
      </w:r>
      <w:r>
        <w:rPr>
          <w:rFonts w:ascii="Times New Roman" w:cs="Times New Roman" w:eastAsia="Times New Roman" w:hAnsi="Times New Roman"/>
          <w:sz w:val="18"/>
          <w:szCs w:val="18"/>
          <w:color w:val="auto"/>
        </w:rPr>
        <w:t>”), but not more than twice, request that each Lender extend such Lender’s Maturity Date to the date that is one year after the Maturity Date then in effect for such Lender (the “</w:t>
      </w:r>
      <w:r>
        <w:rPr>
          <w:rFonts w:ascii="Times New Roman" w:cs="Times New Roman" w:eastAsia="Times New Roman" w:hAnsi="Times New Roman"/>
          <w:sz w:val="18"/>
          <w:szCs w:val="18"/>
          <w:u w:val="single" w:color="auto"/>
          <w:color w:val="auto"/>
        </w:rPr>
        <w:t>Existing Maturity Date</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right="40" w:firstLine="987"/>
        <w:spacing w:after="0" w:line="254" w:lineRule="auto"/>
        <w:tabs>
          <w:tab w:leader="none" w:pos="1246"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Lender Elections to Extend</w:t>
      </w:r>
      <w:r>
        <w:rPr>
          <w:rFonts w:ascii="Times New Roman" w:cs="Times New Roman" w:eastAsia="Times New Roman" w:hAnsi="Times New Roman"/>
          <w:sz w:val="18"/>
          <w:szCs w:val="18"/>
          <w:color w:val="auto"/>
        </w:rPr>
        <w:t>. Each Lender, acting in its sole and individual discretion, shall, by notice to the Administrative Agent given not later than the date that is 15 days after the date on which the Administrative Agent received the Borrower’s extension request (the “</w:t>
      </w:r>
      <w:r>
        <w:rPr>
          <w:rFonts w:ascii="Times New Roman" w:cs="Times New Roman" w:eastAsia="Times New Roman" w:hAnsi="Times New Roman"/>
          <w:sz w:val="18"/>
          <w:szCs w:val="18"/>
          <w:u w:val="single" w:color="auto"/>
          <w:color w:val="auto"/>
        </w:rPr>
        <w:t>Lender Notice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advise the Administrative Agent whether or not such Lender agrees to such extension (each Lender that determines to so extend its Maturity Date, an “</w:t>
      </w:r>
      <w:r>
        <w:rPr>
          <w:rFonts w:ascii="Times New Roman" w:cs="Times New Roman" w:eastAsia="Times New Roman" w:hAnsi="Times New Roman"/>
          <w:sz w:val="18"/>
          <w:szCs w:val="18"/>
          <w:u w:val="single" w:color="auto"/>
          <w:color w:val="auto"/>
        </w:rPr>
        <w:t>Extending Lender</w:t>
      </w:r>
      <w:r>
        <w:rPr>
          <w:rFonts w:ascii="Times New Roman" w:cs="Times New Roman" w:eastAsia="Times New Roman" w:hAnsi="Times New Roman"/>
          <w:sz w:val="18"/>
          <w:szCs w:val="18"/>
          <w:color w:val="auto"/>
        </w:rPr>
        <w:t>”). Each Lender that determines not to so extend its Maturity Date (a “</w:t>
      </w:r>
      <w:r>
        <w:rPr>
          <w:rFonts w:ascii="Times New Roman" w:cs="Times New Roman" w:eastAsia="Times New Roman" w:hAnsi="Times New Roman"/>
          <w:sz w:val="18"/>
          <w:szCs w:val="18"/>
          <w:u w:val="single" w:color="auto"/>
          <w:color w:val="auto"/>
        </w:rPr>
        <w:t>Non-Extending Lender</w:t>
      </w:r>
      <w:r>
        <w:rPr>
          <w:rFonts w:ascii="Times New Roman" w:cs="Times New Roman" w:eastAsia="Times New Roman" w:hAnsi="Times New Roman"/>
          <w:sz w:val="18"/>
          <w:szCs w:val="18"/>
          <w:color w:val="auto"/>
        </w:rPr>
        <w:t>”) shall notify the Administrative Agent of such fact promptly after such determination (but in any event no later than the Lender Notice Date), and any Lender that does not so advise the Administrative Agent on or before the Lender Notice Date shall be deemed to be a Non-Extending Lender. The election of any Lender to agree to such extension shall not obligate any other Lender to so agree, and it is understood and agreed that no Lender shall have any obligation whatsoever to agree to any request made by the Borrower for extension of the Maturity Date.</w:t>
      </w:r>
    </w:p>
    <w:p>
      <w:pPr>
        <w:spacing w:after="0" w:line="191" w:lineRule="exact"/>
        <w:rPr>
          <w:rFonts w:ascii="Times New Roman" w:cs="Times New Roman" w:eastAsia="Times New Roman" w:hAnsi="Times New Roman"/>
          <w:sz w:val="18"/>
          <w:szCs w:val="18"/>
          <w:color w:val="auto"/>
        </w:rPr>
      </w:pPr>
    </w:p>
    <w:p>
      <w:pPr>
        <w:ind w:right="200" w:firstLine="987"/>
        <w:spacing w:after="0" w:line="266" w:lineRule="auto"/>
        <w:tabs>
          <w:tab w:leader="none" w:pos="1236"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 by Administrative Agent</w:t>
      </w:r>
      <w:r>
        <w:rPr>
          <w:rFonts w:ascii="Times New Roman" w:cs="Times New Roman" w:eastAsia="Times New Roman" w:hAnsi="Times New Roman"/>
          <w:sz w:val="18"/>
          <w:szCs w:val="18"/>
          <w:color w:val="auto"/>
        </w:rPr>
        <w:t>. The Administrative Agent shall notify the Borrower of each Lender’s determination under this Section no later than the date that is 10 days prior to the applicable Extension Date (or, if such date is not a Business Day, on the next preceding Business Day).</w:t>
      </w:r>
    </w:p>
    <w:p>
      <w:pPr>
        <w:spacing w:after="0" w:line="175" w:lineRule="exact"/>
        <w:rPr>
          <w:rFonts w:ascii="Times New Roman" w:cs="Times New Roman" w:eastAsia="Times New Roman" w:hAnsi="Times New Roman"/>
          <w:sz w:val="18"/>
          <w:szCs w:val="18"/>
          <w:color w:val="auto"/>
        </w:rPr>
      </w:pPr>
    </w:p>
    <w:p>
      <w:pPr>
        <w:ind w:right="80" w:firstLine="987"/>
        <w:spacing w:after="0" w:line="253" w:lineRule="auto"/>
        <w:tabs>
          <w:tab w:leader="none" w:pos="1246"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Commitment Lenders</w:t>
      </w:r>
      <w:r>
        <w:rPr>
          <w:rFonts w:ascii="Times New Roman" w:cs="Times New Roman" w:eastAsia="Times New Roman" w:hAnsi="Times New Roman"/>
          <w:sz w:val="18"/>
          <w:szCs w:val="18"/>
          <w:color w:val="auto"/>
        </w:rPr>
        <w:t>. The Borrower shall have the right, but shall not be obligated, on or before the applicable Maturity Date for any Non-Extending Lender to replace such Non-Extending Lender with, and add as “Lenders” under this Agreement in place thereof, one or more financial institutions that are not Ineligible Institutions (each, an “</w:t>
      </w:r>
      <w:r>
        <w:rPr>
          <w:rFonts w:ascii="Times New Roman" w:cs="Times New Roman" w:eastAsia="Times New Roman" w:hAnsi="Times New Roman"/>
          <w:sz w:val="18"/>
          <w:szCs w:val="18"/>
          <w:u w:val="single" w:color="auto"/>
          <w:color w:val="auto"/>
        </w:rPr>
        <w:t>Additional Commitment Lender</w:t>
      </w:r>
      <w:r>
        <w:rPr>
          <w:rFonts w:ascii="Times New Roman" w:cs="Times New Roman" w:eastAsia="Times New Roman" w:hAnsi="Times New Roman"/>
          <w:sz w:val="18"/>
          <w:szCs w:val="18"/>
          <w:color w:val="auto"/>
        </w:rPr>
        <w:t>”) approved by the Administrative Agent in accordance with the procedures provided in Section 2.19(b), each of which Additional Commitment Lenders shall have entered into an Assignment and Assumption (in accordance with and subject to the restrictions contained in Section 9.04, with the Borrower or replacement Lender obligated to pay any applicable processing or recordation fee) with such Non-Extending Lender, pursuant to which such Additional Commitment Lenders shall, effective on or before the applicable Maturity Date for such Non-Extending Lender, assume a Commitment (and, if any such Additional Commitment Lender is already a Lender, its Commitment shall be in addition to such Lender’s Commitment hereunder on such date). The Administrative Agent may effect such amendments to this Agreement as are reasonably necessary to provide for any such extensions with the consent of the Borrower but without the consent of any other Lenders.</w:t>
      </w:r>
    </w:p>
    <w:p>
      <w:pPr>
        <w:spacing w:after="0" w:line="194" w:lineRule="exact"/>
        <w:rPr>
          <w:rFonts w:ascii="Times New Roman" w:cs="Times New Roman" w:eastAsia="Times New Roman" w:hAnsi="Times New Roman"/>
          <w:sz w:val="18"/>
          <w:szCs w:val="18"/>
          <w:color w:val="auto"/>
        </w:rPr>
      </w:pPr>
    </w:p>
    <w:p>
      <w:pPr>
        <w:jc w:val="both"/>
        <w:ind w:right="380" w:firstLine="987"/>
        <w:spacing w:after="0" w:line="261" w:lineRule="auto"/>
        <w:tabs>
          <w:tab w:leader="none" w:pos="1236"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Extension Requirement</w:t>
      </w:r>
      <w:r>
        <w:rPr>
          <w:rFonts w:ascii="Times New Roman" w:cs="Times New Roman" w:eastAsia="Times New Roman" w:hAnsi="Times New Roman"/>
          <w:sz w:val="18"/>
          <w:szCs w:val="18"/>
          <w:color w:val="auto"/>
        </w:rPr>
        <w:t>. If (and only if) the total of the Commitments of the Lenders that have agreed to extend their Maturity Date and the new or increased Commitments of any Additional Commitment Lenders is more than 50% of the aggregate amount of the Commitments in effect immediately prior to the applicable Extension Date, then, effective as of the applicable Extension Date, the Maturity Date of each Extending Lender and of each Additional Commitment Lender shall be extended to</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20"/>
          </w:cols>
          <w:pgMar w:left="440" w:top="270" w:right="439" w:bottom="1440" w:gutter="0" w:footer="0" w:header="0"/>
        </w:sectPr>
      </w:pPr>
    </w:p>
    <w:bookmarkStart w:id="126" w:name="page127"/>
    <w:bookmarkEnd w:id="126"/>
    <w:p>
      <w:pPr>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date that is one year after the Existing Maturity Date (except that, if such date is not a Business Day, such Maturity Date as so extended shall be the next preceding Business Day) and each Additional Commitment Lender shall thereupon become a “Lender” for all purposes of this Agreement and shall be bound by the provisions of this Agreement as a Lender hereunder and shall have the obligations of a Lender hereunder.</w:t>
      </w:r>
    </w:p>
    <w:p>
      <w:pPr>
        <w:spacing w:after="0" w:line="176" w:lineRule="exact"/>
        <w:rPr>
          <w:sz w:val="20"/>
          <w:szCs w:val="20"/>
          <w:color w:val="auto"/>
        </w:rPr>
      </w:pPr>
    </w:p>
    <w:p>
      <w:pPr>
        <w:ind w:right="740" w:firstLine="987"/>
        <w:spacing w:after="0" w:line="282" w:lineRule="auto"/>
        <w:tabs>
          <w:tab w:leader="none" w:pos="1216"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Effectiveness of Extension</w:t>
      </w:r>
      <w:r>
        <w:rPr>
          <w:rFonts w:ascii="Times New Roman" w:cs="Times New Roman" w:eastAsia="Times New Roman" w:hAnsi="Times New Roman"/>
          <w:sz w:val="18"/>
          <w:szCs w:val="18"/>
          <w:color w:val="auto"/>
        </w:rPr>
        <w:t>. Notwithstanding the foregoing, any extension of any Maturity Date pursuant to this Section 2.23 shall not be effective with respect to any Extending Lender unless:</w:t>
      </w:r>
    </w:p>
    <w:p>
      <w:pPr>
        <w:spacing w:after="0" w:line="53"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shall have occurred and be continuing on the applicable Extension Date and immediately after giving effect thereto;</w:t>
      </w:r>
    </w:p>
    <w:p>
      <w:pPr>
        <w:spacing w:after="0" w:line="117" w:lineRule="exact"/>
        <w:rPr>
          <w:rFonts w:ascii="Times New Roman" w:cs="Times New Roman" w:eastAsia="Times New Roman" w:hAnsi="Times New Roman"/>
          <w:sz w:val="18"/>
          <w:szCs w:val="18"/>
          <w:color w:val="auto"/>
        </w:rPr>
      </w:pPr>
    </w:p>
    <w:p>
      <w:pPr>
        <w:ind w:left="980" w:right="320" w:firstLine="408"/>
        <w:spacing w:after="0" w:line="282" w:lineRule="auto"/>
        <w:tabs>
          <w:tab w:leader="none" w:pos="1646"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Borrower set forth in this Agreement are true and correct on and as of the applicable Extension Date and after giving effect thereto, as though made on and as of such date; and</w:t>
      </w:r>
    </w:p>
    <w:p>
      <w:pPr>
        <w:spacing w:after="0" w:line="53" w:lineRule="exact"/>
        <w:rPr>
          <w:rFonts w:ascii="Times New Roman" w:cs="Times New Roman" w:eastAsia="Times New Roman" w:hAnsi="Times New Roman"/>
          <w:sz w:val="18"/>
          <w:szCs w:val="18"/>
          <w:color w:val="auto"/>
        </w:rPr>
      </w:pPr>
    </w:p>
    <w:p>
      <w:pPr>
        <w:ind w:left="980" w:right="420" w:firstLine="408"/>
        <w:spacing w:after="0" w:line="282" w:lineRule="auto"/>
        <w:tabs>
          <w:tab w:leader="none" w:pos="1696"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a certificate from the Borrower signed by a Financial Officer of the Borrower certifying the accuracy of the foregoing clauses (i) and (ii).</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Maturity Date for Non-Extending Lenders</w:t>
      </w:r>
      <w:r>
        <w:rPr>
          <w:rFonts w:ascii="Times New Roman" w:cs="Times New Roman" w:eastAsia="Times New Roman" w:hAnsi="Times New Roman"/>
          <w:sz w:val="18"/>
          <w:szCs w:val="18"/>
          <w:color w:val="auto"/>
        </w:rPr>
        <w:t>. On the Maturity Date of each Non-Extending Lender, (i) the Commitment of each</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Non-Extending Lender shall automatically terminate and (ii) the Borrower shall repay such Non-Extending Lender in accordance with Section 2.10 (and shall pay to such Non-Extending Lender all of the other Obligations owing to it under this Agreement) and after giving effect thereto shall prepay any Revolving Loans outstanding on such date (and pay any additional amounts required pursuant to Section 2.16) to the extent necessary to keep outstanding Revolving Loans ratable with any revised Applicable Percentages of the respective Lenders effective as of such date, and the Administrative Agent shall administer any necessary reallocation of the Revolving Credit Exposures (without regard to any minimum borrowing, pro rata borrowing and/or pro rata payment requirements contained elsewhere in this Agreement).</w:t>
      </w:r>
    </w:p>
    <w:p>
      <w:pPr>
        <w:spacing w:after="0" w:line="19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u w:val="single" w:color="auto"/>
          <w:color w:val="auto"/>
        </w:rPr>
        <w:t>Conflicting Provisions</w:t>
      </w:r>
      <w:r>
        <w:rPr>
          <w:rFonts w:ascii="Times New Roman" w:cs="Times New Roman" w:eastAsia="Times New Roman" w:hAnsi="Times New Roman"/>
          <w:sz w:val="18"/>
          <w:szCs w:val="18"/>
          <w:color w:val="auto"/>
        </w:rPr>
        <w:t>. This Section shall supersede any provisions in Section 2.18 or Section 9.02 to the contrary.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Representations and Warranties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Borrower represents and warrants to the Lenders that:</w:t>
      </w:r>
    </w:p>
    <w:p>
      <w:pPr>
        <w:spacing w:after="0" w:line="117"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The Borrower is a corporation duly organized, validly existing and in good standing under the laws of the State of Wisconsin.</w:t>
      </w:r>
    </w:p>
    <w:p>
      <w:pPr>
        <w:spacing w:after="0" w:line="162" w:lineRule="exact"/>
        <w:rPr>
          <w:sz w:val="20"/>
          <w:szCs w:val="20"/>
          <w:color w:val="auto"/>
        </w:rPr>
      </w:pPr>
    </w:p>
    <w:p>
      <w:pPr>
        <w:ind w:right="1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Authorization; Powers; No Conflicts</w:t>
      </w:r>
      <w:r>
        <w:rPr>
          <w:rFonts w:ascii="Times New Roman" w:cs="Times New Roman" w:eastAsia="Times New Roman" w:hAnsi="Times New Roman"/>
          <w:sz w:val="18"/>
          <w:szCs w:val="18"/>
          <w:color w:val="auto"/>
        </w:rPr>
        <w:t>. The execution, delivery and performance by the Borrower of this Agreement and the Notes to be delivered by it, and the consummation of the transactions contemplated hereby, are within the Borrower’s corporate powers, have been duly authorized by all necessary corporate action, and do not contravene (i) the Borrower’s charter or by-laws or (ii) law or any material contractual restriction binding on or affecting the Borrower.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00"/>
          </w:cols>
          <w:pgMar w:left="440" w:top="270" w:right="459" w:bottom="1440" w:gutter="0" w:footer="0" w:header="0"/>
        </w:sectPr>
      </w:pPr>
    </w:p>
    <w:bookmarkStart w:id="127" w:name="page128"/>
    <w:bookmarkEnd w:id="127"/>
    <w:p>
      <w:pPr>
        <w:ind w:firstLine="991"/>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3.03. </w:t>
      </w:r>
      <w:r>
        <w:rPr>
          <w:rFonts w:ascii="Times New Roman" w:cs="Times New Roman" w:eastAsia="Times New Roman" w:hAnsi="Times New Roman"/>
          <w:sz w:val="17"/>
          <w:szCs w:val="17"/>
          <w:u w:val="single" w:color="auto"/>
          <w:color w:val="auto"/>
        </w:rPr>
        <w:t>Approvals</w:t>
      </w:r>
      <w:r>
        <w:rPr>
          <w:rFonts w:ascii="Times New Roman" w:cs="Times New Roman" w:eastAsia="Times New Roman" w:hAnsi="Times New Roman"/>
          <w:sz w:val="17"/>
          <w:szCs w:val="17"/>
          <w:color w:val="auto"/>
        </w:rPr>
        <w:t>. No authorization or approval or other action by, and no notice to or filing with, any Governmental Authority or any other third party is required for the due execution, delivery and performance by the Borrower of this Agreement or the Notes to be delivered by it.</w:t>
      </w:r>
    </w:p>
    <w:p>
      <w:pPr>
        <w:spacing w:after="0" w:line="140"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Enforceability</w:t>
      </w:r>
      <w:r>
        <w:rPr>
          <w:rFonts w:ascii="Times New Roman" w:cs="Times New Roman" w:eastAsia="Times New Roman" w:hAnsi="Times New Roman"/>
          <w:sz w:val="18"/>
          <w:szCs w:val="18"/>
          <w:color w:val="auto"/>
        </w:rPr>
        <w:t>. This Agreement has been, and each of the Notes to be delivered by it when delivered hereunder will have been, duly executed and delivered by the Borrower. This Agreement is, and each of the Notes when delivered hereunder will be, the legal, valid and binding obligation of the Borrower enforceable against the Borrower in accordance with their respective terms, except as such enforceability may be limited by applicable bankruptcy, insolvency, reorganization, moratorium or similar laws affecting the enforcement of creditors’ rights generally and by general equitable principles.</w:t>
      </w:r>
    </w:p>
    <w:p>
      <w:pPr>
        <w:spacing w:after="0" w:line="183" w:lineRule="exact"/>
        <w:rPr>
          <w:sz w:val="20"/>
          <w:szCs w:val="20"/>
          <w:color w:val="auto"/>
        </w:rPr>
      </w:pPr>
    </w:p>
    <w:p>
      <w:pPr>
        <w:ind w:right="6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Financial Condition; No Material Adverse Change</w:t>
      </w:r>
      <w:r>
        <w:rPr>
          <w:rFonts w:ascii="Times New Roman" w:cs="Times New Roman" w:eastAsia="Times New Roman" w:hAnsi="Times New Roman"/>
          <w:sz w:val="18"/>
          <w:szCs w:val="18"/>
          <w:color w:val="auto"/>
        </w:rPr>
        <w:t>. (a) The Consolidated balance sheet of the Borrower and its Subsidiaries as at December 31, 2024, and the related Consolidated statements of income and cash flows of the Borrower and its Subsidiaries for the fiscal year then ended, accompanied by an opinion of Deloitte &amp; Touche LLP, an independent registered public accounting firm, and the Consolidated balance sheet of the Borrower and its Subsidiaries as at March 31, 2025, June 30, 2025 and September 30, 2025 and the related Consolidated statements of income and cash flows of the Borrower and its Subsidiaries for the three months then ended, duly certified by the chief financial officer of the Borrower, copies of which have been furnished to each Lender, fairly present in all material respects, subject, in the case of said balance sheet as at March 31, 2025, June 30, 2025 and September 30, 2025, and said statements of income and cash flows for the three months then ended, to year-end audit adjustments, the Consolidated financial condition of the Borrower and its Subsidiaries as at such dates and the Consolidated results of the operations of the Borrower and its Subsidiaries for the periods ended on such dates, all in accordance with generally accepted accounting principles consistently applied.</w:t>
      </w:r>
    </w:p>
    <w:p>
      <w:pPr>
        <w:spacing w:after="0" w:line="1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 Since December 31, 2024, there has been no Material Adverse Change.</w:t>
      </w:r>
    </w:p>
    <w:p>
      <w:pPr>
        <w:spacing w:after="0" w:line="225"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Litigation, Environmental Matters</w:t>
      </w:r>
      <w:r>
        <w:rPr>
          <w:rFonts w:ascii="Times New Roman" w:cs="Times New Roman" w:eastAsia="Times New Roman" w:hAnsi="Times New Roman"/>
          <w:sz w:val="18"/>
          <w:szCs w:val="18"/>
          <w:color w:val="auto"/>
        </w:rPr>
        <w:t>. There is no pending or, to the knowledge of the Borrower, threatened action, suit, investigation, litigation or proceeding, including, without limitation, any Environmental Action, affecting the Borrower or any of its Subsidiaries before any court, governmental agency or arbitrator that (i) is reasonably likely to have a Material Adverse Effect or (ii) purports to affect the legality, validity or enforceability of this Agreement or any Note or the consummation of the transactions contemplated hereby.</w:t>
      </w:r>
    </w:p>
    <w:p>
      <w:pPr>
        <w:spacing w:after="0" w:line="180"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The Borrower and its Subsidiaries have filed all United States Federal income tax returns and all other material tax returns which are required to be filed by them and have paid all taxes due pursuant to such returns or pursuant to any assessment received by the Borrower or any of its Subsidiaries except such taxes or assessments, if any, as are being contested in good faith by appropriate proceedings. The charges, accruals and reserves on the books of the Borrower and its Subsidiaries in respect of taxes are, in the opinion of the Borrower, adequate.</w:t>
      </w:r>
    </w:p>
    <w:p>
      <w:pPr>
        <w:spacing w:after="0" w:line="180"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u w:val="single" w:color="auto"/>
          <w:color w:val="auto"/>
        </w:rPr>
        <w:t>Securities Exchange Act of 1934</w:t>
      </w:r>
      <w:r>
        <w:rPr>
          <w:rFonts w:ascii="Times New Roman" w:cs="Times New Roman" w:eastAsia="Times New Roman" w:hAnsi="Times New Roman"/>
          <w:sz w:val="18"/>
          <w:szCs w:val="18"/>
          <w:color w:val="auto"/>
        </w:rPr>
        <w:t>. No proceeds of any Loan will be used to acquire any Equity Interests of a class which is registered pursuant to Section 12 of the Securities Exchange Act of 1934 if the Borrower has reason to know that the board of directors of the issuer of such Equity Interests opposes or will oppose such acquisition.</w:t>
      </w:r>
    </w:p>
    <w:p>
      <w:pPr>
        <w:spacing w:after="0" w:line="176" w:lineRule="exact"/>
        <w:rPr>
          <w:sz w:val="20"/>
          <w:szCs w:val="20"/>
          <w:color w:val="auto"/>
        </w:rPr>
      </w:pPr>
    </w:p>
    <w:p>
      <w:pPr>
        <w:ind w:right="3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u w:val="single" w:color="auto"/>
          <w:color w:val="auto"/>
        </w:rPr>
        <w:t>Margin Regulations</w:t>
      </w:r>
      <w:r>
        <w:rPr>
          <w:rFonts w:ascii="Times New Roman" w:cs="Times New Roman" w:eastAsia="Times New Roman" w:hAnsi="Times New Roman"/>
          <w:sz w:val="18"/>
          <w:szCs w:val="18"/>
          <w:color w:val="auto"/>
        </w:rPr>
        <w:t>. The Borrower is not engaged in the business of extending credit for the purpose of purchasing or carrying margin stock (within the meaning of Regulation U issued by the Federal Reserve Board), and no proceeds of any Advance will be used to purchase or carry any margin stock or to extend credit to others for the purpose of purchasing or carrying any margin stock.</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00"/>
          </w:cols>
          <w:pgMar w:left="440" w:top="270" w:right="459" w:bottom="1440" w:gutter="0" w:footer="0" w:header="0"/>
        </w:sectPr>
      </w:pPr>
    </w:p>
    <w:bookmarkStart w:id="128" w:name="page129"/>
    <w:bookmarkEnd w:id="128"/>
    <w:p>
      <w:pPr>
        <w:ind w:left="4" w:firstLine="991"/>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3.10. </w:t>
      </w:r>
      <w:r>
        <w:rPr>
          <w:rFonts w:ascii="Times New Roman" w:cs="Times New Roman" w:eastAsia="Times New Roman" w:hAnsi="Times New Roman"/>
          <w:sz w:val="17"/>
          <w:szCs w:val="17"/>
          <w:u w:val="single" w:color="auto"/>
          <w:color w:val="auto"/>
        </w:rPr>
        <w:t>ERISA, Environmental, Health and Safety Requirements of Law</w:t>
      </w:r>
      <w:r>
        <w:rPr>
          <w:rFonts w:ascii="Times New Roman" w:cs="Times New Roman" w:eastAsia="Times New Roman" w:hAnsi="Times New Roman"/>
          <w:sz w:val="17"/>
          <w:szCs w:val="17"/>
          <w:color w:val="auto"/>
        </w:rPr>
        <w:t>. The operations of the Borrower and each of its Domestic Subsidiaries comply in all material respects with all applicable ERISA, environmental, health and safety requirements of law, the failure to comply with which would have a Material Adverse Effect; (ii) the operations of each Foreign Subsidiary of the Borrower comply in all material respects with all applicable environmental, health and safety requirements of law, the failure to comply with which would have a Material Adverse Effect; and</w:t>
      </w:r>
    </w:p>
    <w:p>
      <w:pPr>
        <w:spacing w:after="0" w:line="3" w:lineRule="exact"/>
        <w:rPr>
          <w:sz w:val="20"/>
          <w:szCs w:val="20"/>
          <w:color w:val="auto"/>
        </w:rPr>
      </w:pPr>
    </w:p>
    <w:p>
      <w:pPr>
        <w:ind w:left="4" w:right="140" w:hanging="4"/>
        <w:spacing w:after="0" w:line="253" w:lineRule="auto"/>
        <w:tabs>
          <w:tab w:leader="none" w:pos="319"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date hereof, the Borrower shall have inspected, and shall have caused each of its Domestic Subsidiaries to have inspected, its property owned in fee and, with respect to each building in which asbestos shall have been found, the Borrower shall have caused such building to be in compliance with applicable rules and regulations under local law relating to asbestos containment, maintenance and removal. The term “</w:t>
      </w:r>
      <w:r>
        <w:rPr>
          <w:rFonts w:ascii="Times New Roman" w:cs="Times New Roman" w:eastAsia="Times New Roman" w:hAnsi="Times New Roman"/>
          <w:sz w:val="18"/>
          <w:szCs w:val="18"/>
          <w:u w:val="single" w:color="auto"/>
          <w:color w:val="auto"/>
        </w:rPr>
        <w:t>Domestic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 Subsidiary organized under the laws of, or having its principal place of business within, a jurisdiction located in the United States and the term “</w:t>
      </w:r>
      <w:r>
        <w:rPr>
          <w:rFonts w:ascii="Times New Roman" w:cs="Times New Roman" w:eastAsia="Times New Roman" w:hAnsi="Times New Roman"/>
          <w:sz w:val="18"/>
          <w:szCs w:val="18"/>
          <w:u w:val="single" w:color="auto"/>
          <w:color w:val="auto"/>
        </w:rPr>
        <w:t>Foreign Subsidiary</w:t>
      </w:r>
      <w:r>
        <w:rPr>
          <w:rFonts w:ascii="Times New Roman" w:cs="Times New Roman" w:eastAsia="Times New Roman" w:hAnsi="Times New Roman"/>
          <w:sz w:val="18"/>
          <w:szCs w:val="18"/>
          <w:color w:val="auto"/>
        </w:rPr>
        <w:t>” means any other Subsidiary.</w:t>
      </w:r>
    </w:p>
    <w:p>
      <w:pPr>
        <w:spacing w:after="0" w:line="187" w:lineRule="exact"/>
        <w:rPr>
          <w:sz w:val="20"/>
          <w:szCs w:val="20"/>
          <w:color w:val="auto"/>
        </w:rPr>
      </w:pPr>
    </w:p>
    <w:p>
      <w:pPr>
        <w:ind w:left="4" w:right="8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Investment Company Status</w:t>
      </w:r>
      <w:r>
        <w:rPr>
          <w:rFonts w:ascii="Times New Roman" w:cs="Times New Roman" w:eastAsia="Times New Roman" w:hAnsi="Times New Roman"/>
          <w:sz w:val="18"/>
          <w:szCs w:val="18"/>
          <w:color w:val="auto"/>
        </w:rPr>
        <w:t>. The Borrower is not an “investment company”, or a company “controlled” by an “investment company”, within the meaning of the Investment Company Act of 1940, as amended.</w:t>
      </w:r>
    </w:p>
    <w:p>
      <w:pPr>
        <w:spacing w:after="0" w:line="162" w:lineRule="exact"/>
        <w:rPr>
          <w:sz w:val="20"/>
          <w:szCs w:val="20"/>
          <w:color w:val="auto"/>
        </w:rPr>
      </w:pPr>
    </w:p>
    <w:p>
      <w:pPr>
        <w:ind w:left="4"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All information furnished to the Administrative Agent or any Lender by or at the direction of the Borrower in connection with this Agreement was, on the date furnished, true and correct in all material respects and did not fail to state any fact the omission of which rendered the information provided materially misleading in any material respect. As of the Effective Date, to the best knowledge of the Borrower, the information included in the Beneficial Ownership Certification provided on or prior to the Effective Date to any Lender in connection with this Agreement is true and correct in all respects.</w:t>
      </w:r>
    </w:p>
    <w:p>
      <w:pPr>
        <w:spacing w:after="0" w:line="183" w:lineRule="exact"/>
        <w:rPr>
          <w:sz w:val="20"/>
          <w:szCs w:val="20"/>
          <w:color w:val="auto"/>
        </w:rPr>
      </w:pPr>
    </w:p>
    <w:p>
      <w:pPr>
        <w:ind w:left="4" w:right="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3.13. </w:t>
      </w:r>
      <w:r>
        <w:rPr>
          <w:rFonts w:ascii="Times New Roman" w:cs="Times New Roman" w:eastAsia="Times New Roman" w:hAnsi="Times New Roman"/>
          <w:sz w:val="18"/>
          <w:szCs w:val="18"/>
          <w:u w:val="single" w:color="auto"/>
          <w:color w:val="auto"/>
        </w:rPr>
        <w:t>Anti-Corruption Laws and Sanctions</w:t>
      </w:r>
      <w:r>
        <w:rPr>
          <w:rFonts w:ascii="Times New Roman" w:cs="Times New Roman" w:eastAsia="Times New Roman" w:hAnsi="Times New Roman"/>
          <w:sz w:val="18"/>
          <w:szCs w:val="18"/>
          <w:color w:val="auto"/>
        </w:rPr>
        <w:t>. The Borrower and its Subsidiaries and, to the knowledge of the Borrower, their respective directors, officers, employees and agents, are in compliance with Anti-Corruption Laws, AML Laws and applicable Sanctions in all material respects. None of the Borrower, any Subsidiary or, to the knowledge of the Borrower or such Subsidiary, any of their respective directors, officers, employees or any agents, is a Sanctioned Person.</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3.14. </w:t>
      </w:r>
      <w:r>
        <w:rPr>
          <w:rFonts w:ascii="Times New Roman" w:cs="Times New Roman" w:eastAsia="Times New Roman" w:hAnsi="Times New Roman"/>
          <w:sz w:val="18"/>
          <w:szCs w:val="18"/>
          <w:u w:val="single" w:color="auto"/>
          <w:color w:val="auto"/>
        </w:rPr>
        <w:t>Affected Financial Institutions</w:t>
      </w:r>
      <w:r>
        <w:rPr>
          <w:rFonts w:ascii="Times New Roman" w:cs="Times New Roman" w:eastAsia="Times New Roman" w:hAnsi="Times New Roman"/>
          <w:sz w:val="18"/>
          <w:szCs w:val="18"/>
          <w:color w:val="auto"/>
        </w:rPr>
        <w:t>. The Borrower is not an Affected Financial Institution.</w:t>
      </w:r>
    </w:p>
    <w:p>
      <w:pPr>
        <w:spacing w:after="0" w:line="225" w:lineRule="exact"/>
        <w:rPr>
          <w:sz w:val="20"/>
          <w:szCs w:val="20"/>
          <w:color w:val="auto"/>
        </w:rPr>
      </w:pPr>
    </w:p>
    <w:p>
      <w:pPr>
        <w:jc w:val="both"/>
        <w:ind w:left="4" w:firstLine="991"/>
        <w:spacing w:after="0" w:line="257" w:lineRule="auto"/>
        <w:rPr>
          <w:sz w:val="20"/>
          <w:szCs w:val="20"/>
          <w:color w:val="auto"/>
        </w:rPr>
      </w:pPr>
      <w:r>
        <w:rPr>
          <w:rFonts w:ascii="Times New Roman" w:cs="Times New Roman" w:eastAsia="Times New Roman" w:hAnsi="Times New Roman"/>
          <w:sz w:val="18"/>
          <w:szCs w:val="18"/>
          <w:color w:val="auto"/>
        </w:rPr>
        <w:t xml:space="preserve">SECTION 3.15. </w:t>
      </w:r>
      <w:r>
        <w:rPr>
          <w:rFonts w:ascii="Times New Roman" w:cs="Times New Roman" w:eastAsia="Times New Roman" w:hAnsi="Times New Roman"/>
          <w:sz w:val="18"/>
          <w:szCs w:val="18"/>
          <w:u w:val="single" w:color="auto"/>
          <w:color w:val="auto"/>
        </w:rPr>
        <w:t>Outbound Investment Rules</w:t>
      </w:r>
      <w:r>
        <w:rPr>
          <w:rFonts w:ascii="Times New Roman" w:cs="Times New Roman" w:eastAsia="Times New Roman" w:hAnsi="Times New Roman"/>
          <w:sz w:val="18"/>
          <w:szCs w:val="18"/>
          <w:color w:val="auto"/>
        </w:rPr>
        <w:t>. Neither the Borrower nor any of its Subsidiaries is a “covered foreign person” as that term is used in the Outbound Investment Rules. Neither the Borrower nor any of its Subsidiaries currently engages, or has any present intention to engage in the future, directly or indirectly, in (i) a “covered activity” or a “covered transaction”, as each such term is defined in the Outbound Investment Rules,</w:t>
      </w:r>
    </w:p>
    <w:p>
      <w:pPr>
        <w:spacing w:after="0" w:line="1" w:lineRule="exact"/>
        <w:rPr>
          <w:sz w:val="20"/>
          <w:szCs w:val="20"/>
          <w:color w:val="auto"/>
        </w:rPr>
      </w:pPr>
    </w:p>
    <w:p>
      <w:pPr>
        <w:jc w:val="both"/>
        <w:ind w:left="4" w:hanging="4"/>
        <w:spacing w:after="0" w:line="253" w:lineRule="auto"/>
        <w:tabs>
          <w:tab w:leader="none" w:pos="269"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activity or transaction that would constitute a “covered activity” or a “covered transaction”, as each such term is defined in the Outbound Investment Rules, if the Borrower were a U.S. Person or (iii) any other activity that would cause the Administrative Agent or any Lender to be in violation of the Outbound Investment Rules or cause the Administrative Agent or any Lender to be legally prohibited by the Outbound Investment Rules from performing under this Agreement.</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0984"/>
          </w:cols>
          <w:pgMar w:left="436" w:top="270" w:right="47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IV</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Conditions</w:t>
      </w:r>
    </w:p>
    <w:p>
      <w:pPr>
        <w:spacing w:after="0" w:line="225" w:lineRule="exact"/>
        <w:rPr>
          <w:sz w:val="20"/>
          <w:szCs w:val="20"/>
          <w:color w:val="auto"/>
        </w:rPr>
      </w:pPr>
    </w:p>
    <w:p>
      <w:pPr>
        <w:ind w:right="200" w:firstLine="991"/>
        <w:spacing w:after="0" w:line="312" w:lineRule="auto"/>
        <w:rPr>
          <w:sz w:val="20"/>
          <w:szCs w:val="20"/>
          <w:color w:val="auto"/>
        </w:rPr>
      </w:pPr>
      <w:r>
        <w:rPr>
          <w:rFonts w:ascii="Times New Roman" w:cs="Times New Roman" w:eastAsia="Times New Roman" w:hAnsi="Times New Roman"/>
          <w:sz w:val="17"/>
          <w:szCs w:val="17"/>
          <w:color w:val="auto"/>
        </w:rPr>
        <w:t xml:space="preserve">SECTION 4.01. </w:t>
      </w:r>
      <w:r>
        <w:rPr>
          <w:rFonts w:ascii="Times New Roman" w:cs="Times New Roman" w:eastAsia="Times New Roman" w:hAnsi="Times New Roman"/>
          <w:sz w:val="17"/>
          <w:szCs w:val="17"/>
          <w:u w:val="single" w:color="auto"/>
          <w:color w:val="auto"/>
        </w:rPr>
        <w:t>Effective Date</w:t>
      </w:r>
      <w:r>
        <w:rPr>
          <w:rFonts w:ascii="Times New Roman" w:cs="Times New Roman" w:eastAsia="Times New Roman" w:hAnsi="Times New Roman"/>
          <w:sz w:val="17"/>
          <w:szCs w:val="17"/>
          <w:color w:val="auto"/>
        </w:rPr>
        <w:t>. The obligations of the Lenders to make Loans and of the Issuing Banks to issue Letters of Credit hereunder shall not become effective until the date on which each of the following conditions is satisfied (or waived in accordance with Section 9.02):</w:t>
      </w:r>
    </w:p>
    <w:p>
      <w:pPr>
        <w:spacing w:after="0" w:line="32" w:lineRule="exact"/>
        <w:rPr>
          <w:sz w:val="20"/>
          <w:szCs w:val="20"/>
          <w:color w:val="auto"/>
        </w:rPr>
      </w:pPr>
    </w:p>
    <w:p>
      <w:pPr>
        <w:ind w:left="440" w:firstLine="419"/>
        <w:spacing w:after="0" w:line="256" w:lineRule="auto"/>
        <w:tabs>
          <w:tab w:leader="none" w:pos="1108"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(or its counsel) shall have received (i) from each party hereto a counterpart of this Agreement signed on behalf of such party (which, subject to Section 9.06, may include any Electronic Signatures transmitted by telecopy, emailed pdf, or any other electronic means that reproduces an image of an actual executed signature page) and (ii) duly executed copies of the other Loan Documents and such other legal opinions, certificates, documents, instruments and agreements as the Administrative Agent shall reasonably request in connection with the Transactions, all in form and substance satisfactory to the Administrative Agent and its counsel and as further described in the list of closing documents attached as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w:t>
      </w:r>
    </w:p>
    <w:p>
      <w:pPr>
        <w:spacing w:after="0" w:line="79" w:lineRule="exact"/>
        <w:rPr>
          <w:rFonts w:ascii="Times New Roman" w:cs="Times New Roman" w:eastAsia="Times New Roman" w:hAnsi="Times New Roman"/>
          <w:sz w:val="18"/>
          <w:szCs w:val="18"/>
          <w:color w:val="auto"/>
        </w:rPr>
      </w:pPr>
    </w:p>
    <w:p>
      <w:pPr>
        <w:ind w:left="440" w:right="200" w:firstLine="419"/>
        <w:spacing w:after="0" w:line="261" w:lineRule="auto"/>
        <w:tabs>
          <w:tab w:leader="none" w:pos="1118"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shall have received a favorable written opinion (addressed to the Administrative Agent and the Lenders and dated the Effective Date) of Godfrey &amp; Kahn, S.C., counsel for the Borrower,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and covering such other matters relating to the Borrower, the Loan Documents or the Transactions as the Administrative Agent shall reasonably request. The Borrower hereby requests such counsel to deliver such opinion.</w:t>
      </w:r>
    </w:p>
    <w:p>
      <w:pPr>
        <w:spacing w:after="0" w:line="71" w:lineRule="exact"/>
        <w:rPr>
          <w:rFonts w:ascii="Times New Roman" w:cs="Times New Roman" w:eastAsia="Times New Roman" w:hAnsi="Times New Roman"/>
          <w:sz w:val="18"/>
          <w:szCs w:val="18"/>
          <w:color w:val="auto"/>
        </w:rPr>
      </w:pPr>
    </w:p>
    <w:p>
      <w:pPr>
        <w:jc w:val="both"/>
        <w:ind w:left="440" w:firstLine="419"/>
        <w:spacing w:after="0" w:line="261" w:lineRule="auto"/>
        <w:tabs>
          <w:tab w:leader="none" w:pos="1108"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shall have received such documents and certificates as the Administrative Agent or its counsel may reasonably request relating to the organization, existence and good standing of the Borrower, the authorization of the Transactions and any other legal matters relating to the Borrower, the Loan Documents or the Transactions, all in form and substance satisfactory to the Administrative Agent and its counsel and as further described in the list of closing documents attached as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440" w:right="60" w:firstLine="419"/>
        <w:spacing w:after="0" w:line="256" w:lineRule="auto"/>
        <w:tabs>
          <w:tab w:leader="none" w:pos="1118"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shall have received a certificate, dated the Effective Date and signed by the President, a Vice President or a Financial Officer of the Borrower, certifying (i) that the representations and warranties contained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are true and correct in all material respects as of such date except that (A) to the extent such representations and warranties specifically refer to an earlier date, such representations and warranties shall be true and correct in all material respects as of such earlier date and (B) any representation and warranty that is qualified as to “materiality” or “Material Adverse Effect” shall be true and correct in all respects, and (ii) that no Default or Event of Default has occurred and is continuing as of such date.</w:t>
      </w:r>
    </w:p>
    <w:p>
      <w:pPr>
        <w:spacing w:after="0" w:line="79" w:lineRule="exact"/>
        <w:rPr>
          <w:rFonts w:ascii="Times New Roman" w:cs="Times New Roman" w:eastAsia="Times New Roman" w:hAnsi="Times New Roman"/>
          <w:sz w:val="18"/>
          <w:szCs w:val="18"/>
          <w:color w:val="auto"/>
        </w:rPr>
      </w:pPr>
    </w:p>
    <w:p>
      <w:pPr>
        <w:ind w:left="440" w:right="260" w:firstLine="419"/>
        <w:spacing w:after="0" w:line="266" w:lineRule="auto"/>
        <w:tabs>
          <w:tab w:leader="none" w:pos="1108"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evidence satisfactory to it that the credit facility evidenced by the Existing Credit Agreement shall have been terminated and cancelled and all indebtedness thereunder shall have been fully repaid (except to the extent being so repaid with the initial Revolving Loans).</w:t>
      </w:r>
    </w:p>
    <w:p>
      <w:pPr>
        <w:spacing w:after="0" w:line="67" w:lineRule="exact"/>
        <w:rPr>
          <w:rFonts w:ascii="Times New Roman" w:cs="Times New Roman" w:eastAsia="Times New Roman" w:hAnsi="Times New Roman"/>
          <w:sz w:val="18"/>
          <w:szCs w:val="18"/>
          <w:color w:val="auto"/>
        </w:rPr>
      </w:pPr>
    </w:p>
    <w:p>
      <w:pPr>
        <w:ind w:left="440" w:firstLine="419"/>
        <w:spacing w:after="0" w:line="258" w:lineRule="auto"/>
        <w:tabs>
          <w:tab w:leader="none" w:pos="1088"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Administrative Agent shall have received, at least three (3) Business Days prior to the Effective Date, all documentation and other information regarding the Borrower requested in connection with applicable “know your customer” and anti-money laundering rules and regulations, including the Patriot Act, to the extent requested in writing of the Borrower at least ten (10) days prior to the Effective Date and (ii) to the extent the Borrower qualifies as a “legal entity customer” under the Beneficial Ownership Regulation, at least three (3) Business Days prior to the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00"/>
          </w:cols>
          <w:pgMar w:left="440" w:top="270" w:right="459" w:bottom="1440" w:gutter="0" w:footer="0" w:header="0"/>
        </w:sectPr>
      </w:pPr>
    </w:p>
    <w:bookmarkStart w:id="130" w:name="page131"/>
    <w:bookmarkEnd w:id="130"/>
    <w:p>
      <w:pPr>
        <w:ind w:left="440" w:right="3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Effective Date, any Lender that has requested, in a written notice to the Borrower at least ten (10) days prior to the Effective Date, a Beneficial Ownership Certification in relation to the Borrower shall have received such Beneficial Ownership Certification (provided that, upon the execution and delivery by such Lender of its signature page to this Agreement, the condition set forth in this clause (f) shall be deemed to be satisfied).</w:t>
      </w:r>
    </w:p>
    <w:p>
      <w:pPr>
        <w:spacing w:after="0" w:line="72" w:lineRule="exact"/>
        <w:rPr>
          <w:sz w:val="20"/>
          <w:szCs w:val="20"/>
          <w:color w:val="auto"/>
        </w:rPr>
      </w:pPr>
    </w:p>
    <w:p>
      <w:pPr>
        <w:ind w:left="440" w:right="100" w:firstLine="419"/>
        <w:spacing w:after="0" w:line="282" w:lineRule="auto"/>
        <w:tabs>
          <w:tab w:leader="none" w:pos="1118"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all fees and other amounts due and payable on or prior to the Effective Date, including, to the extent invoiced, reimbursement or payment of all out-of-pocket expenses required to be reimbursed or paid by the Borrower hereunder.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Administrative Agent shall notify the Borrower and the Lenders of the Effective Date, and such notice shall be conclusive and binding.</w:t>
      </w:r>
    </w:p>
    <w:p>
      <w:pPr>
        <w:spacing w:after="0" w:line="225"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Each Credit Event</w:t>
      </w:r>
      <w:r>
        <w:rPr>
          <w:rFonts w:ascii="Times New Roman" w:cs="Times New Roman" w:eastAsia="Times New Roman" w:hAnsi="Times New Roman"/>
          <w:sz w:val="18"/>
          <w:szCs w:val="18"/>
          <w:color w:val="auto"/>
        </w:rPr>
        <w:t>. The obligation of each Lender to make a Loan on the occasion of any Borrowing, and of the Issuing Banks to issue, amend or extend any Letter of Credit, is subject to the satisfaction of the following conditions:</w:t>
      </w:r>
    </w:p>
    <w:p>
      <w:pPr>
        <w:spacing w:after="0" w:line="54" w:lineRule="exact"/>
        <w:rPr>
          <w:sz w:val="20"/>
          <w:szCs w:val="20"/>
          <w:color w:val="auto"/>
        </w:rPr>
      </w:pPr>
    </w:p>
    <w:p>
      <w:pPr>
        <w:ind w:left="440" w:right="100" w:firstLine="419"/>
        <w:spacing w:after="0" w:line="270" w:lineRule="auto"/>
        <w:tabs>
          <w:tab w:leader="none" w:pos="1108" w:val="left"/>
        </w:tabs>
        <w:numPr>
          <w:ilvl w:val="1"/>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representations and warranties of the Borrower set forth in this Agreement (excluding the representations and warranties set forth in Section 3.05(b) and clause (i) of Section 3.06) shall be true and correct in all material respects on and as of the date of such Borrowing or the date of issuance, amendment or extension of such Letter of Credit, as applicable, except that (i) to the extent such representations and warranties specifically refer to an earlier date, such representations and warranties shall be true and correct in all material respects as of such earlier date and</w:t>
      </w:r>
    </w:p>
    <w:p>
      <w:pPr>
        <w:spacing w:after="0" w:line="2" w:lineRule="exact"/>
        <w:rPr>
          <w:rFonts w:ascii="Times New Roman" w:cs="Times New Roman" w:eastAsia="Times New Roman" w:hAnsi="Times New Roman"/>
          <w:sz w:val="17"/>
          <w:szCs w:val="17"/>
          <w:color w:val="auto"/>
        </w:rPr>
      </w:pPr>
    </w:p>
    <w:p>
      <w:pPr>
        <w:ind w:left="700" w:hanging="264"/>
        <w:spacing w:after="0"/>
        <w:tabs>
          <w:tab w:leader="none" w:pos="7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and warranty that is qualified as to “materiality” or “Material Adverse Effect” shall be true and correct in all respects.</w:t>
      </w:r>
    </w:p>
    <w:p>
      <w:pPr>
        <w:spacing w:after="0" w:line="98" w:lineRule="exact"/>
        <w:rPr>
          <w:rFonts w:ascii="Times New Roman" w:cs="Times New Roman" w:eastAsia="Times New Roman" w:hAnsi="Times New Roman"/>
          <w:sz w:val="18"/>
          <w:szCs w:val="18"/>
          <w:color w:val="auto"/>
        </w:rPr>
      </w:pPr>
    </w:p>
    <w:p>
      <w:pPr>
        <w:ind w:left="440" w:right="180" w:firstLine="419"/>
        <w:spacing w:after="0" w:line="282" w:lineRule="auto"/>
        <w:tabs>
          <w:tab w:leader="none" w:pos="1118"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and immediately after giving effect to such Borrowing or the issuance, amendment or extension of such Letter of Credit, as applicable, no Default or Event of Default shall have occurred and be continuing.</w:t>
      </w:r>
    </w:p>
    <w:p>
      <w:pPr>
        <w:spacing w:after="0" w:line="16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Each Borrowing and each issuance, amendment or extension of a Letter of Credit shall be deemed to constitute a representation and warranty by the Borrower on the date thereof as to the matters specified in paragraphs (a) and (b) of this Section.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Affirmative Covenants</w:t>
      </w:r>
    </w:p>
    <w:p>
      <w:pPr>
        <w:spacing w:after="0" w:line="225"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Until the Commitments have expired or been terminated and the principal of and interest on each Loan and all fees payable hereunder shall have been paid in full and all Letters of Credit shall have expired or terminated, in each case, without any pending draw, and all LC Disbursements shall have been reimbursed, the Borrower covenants and agrees with the Lenders that the Borrower will:</w:t>
      </w:r>
    </w:p>
    <w:p>
      <w:pPr>
        <w:spacing w:after="0" w:line="68" w:lineRule="exact"/>
        <w:rPr>
          <w:sz w:val="20"/>
          <w:szCs w:val="20"/>
          <w:color w:val="auto"/>
        </w:rPr>
      </w:pPr>
    </w:p>
    <w:p>
      <w:pPr>
        <w:ind w:right="30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Compliance with Laws, Etc</w:t>
      </w:r>
      <w:r>
        <w:rPr>
          <w:rFonts w:ascii="Times New Roman" w:cs="Times New Roman" w:eastAsia="Times New Roman" w:hAnsi="Times New Roman"/>
          <w:sz w:val="18"/>
          <w:szCs w:val="18"/>
          <w:color w:val="auto"/>
        </w:rPr>
        <w:t>. Comply, and cause each of its Subsidiaries to comply, in all material respects, with all applicable laws, rules, regulations and orders, such compliance to include, without limitation, compliance with ERISA and Environmental Laws, and maintain in effect and enforce policies and procedures reasonably designed to ensure compliance in all material respects by the Borrower, its Subsidiaries and their respective directors, officers, employees and agents with Anti-Corruption Laws, AML Laws and applicable Sanctions.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20"/>
          </w:cols>
          <w:pgMar w:left="440" w:top="270" w:right="439" w:bottom="1440" w:gutter="0" w:footer="0" w:header="0"/>
        </w:sectPr>
      </w:pPr>
    </w:p>
    <w:bookmarkStart w:id="131" w:name="page132"/>
    <w:bookmarkEnd w:id="131"/>
    <w:p>
      <w:pPr>
        <w:ind w:right="120"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5.02. </w:t>
      </w:r>
      <w:r>
        <w:rPr>
          <w:rFonts w:ascii="Times New Roman" w:cs="Times New Roman" w:eastAsia="Times New Roman" w:hAnsi="Times New Roman"/>
          <w:sz w:val="18"/>
          <w:szCs w:val="18"/>
          <w:u w:val="single" w:color="auto"/>
          <w:color w:val="auto"/>
        </w:rPr>
        <w:t>Payment of Taxes, Etc</w:t>
      </w:r>
      <w:r>
        <w:rPr>
          <w:rFonts w:ascii="Times New Roman" w:cs="Times New Roman" w:eastAsia="Times New Roman" w:hAnsi="Times New Roman"/>
          <w:sz w:val="18"/>
          <w:szCs w:val="18"/>
          <w:color w:val="auto"/>
        </w:rPr>
        <w:t>. Pay and discharge, and cause each of its Subsidiaries to pay and discharge, before the same shall become delinquent, (i) all taxes, assessments and governmental charges or levies imposed upon it or upon its property and (ii) all lawful claims that, if unpaid, might by law become a Lien upon its property; provided, however, that neither the Borrower nor any of its Subsidiaries shall be required to pay or discharge any such tax, assessment, charge or claim that is being contested in good faith and by proper proceedings and as to which appropriate reserves are being maintained, unless and until any Lien resulting therefrom attaches to its property and becomes enforceable against its other creditors (unless such Lien would be permitted in accordance with Section 6.01).</w:t>
      </w:r>
    </w:p>
    <w:p>
      <w:pPr>
        <w:spacing w:after="0" w:line="187"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Maintenance of Insurance</w:t>
      </w:r>
      <w:r>
        <w:rPr>
          <w:rFonts w:ascii="Times New Roman" w:cs="Times New Roman" w:eastAsia="Times New Roman" w:hAnsi="Times New Roman"/>
          <w:sz w:val="18"/>
          <w:szCs w:val="18"/>
          <w:color w:val="auto"/>
        </w:rPr>
        <w:t>. Maintain, and cause each of its Subsidiaries to maintain, insurance with responsible and reputable insurance companies or associations in such amounts and covering such risks as is usually carried by companies engaged in similar businesses and owning similar properties in the same general areas in which the Borrower or such Subsidiary operates.</w:t>
      </w:r>
    </w:p>
    <w:p>
      <w:pPr>
        <w:spacing w:after="0" w:line="176"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Preservation of Corporate Existence, Etc</w:t>
      </w:r>
      <w:r>
        <w:rPr>
          <w:rFonts w:ascii="Times New Roman" w:cs="Times New Roman" w:eastAsia="Times New Roman" w:hAnsi="Times New Roman"/>
          <w:sz w:val="18"/>
          <w:szCs w:val="18"/>
          <w:color w:val="auto"/>
        </w:rPr>
        <w:t xml:space="preserve">. Preserve and maintain, and cause each of its Material Subsidiaries to preserve and maintain, its corporate existence, and its material rights (charter and statutory) and franchises;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the Borrower and its Subsidiaries may consummate any merger or consolidation permitted under Section 6.02, and provided further that neither the Borrower nor any of its Subsidiaries shall be required to preserve any right or franchise if the Board of Directors of the Borrower or such Subsidiary shall determine that the preservation thereof is no longer desirable in the conduct of the business of the Borrower or such Subsidiary, as the case may be, and that the loss thereof is not disadvantageous in any material respect to the Borrower, such Subsidiary or the Lenders.</w:t>
      </w:r>
    </w:p>
    <w:p>
      <w:pPr>
        <w:spacing w:after="0" w:line="187" w:lineRule="exact"/>
        <w:rPr>
          <w:sz w:val="20"/>
          <w:szCs w:val="20"/>
          <w:color w:val="auto"/>
        </w:rPr>
      </w:pPr>
    </w:p>
    <w:p>
      <w:pPr>
        <w:ind w:right="1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u w:val="single" w:color="auto"/>
          <w:color w:val="auto"/>
        </w:rPr>
        <w:t>Visitation Rights</w:t>
      </w:r>
      <w:r>
        <w:rPr>
          <w:rFonts w:ascii="Times New Roman" w:cs="Times New Roman" w:eastAsia="Times New Roman" w:hAnsi="Times New Roman"/>
          <w:sz w:val="18"/>
          <w:szCs w:val="18"/>
          <w:color w:val="auto"/>
        </w:rPr>
        <w:t>. At any reasonable time and from time to time, permit the Administrative Agent or any Lender or any agents or representatives thereof, to examine and make copies of and abstracts from the records and books of account of, and visit the properties of, the Borrower and any of its Subsidiaries, and to discuss the affairs, finances and accounts of the Borrower and any of its Subsidiaries with any of their officers or directors and with their independent certified public accountants.</w:t>
      </w:r>
    </w:p>
    <w:p>
      <w:pPr>
        <w:spacing w:after="0" w:line="180"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u w:val="single" w:color="auto"/>
          <w:color w:val="auto"/>
        </w:rPr>
        <w:t>Keeping of Books</w:t>
      </w:r>
      <w:r>
        <w:rPr>
          <w:rFonts w:ascii="Times New Roman" w:cs="Times New Roman" w:eastAsia="Times New Roman" w:hAnsi="Times New Roman"/>
          <w:sz w:val="18"/>
          <w:szCs w:val="18"/>
          <w:color w:val="auto"/>
        </w:rPr>
        <w:t>. Keep, and cause each of its Consolidated Subsidiaries to keep, proper books of record and account, in which full and correct entries shall be made of all financial transactions and the assets and business of the Borrower and each such Subsidiary in accordance with generally accepted accounting principles in effect from time to time.</w:t>
      </w:r>
    </w:p>
    <w:p>
      <w:pPr>
        <w:spacing w:after="0" w:line="176"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5.07. </w:t>
      </w:r>
      <w:r>
        <w:rPr>
          <w:rFonts w:ascii="Times New Roman" w:cs="Times New Roman" w:eastAsia="Times New Roman" w:hAnsi="Times New Roman"/>
          <w:sz w:val="18"/>
          <w:szCs w:val="18"/>
          <w:u w:val="single" w:color="auto"/>
          <w:color w:val="auto"/>
        </w:rPr>
        <w:t>Maintenance of Properties, Etc</w:t>
      </w:r>
      <w:r>
        <w:rPr>
          <w:rFonts w:ascii="Times New Roman" w:cs="Times New Roman" w:eastAsia="Times New Roman" w:hAnsi="Times New Roman"/>
          <w:sz w:val="18"/>
          <w:szCs w:val="18"/>
          <w:color w:val="auto"/>
        </w:rPr>
        <w:t>. Maintain and preserve, and cause each of its Subsidiaries to maintain and preserve, all of its properties that are used or useful in the conduct of its business in good working order and condition, ordinary wear and tear excepted.</w:t>
      </w:r>
    </w:p>
    <w:p>
      <w:pPr>
        <w:spacing w:after="0" w:line="162"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5.08.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proceeds of the Loans will be used only to finance, and Letters of Credit will be issued only to support, the working capital needs, and for general corporate purposes, of the Borrower and its Subsidiaries, including, without limitation, share repurchases and acquisition financing. The Borrower will not request any Borrowing or Letter of Credit, and the Borrower shall not use, and shall procure that its Subsidiaries and its or their respective directors, officers, employees and agents shall not use, the proceeds of any Borrowing or Letter of Credit (i) in furtherance of an offer, payment, promise to pay, or authorization of the payment or giving of money, or anything else of value, to any Person in violation of any Anti-Corruption Laws or AML Laws, (ii) for the purpose of funding, financing or facilitating any activities, business or transaction of or with any Sanctioned Person, or in any Sanctioned Country, except to the extent permitted for a Person required to comply with Sanctions, or (iii) in any manner that would result in the violation of any Sanctions applicable to any party hereto.</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20"/>
          </w:cols>
          <w:pgMar w:left="440" w:top="270" w:right="439" w:bottom="1440" w:gutter="0" w:footer="0" w:header="0"/>
        </w:sectPr>
      </w:pPr>
    </w:p>
    <w:bookmarkStart w:id="132" w:name="page133"/>
    <w:bookmarkEnd w:id="132"/>
    <w:p>
      <w:pPr>
        <w:ind w:left="5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5.09. </w:t>
      </w:r>
      <w:r>
        <w:rPr>
          <w:rFonts w:ascii="Times New Roman" w:cs="Times New Roman" w:eastAsia="Times New Roman" w:hAnsi="Times New Roman"/>
          <w:sz w:val="18"/>
          <w:szCs w:val="18"/>
          <w:u w:val="single" w:color="auto"/>
          <w:color w:val="auto"/>
        </w:rPr>
        <w:t>Reporting Requirements</w:t>
      </w:r>
      <w:r>
        <w:rPr>
          <w:rFonts w:ascii="Times New Roman" w:cs="Times New Roman" w:eastAsia="Times New Roman" w:hAnsi="Times New Roman"/>
          <w:sz w:val="18"/>
          <w:szCs w:val="18"/>
          <w:color w:val="auto"/>
        </w:rPr>
        <w:t>. Furnish to the Administrative Agent and the Lenders:</w:t>
      </w:r>
    </w:p>
    <w:p>
      <w:pPr>
        <w:spacing w:after="0" w:line="117" w:lineRule="exact"/>
        <w:rPr>
          <w:sz w:val="20"/>
          <w:szCs w:val="20"/>
          <w:color w:val="auto"/>
        </w:rPr>
      </w:pPr>
    </w:p>
    <w:p>
      <w:pPr>
        <w:ind w:right="40" w:firstLine="419"/>
        <w:spacing w:after="0" w:line="254" w:lineRule="auto"/>
        <w:tabs>
          <w:tab w:leader="none" w:pos="668"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and in any event within 50 days after the end of each of the first three quarters of each fiscal year of the Borrower, the Consolidated balance sheet of the Borrower and its Subsidiaries as of the end of such quarter and Consolidated statements of income and cash flows of the Borrower and its Subsidiaries for the period commencing at the end of the previous fiscal year and ending with the end of such quarter, duly certified (subject to year-end audit adjustments) by the chief financial officer, chief accounting officer, treasurer or vice president – corporate controller of the Borrower as having been prepared in accordance with generally accepted accounting principles and certificates of the chief financial officer, treasurer or vice president – corporate controller of the Borrower as to compliance with the terms of this Agreement and setting forth in reasonable detail the calculations necessary to demonstrate compliance with Section 6.08, provided that in the event of any change in generally accepted accounting principles used in the preparation of such financial statements, the Borrower shall also provide, if necessary for the determination of compliance with Section 6.08, a statement of reconciliation conforming such financial statements to GAAP;</w:t>
      </w:r>
    </w:p>
    <w:p>
      <w:pPr>
        <w:spacing w:after="0" w:line="80" w:lineRule="exact"/>
        <w:rPr>
          <w:rFonts w:ascii="Times New Roman" w:cs="Times New Roman" w:eastAsia="Times New Roman" w:hAnsi="Times New Roman"/>
          <w:sz w:val="18"/>
          <w:szCs w:val="18"/>
          <w:color w:val="auto"/>
        </w:rPr>
      </w:pPr>
    </w:p>
    <w:p>
      <w:pPr>
        <w:ind w:firstLine="419"/>
        <w:spacing w:after="0" w:line="256" w:lineRule="auto"/>
        <w:tabs>
          <w:tab w:leader="none" w:pos="678"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and in any event within 105 days after the end of each fiscal year of the Borrower, a copy of the annual audit report for such year for the Borrower and its Subsidiaries, containing the Consolidated balance sheet of the Borrower and its Subsidiaries as of the end of such fiscal year and Consolidated statements of income and cash flows of the Borrower and its Subsidiaries for such fiscal year, in each case accompanied by an opinion by independent public accountants of nationally recognized standing, provided that in the event of any change in generally accepted accounting principles used in the preparation of such financial statements, the Borrower shall also provide, if necessary for the determination of compliance with Section 6.08, a statement of reconciliation conforming such financial statements to GAAP;</w:t>
      </w:r>
    </w:p>
    <w:p>
      <w:pPr>
        <w:spacing w:after="0" w:line="79" w:lineRule="exact"/>
        <w:rPr>
          <w:rFonts w:ascii="Times New Roman" w:cs="Times New Roman" w:eastAsia="Times New Roman" w:hAnsi="Times New Roman"/>
          <w:sz w:val="18"/>
          <w:szCs w:val="18"/>
          <w:color w:val="auto"/>
        </w:rPr>
      </w:pPr>
    </w:p>
    <w:p>
      <w:pPr>
        <w:jc w:val="both"/>
        <w:ind w:right="320" w:firstLine="419"/>
        <w:spacing w:after="0" w:line="266" w:lineRule="auto"/>
        <w:tabs>
          <w:tab w:leader="none" w:pos="668"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possible and in any event within five days after the occurrence of each Default continuing on the date of such statement, a statement of the chief financial officer, chief accounting officer, treasurer or vice president – corporate controller of the Borrower setting forth details of such Default and the action that the Borrower has taken and proposes to take with respect thereto;</w:t>
      </w:r>
    </w:p>
    <w:p>
      <w:pPr>
        <w:spacing w:after="0" w:line="67" w:lineRule="exact"/>
        <w:rPr>
          <w:rFonts w:ascii="Times New Roman" w:cs="Times New Roman" w:eastAsia="Times New Roman" w:hAnsi="Times New Roman"/>
          <w:sz w:val="18"/>
          <w:szCs w:val="18"/>
          <w:color w:val="auto"/>
        </w:rPr>
      </w:pPr>
    </w:p>
    <w:p>
      <w:pPr>
        <w:ind w:right="100" w:firstLine="419"/>
        <w:spacing w:after="0" w:line="266" w:lineRule="auto"/>
        <w:tabs>
          <w:tab w:leader="none" w:pos="678"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sending or filing thereof, copies of all quarterly and annual reports or any proxy solicitations that the Borrower sends to its securityholders generally, and copies of all reports on Form 8-K and registration statements for the public offering (other than pursuant to employee Plans) of securities that the Borrower or any Subsidiary files with the SEC or any national securities exchange;</w:t>
      </w:r>
    </w:p>
    <w:p>
      <w:pPr>
        <w:spacing w:after="0" w:line="67" w:lineRule="exact"/>
        <w:rPr>
          <w:rFonts w:ascii="Times New Roman" w:cs="Times New Roman" w:eastAsia="Times New Roman" w:hAnsi="Times New Roman"/>
          <w:sz w:val="18"/>
          <w:szCs w:val="18"/>
          <w:color w:val="auto"/>
        </w:rPr>
      </w:pPr>
    </w:p>
    <w:p>
      <w:pPr>
        <w:ind w:right="340" w:firstLine="419"/>
        <w:spacing w:after="0" w:line="282" w:lineRule="auto"/>
        <w:tabs>
          <w:tab w:leader="none" w:pos="668"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commencement thereof, notice of all actions and proceedings before any court, governmental agency or arbitrator affecting the Borrower or any of its Subsidiaries of the type described in Section 3.06;</w:t>
      </w:r>
    </w:p>
    <w:p>
      <w:pPr>
        <w:spacing w:after="0" w:line="53" w:lineRule="exact"/>
        <w:rPr>
          <w:rFonts w:ascii="Times New Roman" w:cs="Times New Roman" w:eastAsia="Times New Roman" w:hAnsi="Times New Roman"/>
          <w:sz w:val="18"/>
          <w:szCs w:val="18"/>
          <w:color w:val="auto"/>
        </w:rPr>
      </w:pPr>
    </w:p>
    <w:p>
      <w:pPr>
        <w:ind w:right="40" w:firstLine="419"/>
        <w:spacing w:after="0" w:line="282" w:lineRule="auto"/>
        <w:tabs>
          <w:tab w:leader="none" w:pos="648"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any change in any credit rating (whether publicly announced or shadow) by either S&amp;P or Moody’s in respect of any debt of the Borrower, notice thereof;</w:t>
      </w:r>
    </w:p>
    <w:p>
      <w:pPr>
        <w:spacing w:after="0" w:line="53" w:lineRule="exact"/>
        <w:rPr>
          <w:rFonts w:ascii="Times New Roman" w:cs="Times New Roman" w:eastAsia="Times New Roman" w:hAnsi="Times New Roman"/>
          <w:sz w:val="18"/>
          <w:szCs w:val="18"/>
          <w:color w:val="auto"/>
        </w:rPr>
      </w:pPr>
    </w:p>
    <w:p>
      <w:pPr>
        <w:ind w:right="100" w:firstLine="419"/>
        <w:spacing w:after="0" w:line="266" w:lineRule="auto"/>
        <w:tabs>
          <w:tab w:leader="none" w:pos="678"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any request therefor, information and documentation reasonably requested by the Administrative Agent or any Lender for purposes of compliance with applicable “know your customer” and anti-money laundering rules and regulations, including the Patriot Act and the Beneficial Ownership Regulation; and</w:t>
      </w:r>
    </w:p>
    <w:p>
      <w:pPr>
        <w:spacing w:after="0" w:line="10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0540"/>
          </w:cols>
          <w:pgMar w:left="880" w:top="270" w:right="479" w:bottom="1440" w:gutter="0" w:footer="0" w:header="0"/>
        </w:sectPr>
      </w:pPr>
    </w:p>
    <w:bookmarkStart w:id="133" w:name="page134"/>
    <w:bookmarkEnd w:id="133"/>
    <w:p>
      <w:pPr>
        <w:ind w:left="440" w:right="340" w:firstLine="419"/>
        <w:spacing w:after="0" w:line="282" w:lineRule="auto"/>
        <w:tabs>
          <w:tab w:leader="none" w:pos="1118"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other information respecting the Borrower or any of its Subsidiaries as any Lender through the Administrative Agent may from time to time reasonably request.</w:t>
      </w:r>
    </w:p>
    <w:p>
      <w:pPr>
        <w:spacing w:after="0" w:line="162"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7"/>
          <w:szCs w:val="17"/>
          <w:color w:val="auto"/>
        </w:rPr>
        <w:t xml:space="preserve">Reports and financial statements required to be delivered by the Borrower pursuant to Sections 5.09(a), 5.09(b) and 5.09(d) shall be deemed to have been delivered on the date on which it posts such reports, or reports containing such financial statements, on its website on the Internet at www.manpowergroup.com and when such reports, or reports containing such financial statements are posted on the SEC’s website at www.sec.gov;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it shall deliver paper copies of the reports and financial statements referred to in Sections 5.09(a), 5.09(b) and 5.09(d) to the Administrative Agent or any Lender who requests it to deliver such paper copies until written notice to cease delivering paper copies is given by the Administrative Agent or such Lender; and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that in every instance it shall provide paper copies of the certificate required by Sections</w:t>
      </w:r>
    </w:p>
    <w:p>
      <w:pPr>
        <w:spacing w:after="0" w:line="5"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5.09(a) and 5.09(b) to the Administrative Agent and the Administrative Agent shall, in turn, provide a copy to each of the Lenders until such time as the Administrative Agent shall provide it written notice otherwise.</w:t>
      </w:r>
    </w:p>
    <w:p>
      <w:pPr>
        <w:spacing w:after="0" w:line="181"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Each notice delivered under Section 5.09(c) (i) shall be in writing and (ii) shall contain a heading or a reference line that reads “Notice under Section 5.09(c) of the ManpowerGroup Inc. Credit Agreement dated December 15, 2025”.</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Negative Covenants</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Until the Commitments have expired or terminated and the principal of and interest on each Loan and all fees payable hereunder have been paid in full and all Letters of Credit have expired or terminated, in each case, without any pending draw, and all LC Disbursements shall have been reimbursed, the Borrower covenants and agrees with the Lenders that the Borrower will not:</w:t>
      </w:r>
    </w:p>
    <w:p>
      <w:pPr>
        <w:spacing w:after="0" w:line="176" w:lineRule="exact"/>
        <w:rPr>
          <w:sz w:val="20"/>
          <w:szCs w:val="20"/>
          <w:color w:val="auto"/>
        </w:rPr>
      </w:pPr>
    </w:p>
    <w:p>
      <w:pPr>
        <w:jc w:val="both"/>
        <w:ind w:right="4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Liens, Etc</w:t>
      </w:r>
      <w:r>
        <w:rPr>
          <w:rFonts w:ascii="Times New Roman" w:cs="Times New Roman" w:eastAsia="Times New Roman" w:hAnsi="Times New Roman"/>
          <w:sz w:val="18"/>
          <w:szCs w:val="18"/>
          <w:color w:val="auto"/>
        </w:rPr>
        <w:t>. Create or suffer to exist, or permit any of its Subsidiaries to create or suffer to exist, any Lien on or with respect to any of its properties, whether now owned or hereafter acquired, or assign, or permit any of its Subsidiaries to assign, any right to receive income, other than:</w:t>
      </w:r>
    </w:p>
    <w:p>
      <w:pPr>
        <w:spacing w:after="0" w:line="68" w:lineRule="exact"/>
        <w:rPr>
          <w:sz w:val="20"/>
          <w:szCs w:val="20"/>
          <w:color w:val="auto"/>
        </w:rPr>
      </w:pPr>
    </w:p>
    <w:p>
      <w:pPr>
        <w:ind w:left="1100" w:hanging="241"/>
        <w:spacing w:after="0"/>
        <w:tabs>
          <w:tab w:leader="none" w:pos="11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Liens;</w:t>
      </w:r>
    </w:p>
    <w:p>
      <w:pPr>
        <w:spacing w:after="0" w:line="117" w:lineRule="exact"/>
        <w:rPr>
          <w:rFonts w:ascii="Times New Roman" w:cs="Times New Roman" w:eastAsia="Times New Roman" w:hAnsi="Times New Roman"/>
          <w:sz w:val="18"/>
          <w:szCs w:val="18"/>
          <w:color w:val="auto"/>
        </w:rPr>
      </w:pPr>
    </w:p>
    <w:p>
      <w:pPr>
        <w:ind w:left="440" w:right="40" w:firstLine="419"/>
        <w:spacing w:after="0" w:line="254" w:lineRule="auto"/>
        <w:tabs>
          <w:tab w:leader="none" w:pos="1118"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Purchase money liens or purchase money security interests upon or in any property acquired or held by the Borrower or any of its Subsidiaries in the ordinary course of business to secure the purchase of such property or to secure indebtedness incurred solely for the purpose of financing the acquisition of such property, (ii) liens consisting of the interests of lessors under Capital Lease Obligations and (iii) liens not otherwise described above in this Section 6.01;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aggregate capitalized amount of Debt incurred pursuant to such Capital Lease Obligations, plus the aggregate principal amount of the indebtedness or other obligations secured by any of the liens described in this</w:t>
      </w:r>
    </w:p>
    <w:p>
      <w:pPr>
        <w:spacing w:after="0" w:line="3"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6.01(b) (or, if greater, the book value of the assets that are subject to such liens) shall not exceed $75,000,000 at any time outstanding;</w:t>
      </w:r>
    </w:p>
    <w:p>
      <w:pPr>
        <w:spacing w:after="0" w:line="98"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Liens existing on the Effective Date and described on Schedule 6.01 hereto;</w:t>
      </w:r>
    </w:p>
    <w:p>
      <w:pPr>
        <w:spacing w:after="0" w:line="117" w:lineRule="exact"/>
        <w:rPr>
          <w:rFonts w:ascii="Times New Roman" w:cs="Times New Roman" w:eastAsia="Times New Roman" w:hAnsi="Times New Roman"/>
          <w:sz w:val="18"/>
          <w:szCs w:val="18"/>
          <w:color w:val="auto"/>
        </w:rPr>
      </w:pPr>
    </w:p>
    <w:p>
      <w:pPr>
        <w:jc w:val="both"/>
        <w:ind w:left="440" w:right="40" w:firstLine="419"/>
        <w:spacing w:after="0" w:line="261" w:lineRule="auto"/>
        <w:tabs>
          <w:tab w:leader="none" w:pos="1118"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property of a Person existing at the time such Person is merged into or consolidated with the Borrower or any Subsidiary of the Borrower or becomes a Subsidiary of the Borrower or the property is acquired by the Borrower or any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Liens were not created in contemplation of such merger, consolidation or acquisition and do not extend to any assets other than those of the Person so merged into or consolidated with the Borrower or such Subsidiary or acquired by the Borrower or such Subsidiary;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00"/>
          </w:cols>
          <w:pgMar w:left="440" w:top="270" w:right="459" w:bottom="1440" w:gutter="0" w:footer="0" w:header="0"/>
        </w:sectPr>
      </w:pPr>
    </w:p>
    <w:bookmarkStart w:id="134" w:name="page135"/>
    <w:bookmarkEnd w:id="134"/>
    <w:p>
      <w:pPr>
        <w:ind w:left="1100" w:hanging="241"/>
        <w:spacing w:after="0"/>
        <w:tabs>
          <w:tab w:leader="none" w:pos="110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Liens permitted by Section 6.04;</w:t>
      </w:r>
    </w:p>
    <w:p>
      <w:pPr>
        <w:spacing w:after="0" w:line="117" w:lineRule="exact"/>
        <w:rPr>
          <w:rFonts w:ascii="Times New Roman" w:cs="Times New Roman" w:eastAsia="Times New Roman" w:hAnsi="Times New Roman"/>
          <w:sz w:val="18"/>
          <w:szCs w:val="18"/>
          <w:color w:val="auto"/>
        </w:rPr>
      </w:pPr>
    </w:p>
    <w:p>
      <w:pPr>
        <w:ind w:left="440" w:right="60" w:firstLine="419"/>
        <w:spacing w:after="0" w:line="266" w:lineRule="auto"/>
        <w:tabs>
          <w:tab w:leader="none" w:pos="1088"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replacement, extension or renewal of any Lien permitted by Sections 6.01(b), 6.01(c) or 6.01(d) above upon or in the same property theretofore subject thereto or the replacement, extension or renewal (without increase in the amount or change in any direct or contingent obligor) of the Debt secured thereby;</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cash collateral provided under the terms of this Agreement; and</w:t>
      </w:r>
    </w:p>
    <w:p>
      <w:pPr>
        <w:spacing w:after="0" w:line="117" w:lineRule="exact"/>
        <w:rPr>
          <w:rFonts w:ascii="Times New Roman" w:cs="Times New Roman" w:eastAsia="Times New Roman" w:hAnsi="Times New Roman"/>
          <w:sz w:val="18"/>
          <w:szCs w:val="18"/>
          <w:color w:val="auto"/>
        </w:rPr>
      </w:pPr>
    </w:p>
    <w:p>
      <w:pPr>
        <w:ind w:left="440" w:firstLine="419"/>
        <w:spacing w:after="0" w:line="261" w:lineRule="auto"/>
        <w:tabs>
          <w:tab w:leader="none" w:pos="1118"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Liens on cash balances of accounts maintained by the Borrower or any of its Subsidiaries organized outside of the United States with Bank Mendes Gans nv pursuant to the Cash Pooling Agreement dated July 9, 2003, as may be amended, restated, supplemented or otherwise modified or replaced from time to time, or on cash balances of accounts maintained by the Borrower or any of its Subsidiaries organized outside of the United States with other lending institutions under substantially similar arrangements.</w:t>
      </w:r>
    </w:p>
    <w:p>
      <w:pPr>
        <w:spacing w:after="0" w:line="180"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Mergers, Etc</w:t>
      </w:r>
      <w:r>
        <w:rPr>
          <w:rFonts w:ascii="Times New Roman" w:cs="Times New Roman" w:eastAsia="Times New Roman" w:hAnsi="Times New Roman"/>
          <w:sz w:val="18"/>
          <w:szCs w:val="18"/>
          <w:color w:val="auto"/>
        </w:rPr>
        <w:t>. Merge or consolidate with or into, or convey, transfer, lease or otherwise dispose of (whether in one transaction or in a series of transactions) all or substantially all of its assets (whether now owned or hereafter acquired) to, or acquire all or substantially all of the assets of, any Person, or permit any of its Subsidiaries to do so, other than:</w:t>
      </w:r>
    </w:p>
    <w:p>
      <w:pPr>
        <w:spacing w:after="0" w:line="68" w:lineRule="exact"/>
        <w:rPr>
          <w:sz w:val="20"/>
          <w:szCs w:val="20"/>
          <w:color w:val="auto"/>
        </w:rPr>
      </w:pPr>
    </w:p>
    <w:p>
      <w:pPr>
        <w:ind w:left="440" w:right="60" w:firstLine="419"/>
        <w:spacing w:after="0" w:line="289" w:lineRule="auto"/>
        <w:tabs>
          <w:tab w:leader="none" w:pos="1108"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Borrower or any Subsidiary of the Borrower may, in the ordinary course of its business, acquire all or any portion of the stock of any Person conducting business primarily in the staffing or workforce management services industry or acquire all or substantially all of the assets used in the conduct by any Person of a staffing or workforce management services business (and assume the liabilities related to such assets);</w:t>
      </w:r>
    </w:p>
    <w:p>
      <w:pPr>
        <w:spacing w:after="0" w:line="49" w:lineRule="exact"/>
        <w:rPr>
          <w:rFonts w:ascii="Times New Roman" w:cs="Times New Roman" w:eastAsia="Times New Roman" w:hAnsi="Times New Roman"/>
          <w:sz w:val="17"/>
          <w:szCs w:val="17"/>
          <w:color w:val="auto"/>
        </w:rPr>
      </w:pPr>
    </w:p>
    <w:p>
      <w:pPr>
        <w:ind w:left="440" w:right="40" w:firstLine="419"/>
        <w:spacing w:after="0" w:line="256" w:lineRule="auto"/>
        <w:tabs>
          <w:tab w:leader="none" w:pos="1118"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Subsidiary of the Borrower or the Borrower may merge into or consolidate with, or transfer assets (including but not limited to stock or other equity interests of any Person) to or acquire the assets (including but not limited to stock or other equity interests of any Person) of any Subsidiary of the Borrower or the Borrower; provided that in the case of any such merger or consolidation transaction to which the Borrower is a party, the Borrower shall be the surviving corporation; provided that, in each such case, immediately after giving effect to such proposed transaction, no Default shall exist (it being understood that in connection with any internal corporate restructuring of the Borrower, the Borrower may transfer assets to any of its Subsidiaries and may change its name); and</w:t>
      </w:r>
    </w:p>
    <w:p>
      <w:pPr>
        <w:spacing w:after="0" w:line="79"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permitted pursuant to Section 6.03.</w:t>
      </w:r>
    </w:p>
    <w:p>
      <w:pPr>
        <w:spacing w:after="0" w:line="225" w:lineRule="exact"/>
        <w:rPr>
          <w:sz w:val="20"/>
          <w:szCs w:val="20"/>
          <w:color w:val="auto"/>
        </w:rPr>
      </w:pPr>
    </w:p>
    <w:p>
      <w:pPr>
        <w:ind w:right="14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Sales, Etc. of Assets</w:t>
      </w:r>
      <w:r>
        <w:rPr>
          <w:rFonts w:ascii="Times New Roman" w:cs="Times New Roman" w:eastAsia="Times New Roman" w:hAnsi="Times New Roman"/>
          <w:sz w:val="18"/>
          <w:szCs w:val="18"/>
          <w:color w:val="auto"/>
        </w:rPr>
        <w:t>. Sell, lease, transfer or otherwise dispose of, or permit any of its Material Subsidiaries to sell, lease, transfer or otherwise dispose of, any material portion of its assets, including (without limitation) assets constituting any investment in any Subsidiary thereof or substantially all of the assets constituting the business of any division, branch or other unit operation thereof, except (i) in a transaction or a series of related transactions where the aggregate amount of the fair market value of all assets of the Borrower and its Subsidiaries sold, leased, assigned, transferred or otherwise disposed of in such transaction or transactions (as such fair market value is determined by the Board of Directors of the Borrower at the time of such transaction or transactions) does not exceed 15% of the Borrower’s Consolidated Tangible Assets, and the consideration received by the Borrower or any of its Subsidiaries in each such transaction shall constitute fair market value, or (ii) in connection with a transaction permitted by Section 6.02 or Section 6.04.</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000"/>
          </w:cols>
          <w:pgMar w:left="440" w:top="270" w:right="459" w:bottom="1440" w:gutter="0" w:footer="0" w:header="0"/>
        </w:sectPr>
      </w:pPr>
    </w:p>
    <w:bookmarkStart w:id="135" w:name="page136"/>
    <w:bookmarkEnd w:id="135"/>
    <w:p>
      <w:pPr>
        <w:ind w:left="4"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6.04. </w:t>
      </w:r>
      <w:r>
        <w:rPr>
          <w:rFonts w:ascii="Times New Roman" w:cs="Times New Roman" w:eastAsia="Times New Roman" w:hAnsi="Times New Roman"/>
          <w:sz w:val="18"/>
          <w:szCs w:val="18"/>
          <w:u w:val="single" w:color="auto"/>
          <w:color w:val="auto"/>
        </w:rPr>
        <w:t>Securitization Facilities</w:t>
      </w:r>
      <w:r>
        <w:rPr>
          <w:rFonts w:ascii="Times New Roman" w:cs="Times New Roman" w:eastAsia="Times New Roman" w:hAnsi="Times New Roman"/>
          <w:sz w:val="18"/>
          <w:szCs w:val="18"/>
          <w:color w:val="auto"/>
        </w:rPr>
        <w:t>. At any time sell, assign or otherwise dispose of all or any material portion of the Borrower’s or any Subsidiary’s accounts receivable, lease receivables or other rights to receive payment or income (any of the foregoing being a “</w:t>
      </w:r>
      <w:r>
        <w:rPr>
          <w:rFonts w:ascii="Times New Roman" w:cs="Times New Roman" w:eastAsia="Times New Roman" w:hAnsi="Times New Roman"/>
          <w:sz w:val="18"/>
          <w:szCs w:val="18"/>
          <w:u w:val="single" w:color="auto"/>
          <w:color w:val="auto"/>
        </w:rPr>
        <w:t>Receivable</w:t>
      </w:r>
      <w:r>
        <w:rPr>
          <w:rFonts w:ascii="Times New Roman" w:cs="Times New Roman" w:eastAsia="Times New Roman" w:hAnsi="Times New Roman"/>
          <w:sz w:val="18"/>
          <w:szCs w:val="18"/>
          <w:color w:val="auto"/>
        </w:rPr>
        <w:t>”); provided that notwithstanding anything contained in Section 5.02 to the contrary, the Borrower or any of its Subsidiaries may enter into one or more agreements contemplating the sale, assignment or other transfer of its Receivables, whether constituting a “true sale” or secured financing for accounting, tax or any other purpose (each, a “</w:t>
      </w:r>
      <w:r>
        <w:rPr>
          <w:rFonts w:ascii="Times New Roman" w:cs="Times New Roman" w:eastAsia="Times New Roman" w:hAnsi="Times New Roman"/>
          <w:sz w:val="18"/>
          <w:szCs w:val="18"/>
          <w:u w:val="single" w:color="auto"/>
          <w:color w:val="auto"/>
        </w:rPr>
        <w:t>Receivables Purchase Agreement</w:t>
      </w:r>
      <w:r>
        <w:rPr>
          <w:rFonts w:ascii="Times New Roman" w:cs="Times New Roman" w:eastAsia="Times New Roman" w:hAnsi="Times New Roman"/>
          <w:sz w:val="18"/>
          <w:szCs w:val="18"/>
          <w:color w:val="auto"/>
        </w:rPr>
        <w:t>”), so long as (i) the aggregate outstanding investment or claims held at any time by purchasers, assignees or other transferees of (or of interests in) Receivables under Receivables Purchase Agreements shall not exceed an amount equal to $700,000,000 at any time outstanding and (ii) each sale, assignment or other transfer effected under or in connection with a Receivables Purchase Agreement shall be effected on a non-recourse or limited recourse basis.</w:t>
      </w:r>
    </w:p>
    <w:p>
      <w:pPr>
        <w:spacing w:after="0" w:line="192" w:lineRule="exact"/>
        <w:rPr>
          <w:sz w:val="20"/>
          <w:szCs w:val="20"/>
          <w:color w:val="auto"/>
        </w:rPr>
      </w:pPr>
    </w:p>
    <w:p>
      <w:pPr>
        <w:ind w:left="4" w:right="2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Accounting Changes</w:t>
      </w:r>
      <w:r>
        <w:rPr>
          <w:rFonts w:ascii="Times New Roman" w:cs="Times New Roman" w:eastAsia="Times New Roman" w:hAnsi="Times New Roman"/>
          <w:sz w:val="18"/>
          <w:szCs w:val="18"/>
          <w:color w:val="auto"/>
        </w:rPr>
        <w:t>. Make or permit, or permit any of its Consolidated Subsidiaries to make or permit, any change in accounting policies or reporting practices, except as required or permitted by generally accepted accounting principles.</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Subsidiary Debt</w:t>
      </w:r>
      <w:r>
        <w:rPr>
          <w:rFonts w:ascii="Times New Roman" w:cs="Times New Roman" w:eastAsia="Times New Roman" w:hAnsi="Times New Roman"/>
          <w:sz w:val="18"/>
          <w:szCs w:val="18"/>
          <w:color w:val="auto"/>
        </w:rPr>
        <w:t>. Permit any of its Subsidiaries to create or suffer to exist, any Debt other than:</w:t>
      </w:r>
    </w:p>
    <w:p>
      <w:pPr>
        <w:spacing w:after="0" w:line="117" w:lineRule="exact"/>
        <w:rPr>
          <w:sz w:val="20"/>
          <w:szCs w:val="20"/>
          <w:color w:val="auto"/>
        </w:rPr>
      </w:pPr>
    </w:p>
    <w:p>
      <w:pPr>
        <w:ind w:left="1104" w:hanging="241"/>
        <w:spacing w:after="0"/>
        <w:tabs>
          <w:tab w:leader="none" w:pos="1104"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owed to the Borrower or to a Subsidiary of the Borrower;</w:t>
      </w:r>
    </w:p>
    <w:p>
      <w:pPr>
        <w:spacing w:after="0" w:line="117" w:lineRule="exact"/>
        <w:rPr>
          <w:rFonts w:ascii="Times New Roman" w:cs="Times New Roman" w:eastAsia="Times New Roman" w:hAnsi="Times New Roman"/>
          <w:sz w:val="18"/>
          <w:szCs w:val="18"/>
          <w:color w:val="auto"/>
        </w:rPr>
      </w:pPr>
    </w:p>
    <w:p>
      <w:pPr>
        <w:jc w:val="both"/>
        <w:ind w:left="444" w:right="280" w:firstLine="419"/>
        <w:spacing w:after="0" w:line="266" w:lineRule="auto"/>
        <w:tabs>
          <w:tab w:leader="none" w:pos="1122"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Debt aggregating for all of the Borrower’s Subsidiaries not more than (A) $300,000,000 at any one time drawn and outstanding during each fiscal quarter ending March 31, June 30 and December 31 in each calendar year and (B) $600,000,000 at any one time drawn and outstanding during each fiscal quarter ending September 30 in each calendar year;</w:t>
      </w:r>
    </w:p>
    <w:p>
      <w:pPr>
        <w:spacing w:after="0" w:line="67" w:lineRule="exact"/>
        <w:rPr>
          <w:rFonts w:ascii="Times New Roman" w:cs="Times New Roman" w:eastAsia="Times New Roman" w:hAnsi="Times New Roman"/>
          <w:sz w:val="18"/>
          <w:szCs w:val="18"/>
          <w:color w:val="auto"/>
        </w:rPr>
      </w:pPr>
    </w:p>
    <w:p>
      <w:pPr>
        <w:ind w:left="1104" w:hanging="241"/>
        <w:spacing w:after="0"/>
        <w:tabs>
          <w:tab w:leader="none" w:pos="1104"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indorsement of negotiable instruments for deposit or collection or similar transactions in the ordinary course of business; and</w:t>
      </w:r>
    </w:p>
    <w:p>
      <w:pPr>
        <w:spacing w:after="0" w:line="117"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which is, or would be permitted to be, secured by a Lien permitted under Section 6.01.</w:t>
      </w:r>
    </w:p>
    <w:p>
      <w:pPr>
        <w:spacing w:after="0" w:line="225" w:lineRule="exact"/>
        <w:rPr>
          <w:sz w:val="20"/>
          <w:szCs w:val="20"/>
          <w:color w:val="auto"/>
        </w:rPr>
      </w:pPr>
    </w:p>
    <w:p>
      <w:pPr>
        <w:ind w:left="4" w:right="2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u w:val="single" w:color="auto"/>
          <w:color w:val="auto"/>
        </w:rPr>
        <w:t>Change in Nature of Business</w:t>
      </w:r>
      <w:r>
        <w:rPr>
          <w:rFonts w:ascii="Times New Roman" w:cs="Times New Roman" w:eastAsia="Times New Roman" w:hAnsi="Times New Roman"/>
          <w:sz w:val="18"/>
          <w:szCs w:val="18"/>
          <w:color w:val="auto"/>
        </w:rPr>
        <w:t>. Make, or permit any of its Subsidiaries to make, any material change in the nature of its business as carried on at the date hereof.</w:t>
      </w:r>
    </w:p>
    <w:p>
      <w:pPr>
        <w:spacing w:after="0" w:line="162" w:lineRule="exact"/>
        <w:rPr>
          <w:sz w:val="20"/>
          <w:szCs w:val="20"/>
          <w:color w:val="auto"/>
        </w:rPr>
      </w:pPr>
    </w:p>
    <w:p>
      <w:pPr>
        <w:ind w:left="4" w:right="2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u w:val="single" w:color="auto"/>
          <w:color w:val="auto"/>
        </w:rPr>
        <w:t>Financial Covenants</w:t>
      </w:r>
      <w:r>
        <w:rPr>
          <w:rFonts w:ascii="Times New Roman" w:cs="Times New Roman" w:eastAsia="Times New Roman" w:hAnsi="Times New Roman"/>
          <w:sz w:val="18"/>
          <w:szCs w:val="18"/>
          <w:color w:val="auto"/>
        </w:rPr>
        <w:t>. So long as any Loan shall remain unpaid or any Lender shall have any Commitment hereunder or any Letter of Credit shall be outstanding, the Borrower will:</w:t>
      </w:r>
    </w:p>
    <w:p>
      <w:pPr>
        <w:spacing w:after="0" w:line="54" w:lineRule="exact"/>
        <w:rPr>
          <w:sz w:val="20"/>
          <w:szCs w:val="20"/>
          <w:color w:val="auto"/>
        </w:rPr>
      </w:pPr>
    </w:p>
    <w:p>
      <w:pPr>
        <w:ind w:left="4" w:firstLine="987"/>
        <w:spacing w:after="0" w:line="268" w:lineRule="auto"/>
        <w:tabs>
          <w:tab w:leader="none" w:pos="1240" w:val="left"/>
        </w:tabs>
        <w:numPr>
          <w:ilvl w:val="1"/>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Leverage Ratio</w:t>
      </w:r>
      <w:r>
        <w:rPr>
          <w:rFonts w:ascii="Times New Roman" w:cs="Times New Roman" w:eastAsia="Times New Roman" w:hAnsi="Times New Roman"/>
          <w:sz w:val="17"/>
          <w:szCs w:val="17"/>
          <w:color w:val="auto"/>
        </w:rPr>
        <w:t>. Maintain a ratio of Consolidated Adjusted Debt to Consolidated EBITDA (the “</w:t>
      </w:r>
      <w:r>
        <w:rPr>
          <w:rFonts w:ascii="Times New Roman" w:cs="Times New Roman" w:eastAsia="Times New Roman" w:hAnsi="Times New Roman"/>
          <w:sz w:val="17"/>
          <w:szCs w:val="17"/>
          <w:u w:val="single" w:color="auto"/>
          <w:color w:val="auto"/>
        </w:rPr>
        <w:t>Leverage Ratio</w:t>
      </w:r>
      <w:r>
        <w:rPr>
          <w:rFonts w:ascii="Times New Roman" w:cs="Times New Roman" w:eastAsia="Times New Roman" w:hAnsi="Times New Roman"/>
          <w:sz w:val="17"/>
          <w:szCs w:val="17"/>
          <w:color w:val="auto"/>
        </w:rPr>
        <w:t xml:space="preserve">”) as of the end of each fiscal quarter, in respect of the four-quarter period then ended, of not greater than 3.50 to 1.00;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(x) the Borrower may, by written notice to the Administrative Agent for distribution to the Lenders and not more than twice during the term of this Agreement, elect to increase the maximum Leverage Ratio to 4.00 to 1.00 for a period of four (4) consecutive fiscal quarters in connection with an acquisition that involves the payment of consideration by the Borrower and its Subsidiaries in excess of $200,000,000 occurring during the first of such four fiscal quarters (each such period, an “</w:t>
      </w:r>
      <w:r>
        <w:rPr>
          <w:rFonts w:ascii="Times New Roman" w:cs="Times New Roman" w:eastAsia="Times New Roman" w:hAnsi="Times New Roman"/>
          <w:sz w:val="17"/>
          <w:szCs w:val="17"/>
          <w:u w:val="single" w:color="auto"/>
          <w:color w:val="auto"/>
        </w:rPr>
        <w:t>Adjusted Covenant Period</w:t>
      </w:r>
      <w:r>
        <w:rPr>
          <w:rFonts w:ascii="Times New Roman" w:cs="Times New Roman" w:eastAsia="Times New Roman" w:hAnsi="Times New Roman"/>
          <w:sz w:val="17"/>
          <w:szCs w:val="17"/>
          <w:color w:val="auto"/>
        </w:rPr>
        <w:t>”) and (y) notwithstanding the foregoing clause (x), the Borrower may not elect an Adjusted Covenant Period for at least two</w:t>
      </w:r>
    </w:p>
    <w:p>
      <w:pPr>
        <w:spacing w:after="0" w:line="4" w:lineRule="exact"/>
        <w:rPr>
          <w:rFonts w:ascii="Times New Roman" w:cs="Times New Roman" w:eastAsia="Times New Roman" w:hAnsi="Times New Roman"/>
          <w:sz w:val="17"/>
          <w:szCs w:val="17"/>
          <w:color w:val="auto"/>
        </w:rPr>
      </w:pPr>
    </w:p>
    <w:p>
      <w:pPr>
        <w:ind w:left="4" w:right="420" w:hanging="4"/>
        <w:spacing w:after="0" w:line="260" w:lineRule="auto"/>
        <w:tabs>
          <w:tab w:leader="none" w:pos="259"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fiscal quarters following the end of an Adjusted Covenant Period before a new Adjusted Covenant Period is available again pursuant to the preceding clause (x) for a new period of four (4) consecutive fiscal quarters.</w:t>
      </w:r>
    </w:p>
    <w:p>
      <w:pPr>
        <w:spacing w:after="0" w:line="11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0984"/>
          </w:cols>
          <w:pgMar w:left="436" w:top="270" w:right="479" w:bottom="1440" w:gutter="0" w:footer="0" w:header="0"/>
        </w:sectPr>
      </w:pPr>
    </w:p>
    <w:bookmarkStart w:id="136" w:name="page137"/>
    <w:bookmarkEnd w:id="136"/>
    <w:p>
      <w:pPr>
        <w:jc w:val="both"/>
        <w:ind w:right="280" w:firstLine="987"/>
        <w:spacing w:after="0" w:line="266" w:lineRule="auto"/>
        <w:tabs>
          <w:tab w:leader="none" w:pos="1246"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Fixed Charge Coverage Ratio</w:t>
      </w:r>
      <w:r>
        <w:rPr>
          <w:rFonts w:ascii="Times New Roman" w:cs="Times New Roman" w:eastAsia="Times New Roman" w:hAnsi="Times New Roman"/>
          <w:sz w:val="18"/>
          <w:szCs w:val="18"/>
          <w:color w:val="auto"/>
        </w:rPr>
        <w:t>. Maintain a ratio of (i) the sum of Consolidated EBITDA and Consolidated Rental Expense to (ii) the sum of Consolidated Interest Expense and Consolidated Rental Expense as of the end of each fiscal quarter, in respect of the four-quarter period then ended, of not less than 1.50 to 1.00.</w:t>
      </w:r>
    </w:p>
    <w:p>
      <w:pPr>
        <w:spacing w:after="0" w:line="176"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u w:val="single" w:color="auto"/>
          <w:color w:val="auto"/>
        </w:rPr>
        <w:t>Outbound Investment Rules</w:t>
      </w:r>
      <w:r>
        <w:rPr>
          <w:rFonts w:ascii="Times New Roman" w:cs="Times New Roman" w:eastAsia="Times New Roman" w:hAnsi="Times New Roman"/>
          <w:sz w:val="18"/>
          <w:szCs w:val="18"/>
          <w:color w:val="auto"/>
        </w:rPr>
        <w:t>. The Borrower will not, and will not permit any of its Subsidiaries to, (a) be or become a “covered foreign person”, as that term is defined in the Outbound Investment Rules, or (b) engage,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the Borrower were a U.S. Person or (iii) any other activity that would cause the Administrative Agent or any Lender to be in violation of the Outbound Investment Rules or cause the Administrative Agent or any Lender to be legally prohibited by the Outbound Investment Rules from performing under this Agreement.</w:t>
      </w:r>
    </w:p>
    <w:p>
      <w:pPr>
        <w:spacing w:after="0" w:line="187"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Restricted Payments</w:t>
      </w:r>
      <w:r>
        <w:rPr>
          <w:rFonts w:ascii="Times New Roman" w:cs="Times New Roman" w:eastAsia="Times New Roman" w:hAnsi="Times New Roman"/>
          <w:sz w:val="18"/>
          <w:szCs w:val="18"/>
          <w:color w:val="auto"/>
        </w:rPr>
        <w:t>. Soley during the Additional Negative Covenant Period, the Borrower will not, and will not permit any of its Subsidiaries to, declare or make, or agree to pay or make, directly or indirectly, any Restricted Payment, except that:</w:t>
      </w:r>
    </w:p>
    <w:p>
      <w:pPr>
        <w:spacing w:after="0" w:line="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the Borrower may declare and pay dividends with respect to its Equity Interests payable solely in additional shares of its common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w:t>
      </w:r>
    </w:p>
    <w:p>
      <w:pPr>
        <w:spacing w:after="0" w:line="207" w:lineRule="exact"/>
        <w:rPr>
          <w:sz w:val="20"/>
          <w:szCs w:val="20"/>
          <w:color w:val="auto"/>
        </w:rPr>
      </w:pPr>
    </w:p>
    <w:p>
      <w:pPr>
        <w:ind w:left="1240" w:hanging="253"/>
        <w:spacing w:after="0"/>
        <w:tabs>
          <w:tab w:leader="none" w:pos="124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Subsidiaries may declare and pay dividends ratably with respect to their Equity Interests;</w:t>
      </w:r>
    </w:p>
    <w:p>
      <w:pPr>
        <w:spacing w:after="0" w:line="225" w:lineRule="exact"/>
        <w:rPr>
          <w:rFonts w:ascii="Times New Roman" w:cs="Times New Roman" w:eastAsia="Times New Roman" w:hAnsi="Times New Roman"/>
          <w:sz w:val="18"/>
          <w:szCs w:val="18"/>
          <w:color w:val="auto"/>
        </w:rPr>
      </w:pPr>
    </w:p>
    <w:p>
      <w:pPr>
        <w:ind w:firstLine="987"/>
        <w:spacing w:after="0" w:line="282" w:lineRule="auto"/>
        <w:tabs>
          <w:tab w:leader="none" w:pos="1236"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make Restricted Payments pursuant to and in accordance with equity incentive plans or awards or other benefit plans or awards for directors, management or employees of the Borrower and its Subsidiaries;</w:t>
      </w:r>
    </w:p>
    <w:p>
      <w:pPr>
        <w:spacing w:after="0" w:line="161" w:lineRule="exact"/>
        <w:rPr>
          <w:rFonts w:ascii="Times New Roman" w:cs="Times New Roman" w:eastAsia="Times New Roman" w:hAnsi="Times New Roman"/>
          <w:sz w:val="18"/>
          <w:szCs w:val="18"/>
          <w:color w:val="auto"/>
        </w:rPr>
      </w:pPr>
    </w:p>
    <w:p>
      <w:pPr>
        <w:ind w:right="60" w:firstLine="987"/>
        <w:spacing w:after="0" w:line="312" w:lineRule="auto"/>
        <w:tabs>
          <w:tab w:leader="none" w:pos="1246" w:val="left"/>
        </w:tabs>
        <w:numPr>
          <w:ilvl w:val="0"/>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Borrower may declare and pay during each of the Borrower’s 2026 fiscal year and 2027 fiscal year its regularly scheduled cash dividends in respect of its common stock to its stockholders in an aggregate amount not to exceed $67,000,000 in each such fiscal year of the Borrower;</w:t>
      </w:r>
    </w:p>
    <w:p>
      <w:pPr>
        <w:spacing w:after="0" w:line="139" w:lineRule="exact"/>
        <w:rPr>
          <w:rFonts w:ascii="Times New Roman" w:cs="Times New Roman" w:eastAsia="Times New Roman" w:hAnsi="Times New Roman"/>
          <w:sz w:val="17"/>
          <w:szCs w:val="17"/>
          <w:color w:val="auto"/>
        </w:rPr>
      </w:pPr>
    </w:p>
    <w:p>
      <w:pPr>
        <w:ind w:right="140" w:firstLine="987"/>
        <w:spacing w:after="0" w:line="261" w:lineRule="auto"/>
        <w:tabs>
          <w:tab w:leader="none" w:pos="1236"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its Subsidiaries may make any other Restricted Payment so long as no Default or Event of Default has occurred and is continuing prior to making such Restricted Payment or would arise after giving effect (including giving effect on a pro forma basis) thereto and the aggregate amount of all such Restricted Payments made in reliance on this clause (e) during any fiscal year of the Borrower does not exceed $20,000,000; and</w:t>
      </w:r>
    </w:p>
    <w:p>
      <w:pPr>
        <w:spacing w:after="0" w:line="179" w:lineRule="exact"/>
        <w:rPr>
          <w:rFonts w:ascii="Times New Roman" w:cs="Times New Roman" w:eastAsia="Times New Roman" w:hAnsi="Times New Roman"/>
          <w:sz w:val="18"/>
          <w:szCs w:val="18"/>
          <w:color w:val="auto"/>
        </w:rPr>
      </w:pPr>
    </w:p>
    <w:p>
      <w:pPr>
        <w:ind w:right="240" w:firstLine="987"/>
        <w:spacing w:after="0" w:line="266" w:lineRule="auto"/>
        <w:tabs>
          <w:tab w:leader="none" w:pos="1216"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its Subsidiaries may make any other Restricted Payment so long as, at the time of the making of such Restricted Payment and immediately after giving effect (including giving effect on a pro forma basis) thereto, (i) no Event of Default shall have occurred and be continuing and (ii) the Leverage Ratio is less than or equal to 3.00 to 1.00.</w:t>
      </w:r>
    </w:p>
    <w:p>
      <w:pPr>
        <w:spacing w:after="0" w:line="17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For the avoidance of doubt, from and after January 1, 2028, this Section 6.10 shall no longer be in effect under this Agreement and this Section 6.10 shall not limit the Borrower’s ability to make Restricted Payments during that time period.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000"/>
          </w:cols>
          <w:pgMar w:left="440" w:top="270" w:right="459" w:bottom="1440" w:gutter="0" w:footer="0" w:header="0"/>
        </w:sectPr>
      </w:pPr>
    </w:p>
    <w:bookmarkStart w:id="137" w:name="page138"/>
    <w:bookmarkEnd w:id="137"/>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Events of Default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If any of the following events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shall occur and be continuing:</w:t>
      </w:r>
    </w:p>
    <w:p>
      <w:pPr>
        <w:spacing w:after="0" w:line="117" w:lineRule="exact"/>
        <w:rPr>
          <w:sz w:val="20"/>
          <w:szCs w:val="20"/>
          <w:color w:val="auto"/>
        </w:rPr>
      </w:pPr>
    </w:p>
    <w:p>
      <w:pPr>
        <w:jc w:val="both"/>
        <w:ind w:right="20" w:firstLine="987"/>
        <w:spacing w:after="0" w:line="266" w:lineRule="auto"/>
        <w:tabs>
          <w:tab w:leader="none" w:pos="1236"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fail to pay any principal of any Loan or any reimbursement obligation in respect of any LC Disbursement when and as the same shall become due and payable (subject to Section 2.06(e)) and in the Agreed Currency required hereunder, whether at the due date thereof or at a date fixed for prepayment thereof or otherwise; or</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fail to pay any interest on any Loan or any fee or any other amount (other than an amount referred to in</w:t>
      </w:r>
    </w:p>
    <w:p>
      <w:pPr>
        <w:spacing w:after="0" w:line="27"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18"/>
          <w:szCs w:val="18"/>
          <w:color w:val="auto"/>
        </w:rPr>
        <w:t>Section 7.01(a)) payable under this Agreement or any other Loan Document, when and as the same shall become due and payable and in the Agreed Currency required hereunder, and such failure shall continue unremedied for a period of three (3) Business Days; or</w:t>
      </w:r>
    </w:p>
    <w:p>
      <w:pPr>
        <w:spacing w:after="0" w:line="181" w:lineRule="exact"/>
        <w:rPr>
          <w:sz w:val="20"/>
          <w:szCs w:val="20"/>
          <w:color w:val="auto"/>
        </w:rPr>
      </w:pPr>
    </w:p>
    <w:p>
      <w:pPr>
        <w:ind w:right="120" w:firstLine="987"/>
        <w:spacing w:after="0" w:line="282" w:lineRule="auto"/>
        <w:tabs>
          <w:tab w:leader="none" w:pos="123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or warranty made or deemed made by the Borrower herein or by the Borrower (or any of its officers) in connection with this Agreement shall prove to have been incorrect in any material respect when made or deemed made; or</w:t>
      </w:r>
    </w:p>
    <w:p>
      <w:pPr>
        <w:spacing w:after="0" w:line="161" w:lineRule="exact"/>
        <w:rPr>
          <w:rFonts w:ascii="Times New Roman" w:cs="Times New Roman" w:eastAsia="Times New Roman" w:hAnsi="Times New Roman"/>
          <w:sz w:val="18"/>
          <w:szCs w:val="18"/>
          <w:color w:val="auto"/>
        </w:rPr>
      </w:pPr>
    </w:p>
    <w:p>
      <w:pPr>
        <w:ind w:right="20" w:firstLine="987"/>
        <w:spacing w:after="0" w:line="261" w:lineRule="auto"/>
        <w:tabs>
          <w:tab w:leader="none" w:pos="124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Borrower shall fail to perform or observe any term, covenant or agreement contained in Sections 5.04, 5.05, 5.08 or 5.09(c) or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or (ii) the Borrower shall fail to perform or observe any other term, covenant or agreement contained in this Agreement on its part to be performed or observed if such failure shall remain unremedied for 30 days after written notice thereof shall have been given to the Borrower by the Administrative Agent or any Lender; or</w:t>
      </w:r>
    </w:p>
    <w:p>
      <w:pPr>
        <w:spacing w:after="0" w:line="179" w:lineRule="exact"/>
        <w:rPr>
          <w:rFonts w:ascii="Times New Roman" w:cs="Times New Roman" w:eastAsia="Times New Roman" w:hAnsi="Times New Roman"/>
          <w:sz w:val="18"/>
          <w:szCs w:val="18"/>
          <w:color w:val="auto"/>
        </w:rPr>
      </w:pPr>
    </w:p>
    <w:p>
      <w:pPr>
        <w:ind w:firstLine="987"/>
        <w:spacing w:after="0" w:line="253" w:lineRule="auto"/>
        <w:tabs>
          <w:tab w:leader="none" w:pos="123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or any of its Subsidiaries shall fail to pay any principal of or premium or interest on any Debt that is outstanding in a principal or notional amount of at least $50,000,000 in the aggregate (but excluding Debt outstanding hereunder) of the Borrower or such Subsidiary (as the case may be), when the same becomes due and payable (whether by scheduled maturity, required prepayment, acceleration, demand or otherwise), and such failure shall continue after the applicable grace period, if any, specified in the agreement or instrument relating to such Debt; or any other event shall occur or condition shall exist under any agreement or instrument relating to any such Debt and shall continue after the applicable grace period, if any, specified in such agreement or instrument, if the effect of such event or condition is to accelerate, or to permit the acceleration of, the maturity of such Debt; or any such Debt shall be declared to be due and payable, or required to be prepaid or redeemed (other than by a regularly scheduled required prepayment or redemption), purchased or defeased, or an offer to prepay, redeem, purchase or defease such Debt shall be required to be made, in each case prior to the stated maturity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for purposes of this Section 7.01(e), in the case of (x) Debt of any Person (other than the Borrower or one of its Subsidiaries) which the Borrower or a Subsidiary has guaranteed and (y) Debt of Persons (other than the Borrower or one of its Subsidiaries) the payment of which is secured by a Lien on property of the Borrower or one of its Subsidiaries, such Debt shall be deemed to have not been paid when due or to have been declared to be due and payable only when the Borrower or its Subsidiary, as the case may be, shall have failed to pay when due any amount which it shall be obligated to pay with respect to such Debt; or</w:t>
      </w:r>
    </w:p>
    <w:p>
      <w:pPr>
        <w:spacing w:after="0" w:line="187" w:lineRule="exact"/>
        <w:rPr>
          <w:rFonts w:ascii="Times New Roman" w:cs="Times New Roman" w:eastAsia="Times New Roman" w:hAnsi="Times New Roman"/>
          <w:sz w:val="18"/>
          <w:szCs w:val="18"/>
          <w:color w:val="auto"/>
        </w:rPr>
      </w:pPr>
    </w:p>
    <w:p>
      <w:pPr>
        <w:jc w:val="both"/>
        <w:ind w:right="80" w:firstLine="987"/>
        <w:spacing w:after="0" w:line="266" w:lineRule="auto"/>
        <w:tabs>
          <w:tab w:leader="none" w:pos="121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or any of its Material Subsidiaries shall generally not pay its debts as such debts become due, or shall admit in writing its inability to pay its debts generally, or shall make a general assignment for the benefit of creditors; or any proceeding shall be instituted by or against the Borrower or any of its Material Subsidiaries seeking to adjudicate it a bankrupt or insolvent, or seeking liquidation,</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000"/>
          </w:cols>
          <w:pgMar w:left="440" w:top="270" w:right="459" w:bottom="1440" w:gutter="0" w:footer="0" w:header="0"/>
        </w:sectPr>
      </w:pPr>
    </w:p>
    <w:bookmarkStart w:id="138" w:name="page139"/>
    <w:bookmarkEnd w:id="138"/>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winding up, reorganization, arrangement, adjustment, protection, relief, or composition of it or its debts under any law relating to bankruptcy, insolvency or reorganization or relief of debtors, or seeking the entry of an order for relief or the appointment of a receiver, trustee, custodian or other similar official for it or for any substantial part of its property and, in the case of any such proceeding instituted against it (but not instituted by it), either such proceeding shall remain undismissed or unstayed for a period of 30 days, or any of the actions sought in such proceeding (including, without limitation, the entry of an order for relief against, or the appointment of a receiver, trustee, custodian or other similar official for, it or for any substantial part of its property) shall occur; or the Borrower or any of its Material Subsidiaries shall take any corporate action to authorize any of the actions set forth above in this Section 7.01(f); or</w:t>
      </w:r>
    </w:p>
    <w:p>
      <w:pPr>
        <w:spacing w:after="0" w:line="189" w:lineRule="exact"/>
        <w:rPr>
          <w:sz w:val="20"/>
          <w:szCs w:val="20"/>
          <w:color w:val="auto"/>
        </w:rPr>
      </w:pPr>
    </w:p>
    <w:p>
      <w:pPr>
        <w:jc w:val="both"/>
        <w:ind w:right="160" w:firstLine="987"/>
        <w:spacing w:after="0" w:line="261" w:lineRule="auto"/>
        <w:tabs>
          <w:tab w:leader="none" w:pos="1246"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judgments or orders for the payment of money in excess of $50,000,000 in the aggregate shall be rendered against and remain unpaid by the Borrower or any of its Subsidiaries and enforcement proceedings shall have been commenced by any creditor upon such judgment or order and there shall be any period of 10 consecutive days during which a stay of enforcement of such judgment or order, by reason of a pending appeal or otherwise, shall not be in effect; or</w:t>
      </w:r>
    </w:p>
    <w:p>
      <w:pPr>
        <w:spacing w:after="0" w:line="179" w:lineRule="exact"/>
        <w:rPr>
          <w:rFonts w:ascii="Times New Roman" w:cs="Times New Roman" w:eastAsia="Times New Roman" w:hAnsi="Times New Roman"/>
          <w:sz w:val="18"/>
          <w:szCs w:val="18"/>
          <w:color w:val="auto"/>
        </w:rPr>
      </w:pPr>
    </w:p>
    <w:p>
      <w:pPr>
        <w:ind w:right="200" w:firstLine="987"/>
        <w:spacing w:after="0" w:line="261" w:lineRule="auto"/>
        <w:tabs>
          <w:tab w:leader="none" w:pos="1246"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non-monetary judgment or order shall be rendered against the Borrower or any of its Subsidiaries that is reasonably expected to have a Material Adverse Effect, and enforcement proceedings shall have been commenced by any Person upon such judgment or order and there shall be any period of 10 consecutive days during which a stay of enforcement of such judgment or order, by reason of a pending appeal or otherwise, shall not be in effect; or</w:t>
      </w:r>
    </w:p>
    <w:p>
      <w:pPr>
        <w:spacing w:after="0" w:line="179" w:lineRule="exact"/>
        <w:rPr>
          <w:rFonts w:ascii="Times New Roman" w:cs="Times New Roman" w:eastAsia="Times New Roman" w:hAnsi="Times New Roman"/>
          <w:sz w:val="18"/>
          <w:szCs w:val="18"/>
          <w:color w:val="auto"/>
        </w:rPr>
      </w:pPr>
    </w:p>
    <w:p>
      <w:pPr>
        <w:ind w:firstLine="987"/>
        <w:spacing w:after="0" w:line="254" w:lineRule="auto"/>
        <w:tabs>
          <w:tab w:leader="none" w:pos="1206"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Person or two or more Persons acting in concert shall have acquired beneficial ownership (within the meaning of Rule 13d-3 of the SEC under the Securities Exchange Act of 1934), directly or indirectly, of Voting Stock of the Borrower (or other securities convertible into such Voting Stock) representing 25% or more of the combined voting power of all Voting Stock of the Borrower; or (ii) during any period of up to 24 consecutive months, commencing before or after the date of this Agreement, individuals who at the beginning of such 24-month period were directors of the Borrower shall cease for any reason to constitute a majority of the board of directors of the Borrower (except to the extent that individuals who at the beginning of such 24-month period were replaced by individuals (x) elected by 66-2/3% of the remaining members of the board of directors of the Borrower or (y) nominated or approved for election by a majority of the remaining members of the board of directors of the Borrower and thereafter elected as directors by the shareholders of the Borrower); or</w:t>
      </w:r>
    </w:p>
    <w:p>
      <w:pPr>
        <w:spacing w:after="0" w:line="191" w:lineRule="exact"/>
        <w:rPr>
          <w:rFonts w:ascii="Times New Roman" w:cs="Times New Roman" w:eastAsia="Times New Roman" w:hAnsi="Times New Roman"/>
          <w:sz w:val="18"/>
          <w:szCs w:val="18"/>
          <w:color w:val="auto"/>
        </w:rPr>
      </w:pPr>
    </w:p>
    <w:p>
      <w:pPr>
        <w:ind w:right="100" w:firstLine="987"/>
        <w:spacing w:after="0" w:line="266" w:lineRule="auto"/>
        <w:tabs>
          <w:tab w:leader="none" w:pos="1206"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or any of its ERISA Affiliates shall incur, or shall be reasonably likely to incur liability in excess of $50,000,000 in the aggregate as a result of one or more of the following: (i) the occurrence of any ERISA Event; (ii) the partial or complete withdrawal of the Borrower or any of its ERISA Affiliates from a Multiemployer Plan; or (iii) the reorganization or termination of a Multiemployer Plan.</w:t>
      </w:r>
    </w:p>
    <w:p>
      <w:pPr>
        <w:spacing w:after="0" w:line="176"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Remedies Upon an Event of Default</w:t>
      </w:r>
      <w:r>
        <w:rPr>
          <w:rFonts w:ascii="Times New Roman" w:cs="Times New Roman" w:eastAsia="Times New Roman" w:hAnsi="Times New Roman"/>
          <w:sz w:val="18"/>
          <w:szCs w:val="18"/>
          <w:color w:val="auto"/>
        </w:rPr>
        <w:t>. If an Event of Default occurs (other than an event with respect to the Borrower described in Section 7.01(f)), and at any time thereafter during the continuance of such Event of Default, the Administrative Agent may with the consent of the Required Lenders, and shall at the request of the Required Lenders, by notice to the Borrower, take any or all of the following actions, at the same or different times:</w:t>
      </w:r>
    </w:p>
    <w:p>
      <w:pPr>
        <w:spacing w:after="0" w:line="72" w:lineRule="exact"/>
        <w:rPr>
          <w:sz w:val="20"/>
          <w:szCs w:val="20"/>
          <w:color w:val="auto"/>
        </w:rPr>
      </w:pPr>
    </w:p>
    <w:p>
      <w:pPr>
        <w:ind w:left="1240" w:hanging="253"/>
        <w:spacing w:after="0"/>
        <w:tabs>
          <w:tab w:leader="none" w:pos="124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the Commitments, and thereupon the Commitments shall terminate immediately;</w:t>
      </w:r>
    </w:p>
    <w:p>
      <w:pPr>
        <w:spacing w:after="0" w:line="225" w:lineRule="exact"/>
        <w:rPr>
          <w:rFonts w:ascii="Times New Roman" w:cs="Times New Roman" w:eastAsia="Times New Roman" w:hAnsi="Times New Roman"/>
          <w:sz w:val="18"/>
          <w:szCs w:val="18"/>
          <w:color w:val="auto"/>
        </w:rPr>
      </w:pPr>
    </w:p>
    <w:p>
      <w:pPr>
        <w:ind w:firstLine="987"/>
        <w:spacing w:after="0" w:line="261" w:lineRule="auto"/>
        <w:tabs>
          <w:tab w:leader="none" w:pos="1246"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accrued hereunder and under any other Loan Document, shall become due and payable immediately, without presentment, demand, protest or other notice of any kind, all of which are hereby waived by the Borrower;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000"/>
          </w:cols>
          <w:pgMar w:left="440" w:top="270" w:right="459" w:bottom="1440" w:gutter="0" w:footer="0" w:header="0"/>
        </w:sectPr>
      </w:pPr>
    </w:p>
    <w:bookmarkStart w:id="139" w:name="page140"/>
    <w:bookmarkEnd w:id="139"/>
    <w:p>
      <w:pPr>
        <w:ind w:left="1240" w:hanging="253"/>
        <w:spacing w:after="0"/>
        <w:tabs>
          <w:tab w:leader="none" w:pos="124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require that the Borrower provide cash collateral as required in Section 2.06(j); and</w:t>
      </w:r>
    </w:p>
    <w:p>
      <w:pPr>
        <w:spacing w:after="0" w:line="225" w:lineRule="exact"/>
        <w:rPr>
          <w:rFonts w:ascii="Times New Roman" w:cs="Times New Roman" w:eastAsia="Times New Roman" w:hAnsi="Times New Roman"/>
          <w:sz w:val="18"/>
          <w:szCs w:val="18"/>
          <w:color w:val="auto"/>
        </w:rPr>
      </w:pPr>
    </w:p>
    <w:p>
      <w:pPr>
        <w:ind w:firstLine="987"/>
        <w:spacing w:after="0" w:line="282" w:lineRule="auto"/>
        <w:tabs>
          <w:tab w:leader="none" w:pos="1246"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on behalf of itself, the Lenders and the Issuing Banks all rights and remedies available to it, the Lenders and the Issuing Banks under the Loan Documents and applicable law.</w:t>
      </w:r>
    </w:p>
    <w:p>
      <w:pPr>
        <w:spacing w:after="0" w:line="162"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If an Event of Default described in Section 7.01(f) occurs with respect to the Borrower, the Commitments shall automatically terminate and the principal of the Loans then outstanding and cash collateral for the LC Exposure, together with accrued interest thereon and all fees and other Obligations accrued hereunder and under any other Loan Document, shall automatically become due and payable, and the obligation of the Borrower to cash collateralize the LC Exposure as provided in clause (c) above shall automatically become effective, in each case, without presentment, demand, protest or other notice of any kind, all of which are hereby waived by the Borrower.</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VIII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The Administrative Agent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Authorization and Action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87"/>
        <w:spacing w:after="0" w:line="255" w:lineRule="auto"/>
        <w:tabs>
          <w:tab w:leader="none" w:pos="1236"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and each Issuing Bank hereby irrevocably appoints the entity named as Administrative Agent in the heading of this Agreement and its successors and assigns to serve as the administrative agent under the Loan Documents and each Lender and each Issuing Bank authorizes the Administrative Agent to take such actions as agent on its behalf and to exercise such powers under this Agreement and the other Loan Documents as are delegated to the Administrative Agent under such agreements and to exercise such powers as are reasonably incidental thereto. Without limiting the foregoing, each Lender and each Issuing Bank hereby authorizes the Administrative Agent to execute and deliver, and to perform its obligations under, each of the Loan Documents to which the Administrative Agent is a party, and to exercise all rights, powers and remedies that the Administrative Agent may have under such Loan Documents.</w:t>
      </w:r>
    </w:p>
    <w:p>
      <w:pPr>
        <w:spacing w:after="0" w:line="188" w:lineRule="exact"/>
        <w:rPr>
          <w:rFonts w:ascii="Times New Roman" w:cs="Times New Roman" w:eastAsia="Times New Roman" w:hAnsi="Times New Roman"/>
          <w:sz w:val="18"/>
          <w:szCs w:val="18"/>
          <w:color w:val="auto"/>
        </w:rPr>
      </w:pPr>
    </w:p>
    <w:p>
      <w:pPr>
        <w:ind w:right="20" w:firstLine="987"/>
        <w:spacing w:after="0" w:line="253" w:lineRule="auto"/>
        <w:tabs>
          <w:tab w:leader="none" w:pos="1246"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to any matters not expressly provided for herein and in the other Loan Documents (including enforcement or collection), the Administrative Agent shall not be required to exercise any discretion or take any action, but shall be required to act or to refrain from acting (and shall be fully protected in so acting or refraining from acting) upon the written instructions of the Required Lenders (or such other number or percentage of the Lenders as shall be necessary, pursuant to the terms in the Loan Documents), and, unless and until revoked in writing, such instructions shall be binding upon each Lender and each Issuing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the Administrative Agent shall not be required to take any action that (i) the Administrative Agent in good faith believes exposes it to liability unless the Administrative Agent receives an indemnification and is exculpated in a manner satisfactory to it from the Lenders and the Issuing Banks with respect to such action or (ii) is contrary to this Agreement or any other Loan Document or applicable law, including any action that may be in violation of the automatic stay under any requirement of law relating to bankruptcy, insolvency or reorganization or relief of debtors or that may effect a forfeiture, modification or termination of property of a Defaulting Lender in violation of any requirement of law relating to bankruptcy, insolvency or reorganization or relief of debtors;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Administrative Agent may seek clarification or direction from the Required Lenders prior to the exercise of any such instructed action and may refrain from acting until such clarification or direction has been provided. Except as expressly set forth in the Loan Documents, the Administrative Agent shall</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0980"/>
          </w:cols>
          <w:pgMar w:left="440" w:top="270" w:right="479" w:bottom="1440" w:gutter="0" w:footer="0" w:header="0"/>
        </w:sectPr>
      </w:pPr>
    </w:p>
    <w:bookmarkStart w:id="140" w:name="page141"/>
    <w:bookmarkEnd w:id="140"/>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 have any duty to disclose, and shall not be liable for the failure to disclose, any information relating to the Borrower, any Subsidiary or any Affiliate of any of the foregoing that is communicated to or obtained by the Person serving as Administrative Agent or any of its Affiliates in any capacity. Nothing in this Agreement shall require the Administrative Agent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183" w:lineRule="exact"/>
        <w:rPr>
          <w:sz w:val="20"/>
          <w:szCs w:val="20"/>
          <w:color w:val="auto"/>
        </w:rPr>
      </w:pPr>
    </w:p>
    <w:p>
      <w:pPr>
        <w:ind w:right="100" w:firstLine="987"/>
        <w:spacing w:after="0" w:line="258" w:lineRule="auto"/>
        <w:tabs>
          <w:tab w:leader="none" w:pos="1236"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performing its functions and duties hereunder and under the other Loan Documents, the Administrative Agent is acting solely on behalf of the Lenders and the Issuing Banks (except in limited circumstances expressly provided for herein relating to the maintenance of the Register), and its duties are entirely mechanical and administrative in nature. The motivations of the Administrative Agent, each Co-Syndication Agent and each Co-Documentation Agent are commercial in nature and not to invest in the general performance or operations of the Borrower. Without limiting the generality of the foregoing:</w:t>
      </w:r>
    </w:p>
    <w:p>
      <w:pPr>
        <w:spacing w:after="0" w:line="75" w:lineRule="exact"/>
        <w:rPr>
          <w:rFonts w:ascii="Times New Roman" w:cs="Times New Roman" w:eastAsia="Times New Roman" w:hAnsi="Times New Roman"/>
          <w:sz w:val="18"/>
          <w:szCs w:val="18"/>
          <w:color w:val="auto"/>
        </w:rPr>
      </w:pPr>
    </w:p>
    <w:p>
      <w:pPr>
        <w:ind w:left="440" w:right="60" w:firstLine="948"/>
        <w:spacing w:after="0" w:line="272" w:lineRule="auto"/>
        <w:tabs>
          <w:tab w:leader="none" w:pos="1607" w:val="left"/>
        </w:tabs>
        <w:numPr>
          <w:ilvl w:val="1"/>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Administrative Agent does not assume and shall not be deemed to have assumed any obligation or duty or any other relationship as the agent, fiduciary or trustee of or for any Lender, any Issuing Bank or any other holder of Obligations other than as expressly set forth herein and in the other Loan Documents, regardless of whether a Default or an Event of Default has occurred and is continuing (and it is understood and agreed that the use of the term “agent” (or any similar term) herein or in any other Loan Document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additionally, each Lender agrees that it will not assert any claim against the Administrative Agent based on an alleged breach of fiduciary duty by the Administrative Agent in connection with this Agreement and/or the transactions contemplated hereby; and</w:t>
      </w:r>
    </w:p>
    <w:p>
      <w:pPr>
        <w:spacing w:after="0" w:line="63" w:lineRule="exact"/>
        <w:rPr>
          <w:rFonts w:ascii="Times New Roman" w:cs="Times New Roman" w:eastAsia="Times New Roman" w:hAnsi="Times New Roman"/>
          <w:sz w:val="17"/>
          <w:szCs w:val="17"/>
          <w:color w:val="auto"/>
        </w:rPr>
      </w:pPr>
    </w:p>
    <w:p>
      <w:pPr>
        <w:ind w:left="440" w:firstLine="948"/>
        <w:spacing w:after="0" w:line="282" w:lineRule="auto"/>
        <w:tabs>
          <w:tab w:leader="none" w:pos="1657"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Agreement or any Loan Document shall require the Administrative Agent to account to any Lender for any sum or the profit element of any sum received by the Administrative Agent for its own account.</w:t>
      </w:r>
    </w:p>
    <w:p>
      <w:pPr>
        <w:spacing w:after="0" w:line="161" w:lineRule="exact"/>
        <w:rPr>
          <w:rFonts w:ascii="Times New Roman" w:cs="Times New Roman" w:eastAsia="Times New Roman" w:hAnsi="Times New Roman"/>
          <w:sz w:val="18"/>
          <w:szCs w:val="18"/>
          <w:color w:val="auto"/>
        </w:rPr>
      </w:pPr>
    </w:p>
    <w:p>
      <w:pPr>
        <w:ind w:right="20" w:firstLine="987"/>
        <w:spacing w:after="0" w:line="255" w:lineRule="auto"/>
        <w:tabs>
          <w:tab w:leader="none" w:pos="1246"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may perform any of its duties and exercise its rights and powers hereunder or under any other Loan Document by or through any one or more sub-agents appointed by the Administrative Agent. The Administrative Agent and any such sub-agent may perform any of their respective duties and exercise their respective rights and powers through their respective Related Parties. The exculpatory provisions of this Article shall apply to any such sub-agent and to the Related Parties of the Administrative Agent and any such sub-agent, and shall apply to their respective activities pursuant to this Agreement. The Administrative Agent shall not be responsible for the negligence or misconduct of any sub-agent except to the extent that a court of competent jurisdiction determines in a final and nonappealable judgment that the Administrative Agent acted with gross negligence or willful misconduct in the selection of such sub-agent.</w:t>
      </w:r>
    </w:p>
    <w:p>
      <w:pPr>
        <w:spacing w:after="0" w:line="188" w:lineRule="exact"/>
        <w:rPr>
          <w:rFonts w:ascii="Times New Roman" w:cs="Times New Roman" w:eastAsia="Times New Roman" w:hAnsi="Times New Roman"/>
          <w:sz w:val="18"/>
          <w:szCs w:val="18"/>
          <w:color w:val="auto"/>
        </w:rPr>
      </w:pPr>
    </w:p>
    <w:p>
      <w:pPr>
        <w:ind w:right="60" w:firstLine="987"/>
        <w:spacing w:after="0" w:line="266" w:lineRule="auto"/>
        <w:tabs>
          <w:tab w:leader="none" w:pos="1236"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any Co-Syndication Agent, any Co-Documentation Agent or any Arranger shall have obligations or duties whatsoever in such capacity under this Agreement or any other Loan Document and shall incur no liability hereunder or thereunder in such capacity, but all such persons shall have the benefit of the indemnities provided for hereunder.</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000"/>
          </w:cols>
          <w:pgMar w:left="440" w:top="270" w:right="459" w:bottom="1440" w:gutter="0" w:footer="0" w:header="0"/>
        </w:sectPr>
      </w:pPr>
    </w:p>
    <w:bookmarkStart w:id="141" w:name="page142"/>
    <w:bookmarkEnd w:id="141"/>
    <w:p>
      <w:pPr>
        <w:ind w:right="20" w:firstLine="987"/>
        <w:spacing w:after="0" w:line="258" w:lineRule="auto"/>
        <w:tabs>
          <w:tab w:leader="none" w:pos="1216"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case of the pendency of any proceeding with respect to the Borrower under any federal, state or foreign bankruptcy, insolvency, receivership or similar law now or hereafter in effect, the Administrative Agent (irrespective of whether the principal of any Loan or any reimbursement obligation in respect of any LC Disbursement shall then be due and payable as herein expressed or by declaration or otherwise and irrespective of whether the Administrative Agent shall have made any demand on the Borrower) shall be entitled and empowered (but not obligated) by intervention in such proceeding or otherwise:</w:t>
      </w:r>
    </w:p>
    <w:p>
      <w:pPr>
        <w:spacing w:after="0" w:line="75" w:lineRule="exact"/>
        <w:rPr>
          <w:rFonts w:ascii="Times New Roman" w:cs="Times New Roman" w:eastAsia="Times New Roman" w:hAnsi="Times New Roman"/>
          <w:sz w:val="18"/>
          <w:szCs w:val="18"/>
          <w:color w:val="auto"/>
        </w:rPr>
      </w:pPr>
    </w:p>
    <w:p>
      <w:pPr>
        <w:ind w:left="440" w:right="120" w:firstLine="948"/>
        <w:spacing w:after="0" w:line="261" w:lineRule="auto"/>
        <w:tabs>
          <w:tab w:leader="none" w:pos="1607"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and prove a claim for the whole amount of the principal and interest owing and unpaid in respect of the Loans, LC Disbursements and all other Obligations that are owing and unpaid and to file such other documents as may be necessary or advisable in order to have the claims of the Lenders, the Issuing Banks and the Administrative Agent (including any claim under Sections 2.12, 2.13, 2.15, 2.17 and 9.03) allowed in such judicial proceeding; and</w:t>
      </w:r>
    </w:p>
    <w:p>
      <w:pPr>
        <w:spacing w:after="0" w:line="71"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collect and receive any monies or other property payable or deliverable on any such claims and to distribute the same;</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and any custodian, receiver, assignee, trustee, liquidator, sequestrator or other similar official in any such proceeding is hereby authorized by each Lender, each Issuing Bank and each other holder of Obligations to make such payments to the Administrative Agent and, in the event that the Administrative Agent shall consent to the making of such payments directly to the Lenders, the Issuing Banks or the other holders of Obligations, to pay to the Administrative Agent any amount due to it, in its capacity as the Administrative Agent, under the Loan Documents (including under</w:t>
      </w:r>
    </w:p>
    <w:p>
      <w:pPr>
        <w:spacing w:after="0" w:line="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Section 9.03). Nothing contained herein shall be deemed to authorize the Administrative Agent to authorize or consent to or accept or adopt on behalf of any Lender or any Issuing Bank any plan of reorganization, arrangement, adjustment or composition affecting the Obligations or the rights of any Lender or any Issuing Bank or to authorize the Administrative Agent to vote in respect of the claim of any Lender or any Issuing Bank in any such proceeding.</w:t>
      </w:r>
    </w:p>
    <w:p>
      <w:pPr>
        <w:spacing w:after="0" w:line="189" w:lineRule="exact"/>
        <w:rPr>
          <w:sz w:val="20"/>
          <w:szCs w:val="20"/>
          <w:color w:val="auto"/>
        </w:rPr>
      </w:pPr>
    </w:p>
    <w:p>
      <w:pPr>
        <w:ind w:right="120" w:firstLine="987"/>
        <w:spacing w:after="0" w:line="258" w:lineRule="auto"/>
        <w:tabs>
          <w:tab w:leader="none" w:pos="1246"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are solely for the benefit of the Administrative Agent, the Lenders and the Issuing Banks, and, except solely to the extent of the Borrower’s rights to consent pursuant to and subject to the conditions set forth in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none of the Borrower or any Subsidiary, or any of their respective Affiliates, shall have any rights as a third party beneficiary under any such provisions. Each holder of the Obligations, whether or not a party hereto, will be deemed, by its acceptance of the benefits of the guarantees of the Obligations provided under the Loan Documents, to have agreed to the provisions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u w:val="single" w:color="auto"/>
          <w:color w:val="auto"/>
        </w:rPr>
        <w:t>Administrative Agent’s Reliance, Limitation of Liability, Etc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3" w:lineRule="auto"/>
        <w:tabs>
          <w:tab w:leader="none" w:pos="1236"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Administrative Agent nor any of its Related Parties shall be (i) liable for any action taken or omitted to be taken by such party, the Administrative Agent or any of its Related Parties under or in connection with this Agreement or the other Loan Documents (x) with the consent of or at the request of the Required Lenders (or such other number or percentage of the Lenders as shall be necessary, or as the Administrative Agent shall believe in good faith to be necessary, under the circumstances as provided in the Loan Documents) or (y) in the absence of its own gross negligence or willful misconduct (such absence to be presumed unless otherwise determined by a court of competent jurisdiction by a final and non-appealable judgment) or (ii) responsible in any manner to any of the Lenders for any recitals, statements, representations or warranties made by the Borrower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(including, for the avoidance of doubt, in connection with the Administrative Agent’s reliance on any Electronic Signature transmitted by telecopy, emailed pdf, or any other electronic means that reproduces an image of an actual executed signature page) or for any failure of the Borrower to perform its obligations hereunder or thereunder.</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0980"/>
          </w:cols>
          <w:pgMar w:left="440" w:top="270" w:right="479" w:bottom="1440" w:gutter="0" w:footer="0" w:header="0"/>
        </w:sectPr>
      </w:pPr>
    </w:p>
    <w:bookmarkStart w:id="142" w:name="page143"/>
    <w:bookmarkEnd w:id="142"/>
    <w:p>
      <w:pPr>
        <w:ind w:left="4" w:firstLine="987"/>
        <w:spacing w:after="0" w:line="269" w:lineRule="auto"/>
        <w:tabs>
          <w:tab w:leader="none" w:pos="1250" w:val="left"/>
        </w:tabs>
        <w:numPr>
          <w:ilvl w:val="1"/>
          <w:numId w:val="1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Administrative Agent shall be deemed not to have knowledge of any (i) notice of any of the events or circumstances set forth or described in Section 5.09(c) unless and until written notice thereof stating that it is a “notice under Section 5.09(c)” in respect of this Agreement and identifying the specific clause under said Section is given to the Administrative Agent by the Borrower or (ii) notice of any Default or Event of Default unless and until written notice thereof (stating that it is a “notice of Default” or a “notice of an Event of Default”) is given to the Administrative Agent by the Borrower, a Lender or an Issuing Bank. Further, the Administrative Agent shall not be responsible for or have any duty to ascertain or inquire into</w:t>
      </w:r>
    </w:p>
    <w:p>
      <w:pPr>
        <w:spacing w:after="0" w:line="2" w:lineRule="exact"/>
        <w:rPr>
          <w:rFonts w:ascii="Times New Roman" w:cs="Times New Roman" w:eastAsia="Times New Roman" w:hAnsi="Times New Roman"/>
          <w:sz w:val="17"/>
          <w:szCs w:val="17"/>
          <w:color w:val="auto"/>
        </w:rPr>
      </w:pPr>
    </w:p>
    <w:p>
      <w:pPr>
        <w:ind w:left="4" w:right="100" w:hanging="4"/>
        <w:spacing w:after="0" w:line="251" w:lineRule="auto"/>
        <w:tabs>
          <w:tab w:leader="none" w:pos="219"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or the occurrence of any Default or Event of Default, (iv) the sufficiency, validity, enforceability, effectiveness or genuineness of any Loan Document or any other agreement, instrument or document or (v) the satisfaction of any condition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or elsewhere in any Loan Document, other than to confirm receipt of items (which on their face purport to be such items) expressly required to be delivered to the Administrative Agent or satisfaction of any condition that expressly refers to the matters described therein being acceptable or satisfactory to the Administrative Agent. Notwithstanding anything herein to the contrary, the Administrative Agent shall not be liable for, or be responsible for any Liabilities, costs or expenses suffered by the Borrower, any Subsidiary, any Lender or any Issuing Bank as a result of, any determination of the Revolving Credit Exposure, any of the component amounts thereof or any portion thereof attributable to each Lender or each Issuing Bank or any Dollar Amount thereof.</w:t>
      </w:r>
    </w:p>
    <w:p>
      <w:pPr>
        <w:spacing w:after="0" w:line="192" w:lineRule="exact"/>
        <w:rPr>
          <w:rFonts w:ascii="Times New Roman" w:cs="Times New Roman" w:eastAsia="Times New Roman" w:hAnsi="Times New Roman"/>
          <w:sz w:val="18"/>
          <w:szCs w:val="18"/>
          <w:color w:val="auto"/>
        </w:rPr>
      </w:pPr>
    </w:p>
    <w:p>
      <w:pPr>
        <w:ind w:left="4" w:right="40" w:firstLine="987"/>
        <w:spacing w:after="0" w:line="252" w:lineRule="auto"/>
        <w:tabs>
          <w:tab w:leader="none" w:pos="1240"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foregoing, the Administrative Agent (i) may treat the payee of any promissory note as its holder until such promissory note has been assigned in accordance with Section 9.04, (ii) may rely on the Register to the extent set forth in Section 9.04(b), (iii) may consult with legal counsel (including counsel to the Borrower), independent public accountants and other experts selected by it, and shall not be liable for any action taken or omitted to be taken in good faith by it in accordance with the advice of such counsel, accountants or experts, (iv) makes no warranty or representation to any Lender or any Issuing Bank and shall not be responsible to any Lender or any Issuing Bank for any statements, warranties or representations made by or on behalf of the Borrower in connection with this Agreement or any other Loan Document, (v) in determining compliance with any condition hereunder to the making of a Loan, or the issuance of a Letter of Credit, that by its terms must be fulfilled to the satisfaction of a Lender or an Issuing Bank, may presume that such condition is satisfactory to such Lender or such Issuing Bank unless the Administrative Agent shall have received notice to the contrary from such Lender or such Issuing Bank sufficiently in advance of the making of such Loan or the issuance of such Letter of Credit and (vi) shall be entitled to rely on, and shall incur no liability under or in respect of this Agreement or any other Loan Document by acting upon, any notice, consent, certificate or other instrument or writing (which writing may be a fax, any electronic message, Internet or intranet website posting or other distribution) or any statement made to it orally or by telephone and believed by it to be genuine and signed or sent or otherwise authenticated by the proper party or parties (whether or not such Person in fact meets the requirements set forth in the Loan Documents for being the maker thereof).</w:t>
      </w:r>
    </w:p>
    <w:p>
      <w:pPr>
        <w:spacing w:after="0" w:line="19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u w:val="single" w:color="auto"/>
          <w:color w:val="auto"/>
        </w:rPr>
        <w:t>Posting of Communications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420" w:firstLine="987"/>
        <w:spacing w:after="0" w:line="224" w:lineRule="auto"/>
        <w:tabs>
          <w:tab w:leader="none" w:pos="124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agrees that the Administrative Agent may, but shall not be obligated to, make any Communications available to the Lenders and the Issuing Banks by posting the Communications on IntraLinks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DebtDomain, SyndTrak, ClearPar or any other electronic platform chosen by the Administrative Agent to be its electronic transmission system (the “</w:t>
      </w:r>
      <w:r>
        <w:rPr>
          <w:rFonts w:ascii="Times New Roman" w:cs="Times New Roman" w:eastAsia="Times New Roman" w:hAnsi="Times New Roman"/>
          <w:sz w:val="18"/>
          <w:szCs w:val="18"/>
          <w:u w:val="single" w:color="auto"/>
          <w:color w:val="auto"/>
        </w:rPr>
        <w:t>Approved Electronic Platform</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004"/>
          </w:cols>
          <w:pgMar w:left="436" w:top="270" w:right="459" w:bottom="1440" w:gutter="0" w:footer="0" w:header="0"/>
        </w:sectPr>
      </w:pPr>
    </w:p>
    <w:bookmarkStart w:id="143" w:name="page144"/>
    <w:bookmarkEnd w:id="143"/>
    <w:p>
      <w:pPr>
        <w:ind w:firstLine="987"/>
        <w:spacing w:after="0" w:line="254" w:lineRule="auto"/>
        <w:tabs>
          <w:tab w:leader="none" w:pos="1246"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Although the Approved Electronic Platform and its primary web portal are secured with generally-applicable security procedures and policies implemented or modified by the Administrative Agent from time to time (including, as of the Effective Date, a user ID/password authorization system) and the Approved Electronic Platform is secured through a per-deal authorization method whereby each user may access the Approved Electronic Platform only on a deal-by-deal basis, each of the Lenders, the Issuing Banks and the Borrower acknowledges and agrees that the distribution of material through an electronic medium is not necessarily secure, that the Administrative Agent is not responsible for approving or vetting the representatives or contacts of any Lender that are added to the Approved Electronic Platform, and that there may be confidentiality and other risks associated with such distribution. Each of the Lenders, the Issuing Banks and the Borrower hereby approves distribution of the Communications through the Approved Electronic Platform and understands and assumes the risks of such distribution.</w:t>
      </w:r>
    </w:p>
    <w:p>
      <w:pPr>
        <w:spacing w:after="0" w:line="191" w:lineRule="exact"/>
        <w:rPr>
          <w:rFonts w:ascii="Times New Roman" w:cs="Times New Roman" w:eastAsia="Times New Roman" w:hAnsi="Times New Roman"/>
          <w:sz w:val="18"/>
          <w:szCs w:val="18"/>
          <w:color w:val="auto"/>
        </w:rPr>
      </w:pPr>
    </w:p>
    <w:p>
      <w:pPr>
        <w:ind w:right="40" w:firstLine="987"/>
        <w:spacing w:after="0" w:line="253" w:lineRule="auto"/>
        <w:tabs>
          <w:tab w:leader="none" w:pos="1236"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NO EVENT SHALL THE ADMINISTRATIVE AGENT, ANY ARRANGER, ANY CO-SYNDICATION AGENT, ANY CO-DOCUMENTATION AGENT OR ANY OF THEIR RESPECTIVE RELATED PARTIES (COLLECTIVELY, “</w:t>
      </w:r>
      <w:r>
        <w:rPr>
          <w:rFonts w:ascii="Times New Roman" w:cs="Times New Roman" w:eastAsia="Times New Roman" w:hAnsi="Times New Roman"/>
          <w:sz w:val="18"/>
          <w:szCs w:val="18"/>
          <w:u w:val="single" w:color="auto"/>
          <w:color w:val="auto"/>
        </w:rPr>
        <w:t>APPLICABLE PARTIES</w:t>
      </w:r>
      <w:r>
        <w:rPr>
          <w:rFonts w:ascii="Times New Roman" w:cs="Times New Roman" w:eastAsia="Times New Roman" w:hAnsi="Times New Roman"/>
          <w:sz w:val="18"/>
          <w:szCs w:val="18"/>
          <w:color w:val="auto"/>
        </w:rPr>
        <w:t>”) HAVE ANY LIABILITY TO THE BORROWER, ANY LENDER, ANY ISSUING BANK OR ANY OTHER PERSON OR ENTITY FOR DAMAGES OF ANY KIND, INCLUDING DIRECT OR INDIRECT, SPECIAL, INCIDENTAL OR CONSEQUENTIAL DAMAGES, LOSSES OR EXPENSES (WHETHER IN TORT, CONTRACT OR OTHERWISE) ARISING OUT OF THE BORROWER’S OR THE ADMINISTRATIVE AGENT’S TRANSMISSION OF COMMUNICATIONS THROUGH THE INTERNET OR THE APPROVED ELECTRONIC PLATFORM.</w:t>
      </w:r>
    </w:p>
    <w:p>
      <w:pPr>
        <w:spacing w:after="0" w:line="187" w:lineRule="exact"/>
        <w:rPr>
          <w:rFonts w:ascii="Times New Roman" w:cs="Times New Roman" w:eastAsia="Times New Roman" w:hAnsi="Times New Roman"/>
          <w:sz w:val="18"/>
          <w:szCs w:val="18"/>
          <w:color w:val="auto"/>
        </w:rPr>
      </w:pPr>
    </w:p>
    <w:p>
      <w:pPr>
        <w:ind w:right="160" w:firstLine="987"/>
        <w:spacing w:after="0" w:line="258" w:lineRule="auto"/>
        <w:tabs>
          <w:tab w:leader="none" w:pos="1246"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and each Issuing Bank agrees that notice to it (as provided in the next sentence) specifying that Communications have been posted to the Approved Electronic Platform shall constitute effective delivery of the Communications to such Lender for purposes of the Loan Documents. Each Lender and each Issuing Bank agrees (i) to notify the Administrative Agent in writing (which could be in the form of electronic communication) from time to time of such Lender’s or such Issuing Bank’s (as applicable) email address to which the foregoing notice may be sent by electronic transmission and (ii) that the foregoing notice may be sent to such email address.</w:t>
      </w:r>
    </w:p>
    <w:p>
      <w:pPr>
        <w:spacing w:after="0" w:line="183" w:lineRule="exact"/>
        <w:rPr>
          <w:rFonts w:ascii="Times New Roman" w:cs="Times New Roman" w:eastAsia="Times New Roman" w:hAnsi="Times New Roman"/>
          <w:sz w:val="18"/>
          <w:szCs w:val="18"/>
          <w:color w:val="auto"/>
        </w:rPr>
      </w:pPr>
    </w:p>
    <w:p>
      <w:pPr>
        <w:jc w:val="both"/>
        <w:ind w:right="40" w:firstLine="987"/>
        <w:spacing w:after="0" w:line="266" w:lineRule="auto"/>
        <w:tabs>
          <w:tab w:leader="none" w:pos="1236"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Lenders, each Issuing Bank and the Borrower agrees that the Administrative Agent may, but (except as may be required by applicable law) shall not be obligated to, store the Communications on the Approved Electronic Platform in accordance with the Administrative Agent’s generally applicable document retention procedures and policies.</w:t>
      </w:r>
    </w:p>
    <w:p>
      <w:pPr>
        <w:spacing w:after="0" w:line="175" w:lineRule="exact"/>
        <w:rPr>
          <w:rFonts w:ascii="Times New Roman" w:cs="Times New Roman" w:eastAsia="Times New Roman" w:hAnsi="Times New Roman"/>
          <w:sz w:val="18"/>
          <w:szCs w:val="18"/>
          <w:color w:val="auto"/>
        </w:rPr>
      </w:pPr>
    </w:p>
    <w:p>
      <w:pPr>
        <w:ind w:right="560" w:firstLine="987"/>
        <w:spacing w:after="0" w:line="282" w:lineRule="auto"/>
        <w:tabs>
          <w:tab w:leader="none" w:pos="1216"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herein shall prejudice the right of the Administrative Agent, any Lender or any Issuing Bank to give any notice or other communication pursuant to any Loan Document in any other manner specified in such Loan Document.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000"/>
          </w:cols>
          <w:pgMar w:left="440" w:top="270" w:right="459" w:bottom="1440" w:gutter="0" w:footer="0" w:header="0"/>
        </w:sectPr>
      </w:pPr>
    </w:p>
    <w:bookmarkStart w:id="144" w:name="page145"/>
    <w:bookmarkEnd w:id="144"/>
    <w:p>
      <w:pPr>
        <w:ind w:right="100"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8.04. </w:t>
      </w:r>
      <w:r>
        <w:rPr>
          <w:rFonts w:ascii="Times New Roman" w:cs="Times New Roman" w:eastAsia="Times New Roman" w:hAnsi="Times New Roman"/>
          <w:sz w:val="18"/>
          <w:szCs w:val="18"/>
          <w:u w:val="single" w:color="auto"/>
          <w:color w:val="auto"/>
        </w:rPr>
        <w:t>The Administrative Agent Individually</w:t>
      </w:r>
      <w:r>
        <w:rPr>
          <w:rFonts w:ascii="Times New Roman" w:cs="Times New Roman" w:eastAsia="Times New Roman" w:hAnsi="Times New Roman"/>
          <w:sz w:val="18"/>
          <w:szCs w:val="18"/>
          <w:color w:val="auto"/>
        </w:rPr>
        <w:t>. With respect to its Commitment, Loans (including Swingline Loans) and Letters of Credit, the Person serving as the Administrative Agent shall have and may exercise the same rights and powers hereunder and is subject to the same obligations and liabilities as and to the extent set forth herein for any other Lender or Issuing Bank, as the case may be. The terms “Issuing Banks”, “Lenders”, “Required Lenders” and any similar terms shall, unless the context clearly otherwise indicates, include the Administrative Agent in its individual capacity as a Lender, an Issuing Bank or as one of the Required Lenders, as applicable. The Person serving as the Administrative Agent and its Affiliates may accept deposits from, lend money to, own securities of, act as the financial advisor or in any other advisory capacity for and generally engage in any kind of banking, trust or other business with, the Borrower, any Subsidiary or any Affiliate of any of the foregoing as if such Person was not acting as the Administrative Agent and without any duty to account therefor to the Lenders or the Issuing Banks.</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u w:val="single" w:color="auto"/>
          <w:color w:val="auto"/>
        </w:rPr>
        <w:t>Successor Administrative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53" w:lineRule="auto"/>
        <w:tabs>
          <w:tab w:leader="none" w:pos="1236"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may resign at any time by giving 30 days’ prior written notice thereof to the Lenders, the Issuing Banks and the Borrower, whether or not a successor Administrative Agent has been appointed. Upon any such resignation, the Required Lenders shall have the right to appoint a successor Administrative Agent. If no successor Administrative Agent shall have been so appointed by the Required Lenders, and shall have accepted such appointment, within 30 days after the retiring Administrative Agent’s giving of notice of resignation, then the retiring Administrative Agent may, on behalf of the Lenders and the Issuing Banks, appoint a successor Administrative Agent, which shall be a bank with an office in New York, New York or an Affiliate of any such bank. In either case, such appointment shall be subject to the prior written approval of the Borrower (which approval may not be unreasonably withheld and shall not be required while an Event of Default has occurred and is continuing). Upon the acceptance of any appointment as Administrative Agent by a successor Administrative Agent, such successor Administrative Agent shall succeed to, and become vested with, all the rights, powers, privileges and duties of the retiring Administrative Agent. Upon the acceptance of appointment as Administrative Agent by a successor Administrative Agent, the retiring Administrative Agent shall be discharged from its duties and obligations under this Agreement and the other Loan Documents. Prior to any retiring Administrative Agent’s resignation hereunder as Administrative Agent, the retiring Administrative Agent shall take such action as may be reasonably necessary to assign to the successor Administrative Agent its rights as Administrative Agent under the Loan Documents.</w:t>
      </w:r>
    </w:p>
    <w:p>
      <w:pPr>
        <w:spacing w:after="0" w:line="187" w:lineRule="exact"/>
        <w:rPr>
          <w:rFonts w:ascii="Times New Roman" w:cs="Times New Roman" w:eastAsia="Times New Roman" w:hAnsi="Times New Roman"/>
          <w:sz w:val="18"/>
          <w:szCs w:val="18"/>
          <w:color w:val="auto"/>
        </w:rPr>
      </w:pPr>
    </w:p>
    <w:p>
      <w:pPr>
        <w:ind w:firstLine="987"/>
        <w:spacing w:after="0" w:line="253" w:lineRule="auto"/>
        <w:tabs>
          <w:tab w:leader="none" w:pos="1246"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paragraph (a) of this Section, in the event no successor Administrative Agent shall have been so appointed and shall have accepted such appointment within 30 days after the retiring Administrative Agent gives notice of its intent to resign, the retiring Administrative Agent may give notice of the effectiveness of its resignation to the Lenders, the Issuing Banks and the Borrower, whereupon, on the date of effectiveness of such resignation stated in such notice, (i) the retiring Administrative Agent shall be discharged from its duties and obligations hereunder and under the other Loan Documents and (ii) the Required Lenders shall succeed to and become vested with all the rights, powers, privileges and duties of the retiring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all payments required to be made hereunder or under any other Loan Document to the Administrative Agent for the account of any Person other than the Administrative Agent shall be made directly to such Person and (B) all notices and other communications required or contemplated to be given or made to the Administrative Agent shall directly be given or made to each Lender and each Issuing Bank. Following the effectiveness of the Administrative Agent’s resignation from its capacity as such, the provisions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and Section 9.03, as well as any exculpatory, reimbursement and indemnification provisions set forth in any other Loan Document, shall continue in effect for the benefit of such retiring Administrative Agent, its sub-agents and their respective Related Parties in respect of any actions taken or omitted to be taken by any of them while the retiring Administrative Agent was acting as Administrative Agent.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000"/>
          </w:cols>
          <w:pgMar w:left="440" w:top="270" w:right="459" w:bottom="1440" w:gutter="0" w:footer="0" w:header="0"/>
        </w:sectPr>
      </w:pPr>
    </w:p>
    <w:bookmarkStart w:id="145" w:name="page146"/>
    <w:bookmarkEnd w:id="145"/>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8.06. </w:t>
      </w:r>
      <w:r>
        <w:rPr>
          <w:rFonts w:ascii="Times New Roman" w:cs="Times New Roman" w:eastAsia="Times New Roman" w:hAnsi="Times New Roman"/>
          <w:sz w:val="18"/>
          <w:szCs w:val="18"/>
          <w:u w:val="single" w:color="auto"/>
          <w:color w:val="auto"/>
        </w:rPr>
        <w:t>Acknowledgements of Lenders and Issuing Banks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2" w:lineRule="auto"/>
        <w:tabs>
          <w:tab w:leader="none" w:pos="1236"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and each Issuing Bank represents and warrants that (i) the Loan Documents set forth the terms of a commercial lending facility, (ii) in participating as a Lender, it is engaged in making, acquiring or holding commercial loans and in providing other facilities set forth herein as may be applicable to such Lender or such Issuing Bank, in each case in the ordinary course of business, and not for the purpose of investing in the general performance or operations of the Borrower, or for the purpose of purchasing, acquiring or holding any other type of financial instrument such as a security (and each Lender and each Issuing Bank agrees not to assert a claim in contravention of the foregoing, such as a claim under the federal or state securities laws), (iii) it has, independently and without reliance upon the Administrative Agent, any Arranger, any Co-Syndication Agent, any Co-Documentation Agent or any other Lender or other Issuing Bank, or any of the Related Parties of any of the foregoing,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or such Issuing Bank, and either it, or the Person exercising discretion in making its decision to make, acquire and/or hold such commercial loans or to provide such other facilities, is experienced in making, acquiring or holding such commercial loans or providing such other facilities. Each Lender and each Issuing Bank also acknowledges that it will, independently and without reliance upon the Administrative Agent, any Arranger any Co-Syndication Agent, any Co-Documentation Agent or any other Lender or other Issuing Bank, or any of the Related Parties of any of the foregoing, and based on such documents and information (which may contain material, non-public information within the meaning of the United States securities laws concerning the Borrower and its Affiliates)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93" w:lineRule="exact"/>
        <w:rPr>
          <w:rFonts w:ascii="Times New Roman" w:cs="Times New Roman" w:eastAsia="Times New Roman" w:hAnsi="Times New Roman"/>
          <w:sz w:val="18"/>
          <w:szCs w:val="18"/>
          <w:color w:val="auto"/>
        </w:rPr>
      </w:pPr>
    </w:p>
    <w:p>
      <w:pPr>
        <w:ind w:firstLine="987"/>
        <w:spacing w:after="0" w:line="261" w:lineRule="auto"/>
        <w:tabs>
          <w:tab w:leader="none" w:pos="1246"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by delivering its signature page to this Agreement on the Effective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Effective Date.</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w:t>
      </w:r>
    </w:p>
    <w:p>
      <w:pPr>
        <w:spacing w:after="0" w:line="117" w:lineRule="exact"/>
        <w:rPr>
          <w:sz w:val="20"/>
          <w:szCs w:val="20"/>
          <w:color w:val="auto"/>
        </w:rPr>
      </w:pPr>
    </w:p>
    <w:p>
      <w:pPr>
        <w:ind w:left="440" w:firstLine="948"/>
        <w:spacing w:after="0" w:line="252" w:lineRule="auto"/>
        <w:tabs>
          <w:tab w:leader="none" w:pos="1607"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were erroneously transmitted to such Lender (whether or not known to such Lender), and demands the return of such Payment (or a portion thereof), such Lender shall promptly, but in no event later than one (1) Business Day thereafter (or such later date as the Administrative Agent may, in its sole discretion, specify in writing), return to the Administrative Agent the amount of any such Payment (or portion thereof) as to which such a demand was made in same day funds, together with interest thereon (except to the extent waived in writing by the Administrative Agent)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Section 8.06(c) shall be conclusive, absent manifest error.</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000"/>
          </w:cols>
          <w:pgMar w:left="440" w:top="270" w:right="459" w:bottom="1440" w:gutter="0" w:footer="0" w:header="0"/>
        </w:sectPr>
      </w:pPr>
    </w:p>
    <w:bookmarkStart w:id="146" w:name="page147"/>
    <w:bookmarkEnd w:id="146"/>
    <w:p>
      <w:pPr>
        <w:ind w:left="440" w:firstLine="948"/>
        <w:spacing w:after="0" w:line="253" w:lineRule="auto"/>
        <w:tabs>
          <w:tab w:leader="none" w:pos="1657"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Times New Roman" w:cs="Times New Roman" w:eastAsia="Times New Roman" w:hAnsi="Times New Roman"/>
          <w:sz w:val="18"/>
          <w:szCs w:val="18"/>
          <w:u w:val="single" w:color="auto"/>
          <w:color w:val="auto"/>
        </w:rPr>
        <w:t>Payment Notice</w:t>
      </w:r>
      <w:r>
        <w:rPr>
          <w:rFonts w:ascii="Times New Roman" w:cs="Times New Roman" w:eastAsia="Times New Roman" w:hAnsi="Times New Roman"/>
          <w:sz w:val="18"/>
          <w:szCs w:val="18"/>
          <w:color w:val="auto"/>
        </w:rPr>
        <w:t>”)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(1) Business Day thereafter (or such later date as the Administrative Agent may, in its sole discretion, specify in writing), return to the Administrative Agent the amount of any such Payment (or portion thereof) as to which such a demand was made in same day funds, together with interest thereon (except to the extent waived in writing by the Administrative Agent)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w:t>
      </w:r>
    </w:p>
    <w:p>
      <w:pPr>
        <w:spacing w:after="0" w:line="83" w:lineRule="exact"/>
        <w:rPr>
          <w:rFonts w:ascii="Times New Roman" w:cs="Times New Roman" w:eastAsia="Times New Roman" w:hAnsi="Times New Roman"/>
          <w:sz w:val="18"/>
          <w:szCs w:val="18"/>
          <w:color w:val="auto"/>
        </w:rPr>
      </w:pPr>
    </w:p>
    <w:p>
      <w:pPr>
        <w:jc w:val="both"/>
        <w:ind w:left="440" w:firstLine="948"/>
        <w:spacing w:after="0" w:line="261" w:lineRule="auto"/>
        <w:tabs>
          <w:tab w:leader="none" w:pos="1707"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hereby agrees that (x) in the event an erroneous Payment (or portion thereof) are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owed by the Borrower.</w:t>
      </w:r>
    </w:p>
    <w:p>
      <w:pPr>
        <w:spacing w:after="0" w:line="71" w:lineRule="exact"/>
        <w:rPr>
          <w:rFonts w:ascii="Times New Roman" w:cs="Times New Roman" w:eastAsia="Times New Roman" w:hAnsi="Times New Roman"/>
          <w:sz w:val="18"/>
          <w:szCs w:val="18"/>
          <w:color w:val="auto"/>
        </w:rPr>
      </w:pPr>
    </w:p>
    <w:p>
      <w:pPr>
        <w:ind w:left="440" w:right="220" w:firstLine="948"/>
        <w:spacing w:after="0" w:line="266" w:lineRule="auto"/>
        <w:tabs>
          <w:tab w:leader="none" w:pos="1697"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party’s obligations under this Section 8.06(c) shall survive the resignation or replacement of the Administrative Agent or any transfer of rights or obligations by, or the replacement of, a Lender, the termination of the Commitments or the repayment, satisfaction or discharge of all Obligations under any Loan Document.</w:t>
      </w:r>
    </w:p>
    <w:p>
      <w:pPr>
        <w:spacing w:after="0" w:line="175" w:lineRule="exact"/>
        <w:rPr>
          <w:rFonts w:ascii="Times New Roman" w:cs="Times New Roman" w:eastAsia="Times New Roman" w:hAnsi="Times New Roman"/>
          <w:sz w:val="18"/>
          <w:szCs w:val="18"/>
          <w:color w:val="auto"/>
        </w:rPr>
      </w:pPr>
    </w:p>
    <w:p>
      <w:pPr>
        <w:ind w:firstLine="987"/>
        <w:spacing w:after="0" w:line="252" w:lineRule="auto"/>
        <w:tabs>
          <w:tab w:leader="none" w:pos="1246"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Lenders acknowledge that there may be a constant flow of information (including information which may be subject to confidentiality obligations in favor of the Borrower) between the Borrower and its Affiliates, on the one hand, and JPMorgan Chase Bank, N.A. and its Affiliates, on the other hand. Without limiting the foregoing, the Borrower or its Affiliates may provide information, including updates to previously provided information to JPMorgan Chase Bank, N.A. and/or its Affiliates acting in different capacities, including as Lender, lead bank, arranger or potential securities investor, independent of such entity’s role as administrative agent hereunder. The Lenders acknowledge that neither JPMorgan Chase Bank, N.A. nor its Affiliates shall be under any obligation to provide any of the foregoing information to them. Notwithstanding anything to the contrary set forth herein or in any other Loan Document, except for notices, reports and other documents expressly required to be furnished to the Lenders by the Administrative Agent herein, the Administrative Agent shall not have any duty or responsibility to provide, and shall not be liable for the failure to provide, any Lender with any credit or other information concerning the Loans, the Lenders, the business, prospects, operations, property, financial and other condition or creditworthiness of the Borrower or any of its Affiliates that is communicated to, obtained by, or in the possession of, the Administrative Agent or any of its Affiliates in any capacity, including any information obtained by the Administrative Agent in the course of communications among the Administrative Agent and the Borrower, any Affiliate thereof or any other Person. Notwithstanding the foregoing, any such information may (but shall not be required to) be shared by the Administrative Agent with one or more Lenders, or any formal or informal committee or ad hoc group of such Lenders, including at the direction of the Borrower.</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000"/>
          </w:cols>
          <w:pgMar w:left="440" w:top="270" w:right="459" w:bottom="1440" w:gutter="0" w:footer="0" w:header="0"/>
        </w:sectPr>
      </w:pPr>
    </w:p>
    <w:bookmarkStart w:id="147" w:name="page148"/>
    <w:bookmarkEnd w:id="147"/>
    <w:p>
      <w:pPr>
        <w:ind w:left="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8.07. </w:t>
      </w:r>
      <w:r>
        <w:rPr>
          <w:rFonts w:ascii="Times New Roman" w:cs="Times New Roman" w:eastAsia="Times New Roman" w:hAnsi="Times New Roman"/>
          <w:sz w:val="18"/>
          <w:szCs w:val="18"/>
          <w:u w:val="single" w:color="auto"/>
          <w:color w:val="auto"/>
        </w:rPr>
        <w:t>Certain ERISA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right="80" w:firstLine="987"/>
        <w:spacing w:after="0" w:line="261" w:lineRule="auto"/>
        <w:tabs>
          <w:tab w:leader="none" w:pos="1216"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the Arrangers and their respective Affiliates, and not, for the avoidance of doubt, to or for the benefit of the Borrower, that at least one of the following is and will be true:</w:t>
      </w:r>
    </w:p>
    <w:p>
      <w:pPr>
        <w:spacing w:after="0" w:line="71" w:lineRule="exact"/>
        <w:rPr>
          <w:rFonts w:ascii="Times New Roman" w:cs="Times New Roman" w:eastAsia="Times New Roman" w:hAnsi="Times New Roman"/>
          <w:sz w:val="18"/>
          <w:szCs w:val="18"/>
          <w:color w:val="auto"/>
        </w:rPr>
      </w:pPr>
    </w:p>
    <w:p>
      <w:pPr>
        <w:ind w:left="420" w:right="620" w:firstLine="948"/>
        <w:spacing w:after="0" w:line="282" w:lineRule="auto"/>
        <w:tabs>
          <w:tab w:leader="none" w:pos="1587"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is not using “plan assets” (within the meaning of the Plan Asset Regulations) of one or more Benefit Plans in connection with the Loans, the Letters of Credit or the Commitments,</w:t>
      </w:r>
    </w:p>
    <w:p>
      <w:pPr>
        <w:spacing w:after="0" w:line="53" w:lineRule="exact"/>
        <w:rPr>
          <w:rFonts w:ascii="Times New Roman" w:cs="Times New Roman" w:eastAsia="Times New Roman" w:hAnsi="Times New Roman"/>
          <w:sz w:val="18"/>
          <w:szCs w:val="18"/>
          <w:color w:val="auto"/>
        </w:rPr>
      </w:pPr>
    </w:p>
    <w:p>
      <w:pPr>
        <w:ind w:left="420" w:right="120" w:firstLine="948"/>
        <w:spacing w:after="0" w:line="256" w:lineRule="auto"/>
        <w:tabs>
          <w:tab w:leader="none" w:pos="1637"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79" w:lineRule="exact"/>
        <w:rPr>
          <w:rFonts w:ascii="Times New Roman" w:cs="Times New Roman" w:eastAsia="Times New Roman" w:hAnsi="Times New Roman"/>
          <w:sz w:val="18"/>
          <w:szCs w:val="18"/>
          <w:color w:val="auto"/>
        </w:rPr>
      </w:pPr>
    </w:p>
    <w:p>
      <w:pPr>
        <w:ind w:left="420" w:right="80" w:firstLine="948"/>
        <w:spacing w:after="0" w:line="255" w:lineRule="auto"/>
        <w:tabs>
          <w:tab w:leader="none" w:pos="1687"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80" w:lineRule="exact"/>
        <w:rPr>
          <w:rFonts w:ascii="Times New Roman" w:cs="Times New Roman" w:eastAsia="Times New Roman" w:hAnsi="Times New Roman"/>
          <w:sz w:val="18"/>
          <w:szCs w:val="18"/>
          <w:color w:val="auto"/>
        </w:rPr>
      </w:pPr>
    </w:p>
    <w:p>
      <w:pPr>
        <w:ind w:left="420" w:right="440" w:firstLine="948"/>
        <w:spacing w:after="0" w:line="282" w:lineRule="auto"/>
        <w:tabs>
          <w:tab w:leader="none" w:pos="1677"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representation, warranty and covenant as may be agreed in writing between the Administrative Agent, in its sole discretion, and such Lender.</w:t>
      </w:r>
    </w:p>
    <w:p>
      <w:pPr>
        <w:spacing w:after="0" w:line="161" w:lineRule="exact"/>
        <w:rPr>
          <w:rFonts w:ascii="Times New Roman" w:cs="Times New Roman" w:eastAsia="Times New Roman" w:hAnsi="Times New Roman"/>
          <w:sz w:val="18"/>
          <w:szCs w:val="18"/>
          <w:color w:val="auto"/>
        </w:rPr>
      </w:pPr>
    </w:p>
    <w:p>
      <w:pPr>
        <w:ind w:left="-20" w:firstLine="987"/>
        <w:spacing w:after="0" w:line="254" w:lineRule="auto"/>
        <w:tabs>
          <w:tab w:leader="none" w:pos="1226"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unless sub-clause (i) in the immediately preceding clause (a) is true with respect to a Lender or such Lender has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the Arrangers, the Co-Syndication Agents, the Co-Documentation Agents or any of their respective Affiliates, and not, for the avoidance of doubt, to or for the benefit of the Borrower, that none of the Administrative Agent, or the Arrangers, the Co-Syndication Agents, the Co-Documentation Agents or any of their respective Affiliates is a fiduciary with respect to the assets of such Lender (including in connection with the reservation or exercise of any rights by the Administrative Agent under this Agreement, any Loan Document or any documents related hereto or thereto).</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0980"/>
          </w:cols>
          <w:pgMar w:left="460" w:top="270" w:right="459" w:bottom="1440" w:gutter="0" w:footer="0" w:header="0"/>
        </w:sectPr>
      </w:pPr>
    </w:p>
    <w:bookmarkStart w:id="148" w:name="page149"/>
    <w:bookmarkEnd w:id="148"/>
    <w:p>
      <w:pPr>
        <w:ind w:left="4" w:right="260" w:firstLine="987"/>
        <w:spacing w:after="0" w:line="257" w:lineRule="auto"/>
        <w:tabs>
          <w:tab w:leader="none" w:pos="1240"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Administrative Agent and each Arranger, Co-Syndication Agent and Co-Documentation Agent hereby informs the Lenders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w:t>
      </w:r>
    </w:p>
    <w:p>
      <w:pPr>
        <w:spacing w:after="0" w:line="1" w:lineRule="exact"/>
        <w:rPr>
          <w:rFonts w:ascii="Times New Roman" w:cs="Times New Roman" w:eastAsia="Times New Roman" w:hAnsi="Times New Roman"/>
          <w:sz w:val="18"/>
          <w:szCs w:val="18"/>
          <w:color w:val="auto"/>
        </w:rPr>
      </w:pPr>
    </w:p>
    <w:p>
      <w:pPr>
        <w:ind w:left="4" w:right="80" w:hanging="4"/>
        <w:spacing w:after="0" w:line="252" w:lineRule="auto"/>
        <w:tabs>
          <w:tab w:leader="none" w:pos="219"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receive interest or other payments with respect to the Loans, the Letters of Credit, the Commitments, this Agreement and any other Loan Documents,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Loan Documents or otherwise, including structuring fees, commitment fees, arrangement fees, facility fees, commitment fees, upfront fees, underwriting fees, ticking fees, agency fees, administrative agent fees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88"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8.08. </w:t>
      </w:r>
      <w:r>
        <w:rPr>
          <w:rFonts w:ascii="Times New Roman" w:cs="Times New Roman" w:eastAsia="Times New Roman" w:hAnsi="Times New Roman"/>
          <w:sz w:val="18"/>
          <w:szCs w:val="18"/>
          <w:u w:val="single" w:color="auto"/>
          <w:color w:val="auto"/>
        </w:rPr>
        <w:t>Borrower Communications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340" w:firstLine="987"/>
        <w:spacing w:after="0" w:line="266" w:lineRule="auto"/>
        <w:tabs>
          <w:tab w:leader="none" w:pos="124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the Lenders and the Issuing Banks agree that the Borrower may, but shall not be obligated to, make any Borrower Communications to the Administrative Agent through an electronic platform chosen by the Administrative Agent to be its electronic transmission system (the “</w:t>
      </w:r>
      <w:r>
        <w:rPr>
          <w:rFonts w:ascii="Times New Roman" w:cs="Times New Roman" w:eastAsia="Times New Roman" w:hAnsi="Times New Roman"/>
          <w:sz w:val="18"/>
          <w:szCs w:val="18"/>
          <w:u w:val="single" w:color="auto"/>
          <w:color w:val="auto"/>
        </w:rPr>
        <w:t>Approved Borrower Portal</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4" w:right="120" w:firstLine="987"/>
        <w:spacing w:after="0" w:line="255" w:lineRule="auto"/>
        <w:tabs>
          <w:tab w:leader="none" w:pos="125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the Approved Borrower Portal and its primary web portal are secured with generally-applicable security procedures and policies implemented or modified by the Administrative Agent from time to time (including, as of the Effective Date, a user ID/password authorization system), each of the Lenders, the Issuing Banks and the Borrower acknowledges and agrees that the distribution of material through an electronic medium is not necessarily secure, that the Administrative Agent is not responsible for approving or vetting the representatives or contacts of the Borrower that are added to the Approved Borrower Portal, and that there may be confidentiality and other risks associated with such distribution. Each of the Lenders, the Issuing Banks and the Borrower hereby approves distribution of Borrower Communications through the Approved Borrower Portal and understands and assumes the risks of such distribution.</w:t>
      </w:r>
    </w:p>
    <w:p>
      <w:pPr>
        <w:spacing w:after="0" w:line="188" w:lineRule="exact"/>
        <w:rPr>
          <w:rFonts w:ascii="Times New Roman" w:cs="Times New Roman" w:eastAsia="Times New Roman" w:hAnsi="Times New Roman"/>
          <w:sz w:val="18"/>
          <w:szCs w:val="18"/>
          <w:color w:val="auto"/>
        </w:rPr>
      </w:pPr>
    </w:p>
    <w:p>
      <w:pPr>
        <w:ind w:left="4" w:firstLine="987"/>
        <w:spacing w:after="0" w:line="253" w:lineRule="auto"/>
        <w:tabs>
          <w:tab w:leader="none" w:pos="124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APPROVED BORROWER PORTAL IS PROVIDED “AS IS” AND “AS AVAILABLE”. THE APPLICABLE PARTIES DO NOT WARRANT THE ACCURACY OR COMPLETENESS OF THE BORROWER COMMUNICATIONS, OR THE ADEQUACY OF THE APPROVED BORROWER PORTAL AND EXPRESSLY DISCLAIM LIABILITY FOR ERRORS OR OMISSIONS IN THE APPROVED BORROWER PORTAL AND THE BORROWER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BORROWER COMMUNICATIONS OR THE APPROVED BORROWER PORTAL. IN NO EVENT SHALL THE APPLICABLE PARTIES HAVE ANY LIABILITY TO ANY LOAN PARTY, ANY LENDER, ANY ISSUING BANK OR ANY OTHER PERSON OR ENTITY FOR DAMAGES OF ANY KIND, INCLUDING DIRECT OR INDIRECT, SPECIAL, INCIDENTAL OR CONSEQUENTIAL DAMAGES, LOSSES OR EXPENSES (WHETHER IN TORT, CONTRACT OR OTHERWISE) ARISING OUT OF THE BORROWER’S TRANSMISSION OF BORROWER COMMUNICATIONS THROUGH THE INTERNET OR THE APPROVED BORROWER PORTAL.</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004"/>
          </w:cols>
          <w:pgMar w:left="436" w:top="270" w:right="459" w:bottom="1440" w:gutter="0" w:footer="0" w:header="0"/>
        </w:sectPr>
      </w:pPr>
    </w:p>
    <w:bookmarkStart w:id="149" w:name="page150"/>
    <w:bookmarkEnd w:id="149"/>
    <w:p>
      <w:pPr>
        <w:ind w:right="80" w:firstLine="987"/>
        <w:spacing w:after="0" w:line="266" w:lineRule="auto"/>
        <w:tabs>
          <w:tab w:leader="none" w:pos="1246"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of the Lenders, the Issuing Banks and the Borrower agrees that the Administrative Agent may, but (except as may be required by applicable law) shall not be obligated to, store the Borrower Communications on the Approved Borrower Portal in accordance with the Administrative Agent’s generally applicable document retention procedures and policies.</w:t>
      </w:r>
    </w:p>
    <w:p>
      <w:pPr>
        <w:spacing w:after="0" w:line="175" w:lineRule="exact"/>
        <w:rPr>
          <w:rFonts w:ascii="Times New Roman" w:cs="Times New Roman" w:eastAsia="Times New Roman" w:hAnsi="Times New Roman"/>
          <w:sz w:val="18"/>
          <w:szCs w:val="18"/>
          <w:color w:val="auto"/>
        </w:rPr>
      </w:pPr>
    </w:p>
    <w:p>
      <w:pPr>
        <w:ind w:right="80" w:firstLine="987"/>
        <w:spacing w:after="0" w:line="282" w:lineRule="auto"/>
        <w:tabs>
          <w:tab w:leader="none" w:pos="1236"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herein shall prejudice the right of the Borrower to give any notice or other communication pursuant to any Loan Document in any other manner specified in such Loan Document.</w:t>
      </w:r>
    </w:p>
    <w:p>
      <w:pPr>
        <w:spacing w:after="0" w:line="37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ARTICLE IX</w:t>
      </w:r>
    </w:p>
    <w:p>
      <w:pPr>
        <w:spacing w:after="0" w:line="11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u w:val="single" w:color="auto"/>
          <w:color w:val="auto"/>
        </w:rPr>
        <w:t>Miscellaneous</w:t>
      </w:r>
    </w:p>
    <w:p>
      <w:pPr>
        <w:spacing w:after="0" w:line="225"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 Except in the case of notices and other communications expressly permitted to be given by telephone (and subject to paragraph (b) below), all notices and other communications provided for herein shall be in writing and shall be delivered by hand or overnight courier service, mailed by certified or registered mail or sent by telecopy or email, as follows:</w:t>
      </w:r>
    </w:p>
    <w:p>
      <w:pPr>
        <w:spacing w:after="0" w:line="68" w:lineRule="exact"/>
        <w:rPr>
          <w:sz w:val="20"/>
          <w:szCs w:val="20"/>
          <w:color w:val="auto"/>
        </w:rPr>
      </w:pPr>
    </w:p>
    <w:p>
      <w:pPr>
        <w:ind w:left="440" w:right="260" w:firstLine="419"/>
        <w:spacing w:after="0" w:line="282" w:lineRule="auto"/>
        <w:tabs>
          <w:tab w:leader="none" w:pos="1078"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Borrower, to it at 100 Manpower Place, Milwaukee, Wisconsin 53212, Attention of John McGinnis, Executive Vice President and Chief Financial Officer (Telecopy No. (414) 906-7977; Telephone No. (414) 906-7625);</w:t>
      </w:r>
    </w:p>
    <w:p>
      <w:pPr>
        <w:spacing w:after="0" w:line="53" w:lineRule="exact"/>
        <w:rPr>
          <w:rFonts w:ascii="Times New Roman" w:cs="Times New Roman" w:eastAsia="Times New Roman" w:hAnsi="Times New Roman"/>
          <w:sz w:val="18"/>
          <w:szCs w:val="18"/>
          <w:color w:val="auto"/>
        </w:rPr>
      </w:pPr>
    </w:p>
    <w:p>
      <w:pPr>
        <w:ind w:left="440" w:right="320" w:firstLine="419"/>
        <w:spacing w:after="0" w:line="282" w:lineRule="auto"/>
        <w:tabs>
          <w:tab w:leader="none" w:pos="1128"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Administrative Agent from the Borrower, to the address or addresses separately provided by the Administrative Agent to the Borrower;</w:t>
      </w:r>
    </w:p>
    <w:p>
      <w:pPr>
        <w:spacing w:after="0" w:line="53" w:lineRule="exact"/>
        <w:rPr>
          <w:rFonts w:ascii="Times New Roman" w:cs="Times New Roman" w:eastAsia="Times New Roman" w:hAnsi="Times New Roman"/>
          <w:sz w:val="18"/>
          <w:szCs w:val="18"/>
          <w:color w:val="auto"/>
        </w:rPr>
      </w:pPr>
    </w:p>
    <w:p>
      <w:pPr>
        <w:ind w:left="440" w:right="280" w:firstLine="419"/>
        <w:spacing w:after="0" w:line="282" w:lineRule="auto"/>
        <w:tabs>
          <w:tab w:leader="none" w:pos="1178"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Administrative Agent from the Lenders, to JPMorgan Chase Bank, N.A., 131 S. Dearborn Street, Floor 04, Chicago, Illinois 60603-5506, Attention of Loan and Agency Servicing;</w:t>
      </w:r>
    </w:p>
    <w:p>
      <w:pPr>
        <w:spacing w:after="0" w:line="53" w:lineRule="exact"/>
        <w:rPr>
          <w:rFonts w:ascii="Times New Roman" w:cs="Times New Roman" w:eastAsia="Times New Roman" w:hAnsi="Times New Roman"/>
          <w:sz w:val="18"/>
          <w:szCs w:val="18"/>
          <w:color w:val="auto"/>
        </w:rPr>
      </w:pPr>
    </w:p>
    <w:p>
      <w:pPr>
        <w:ind w:left="440" w:right="60" w:firstLine="419"/>
        <w:spacing w:after="0" w:line="282" w:lineRule="auto"/>
        <w:tabs>
          <w:tab w:leader="none" w:pos="1168"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JPMorgan Chase Bank, N.A. as an Issuing Bank, to it at the address, facsimile and email separately provided by such Issuing Bank to the Borrower for such purpose;</w:t>
      </w:r>
    </w:p>
    <w:p>
      <w:pPr>
        <w:spacing w:after="0" w:line="53" w:lineRule="exact"/>
        <w:rPr>
          <w:rFonts w:ascii="Times New Roman" w:cs="Times New Roman" w:eastAsia="Times New Roman" w:hAnsi="Times New Roman"/>
          <w:sz w:val="18"/>
          <w:szCs w:val="18"/>
          <w:color w:val="auto"/>
        </w:rPr>
      </w:pPr>
    </w:p>
    <w:p>
      <w:pPr>
        <w:ind w:left="440" w:right="20" w:firstLine="419"/>
        <w:spacing w:after="0" w:line="282" w:lineRule="auto"/>
        <w:tabs>
          <w:tab w:leader="none" w:pos="1118"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Swingline Lender, to it at the address, facsimile and email separately provided by the Swingline Lender to the Borrower for such purpose; and</w:t>
      </w:r>
    </w:p>
    <w:p>
      <w:pPr>
        <w:spacing w:after="0" w:line="53"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other Lender or Issuing Bank, to it at its address (or telecopy number) set forth in its Administrative Questionnaire.</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Platforms or Approved Borrower Portals, to the extent provided in paragraph (b) below, shall be effective as provided in said paragraph (b).</w:t>
      </w:r>
    </w:p>
    <w:p>
      <w:pPr>
        <w:spacing w:after="0" w:line="180" w:lineRule="exact"/>
        <w:rPr>
          <w:sz w:val="20"/>
          <w:szCs w:val="20"/>
          <w:color w:val="auto"/>
        </w:rPr>
      </w:pPr>
    </w:p>
    <w:p>
      <w:pPr>
        <w:ind w:right="40" w:firstLine="987"/>
        <w:spacing w:after="0" w:line="256" w:lineRule="auto"/>
        <w:tabs>
          <w:tab w:leader="none" w:pos="1246"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Notices and other communications to the Borrower, the Lenders, the Administrative Agent and the Issuing Banks hereunder may be delivered or furnished by using Approved Electronic Platforms or Approved Borrower Portals (as applicable), in each case, pursuant to procedures approved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notices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unless otherwise agreed by the Administrative Agent and the applicable Lender. The Administrative Agent or the Borrower may, in its discretion, agree to accept notices and other communications to it hereunder by electronic communications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approval of such procedures may be limited to particular notices or communications.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000"/>
          </w:cols>
          <w:pgMar w:left="440" w:top="270" w:right="459" w:bottom="1440" w:gutter="0" w:footer="0" w:header="0"/>
        </w:sectPr>
      </w:pPr>
    </w:p>
    <w:bookmarkStart w:id="150" w:name="page151"/>
    <w:bookmarkEnd w:id="150"/>
    <w:p>
      <w:pPr>
        <w:ind w:left="4" w:right="80" w:firstLine="987"/>
        <w:spacing w:after="0" w:line="255" w:lineRule="auto"/>
        <w:tabs>
          <w:tab w:leader="none" w:pos="124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88"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party hereto may change its address or telecopy number for notices and other communications hereunder by notice to the other</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parties hereto.</w:t>
      </w:r>
    </w:p>
    <w:p>
      <w:pPr>
        <w:spacing w:after="0" w:line="207" w:lineRule="exact"/>
        <w:rPr>
          <w:sz w:val="20"/>
          <w:szCs w:val="20"/>
          <w:color w:val="auto"/>
        </w:rPr>
      </w:pPr>
    </w:p>
    <w:p>
      <w:pPr>
        <w:ind w:left="4" w:firstLine="991"/>
        <w:spacing w:after="0" w:line="271" w:lineRule="auto"/>
        <w:rPr>
          <w:sz w:val="20"/>
          <w:szCs w:val="20"/>
          <w:color w:val="auto"/>
        </w:rPr>
      </w:pPr>
      <w:r>
        <w:rPr>
          <w:rFonts w:ascii="Times New Roman" w:cs="Times New Roman" w:eastAsia="Times New Roman" w:hAnsi="Times New Roman"/>
          <w:sz w:val="17"/>
          <w:szCs w:val="17"/>
          <w:color w:val="auto"/>
        </w:rPr>
        <w:t xml:space="preserve">SECTION 9.02. </w:t>
      </w:r>
      <w:r>
        <w:rPr>
          <w:rFonts w:ascii="Times New Roman" w:cs="Times New Roman" w:eastAsia="Times New Roman" w:hAnsi="Times New Roman"/>
          <w:sz w:val="17"/>
          <w:szCs w:val="17"/>
          <w:u w:val="single" w:color="auto"/>
          <w:color w:val="auto"/>
        </w:rPr>
        <w:t>Waivers; Amendments</w:t>
      </w:r>
      <w:r>
        <w:rPr>
          <w:rFonts w:ascii="Times New Roman" w:cs="Times New Roman" w:eastAsia="Times New Roman" w:hAnsi="Times New Roman"/>
          <w:sz w:val="17"/>
          <w:szCs w:val="17"/>
          <w:color w:val="auto"/>
        </w:rPr>
        <w:t>. (a) No failure or delay by the Administrative Agent, any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the other Loan Documents are cumulative and are not exclusive of any rights or remedies that they would otherwise have. No waiver of any provision of this Agreement or consent to any departure by the Borrower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any Lender or any Issuing Bank may have had notice or knowledge of such Default at the time.</w:t>
      </w:r>
    </w:p>
    <w:p>
      <w:pPr>
        <w:spacing w:after="0" w:line="173" w:lineRule="exact"/>
        <w:rPr>
          <w:sz w:val="20"/>
          <w:szCs w:val="20"/>
          <w:color w:val="auto"/>
        </w:rPr>
      </w:pPr>
    </w:p>
    <w:p>
      <w:pPr>
        <w:ind w:left="4" w:right="40" w:firstLine="987"/>
        <w:spacing w:after="0" w:line="267" w:lineRule="auto"/>
        <w:tabs>
          <w:tab w:leader="none" w:pos="1250" w:val="left"/>
        </w:tabs>
        <w:numPr>
          <w:ilvl w:val="1"/>
          <w:numId w:val="1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provided in Section 2.23 with respect to the extension of the Maturity Date or as provided in Section 2.20 with respect to an Incremental Term Loan Amendment or as provided in Section 2.14(b) and Section 2.14(c), neither this Agreement nor any provision hereof may be waived, amended or modified except pursuant to an agreement or agreements in writing entered into by the Borrower and the Required Lenders or by the Borrower and the Administrative Agent with the consent of the Required Lenders;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such agreement shall (i) increase the Commitment of any Lender without the written consent of such Lender, (ii) reduce the principal amount of any Loan or LC Disbursement or reduce the rate of interest thereon, or reduce any fees payable hereunder, without the written consent of each Lender directly affected thereby;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only the consent of the Required Lenders shall be necessary to amend the provisions with respect to the application or amount of the default rate described in Section 2.13(d) or waive any obligation of the Borrower to pay interest or fees at such default rate, (iii) postpone the scheduled date of payment of the principal amount of any Loan or LC Disbursement, or any interest thereon, or any fees payable hereunder, or reduce the amount of, waive or excuse any such payment, or postpone the scheduled date of expiration of any Commitment, without the written consent of each Lender directly affected thereby,</w:t>
      </w:r>
    </w:p>
    <w:p>
      <w:pPr>
        <w:spacing w:after="0" w:line="3" w:lineRule="exact"/>
        <w:rPr>
          <w:rFonts w:ascii="Times New Roman" w:cs="Times New Roman" w:eastAsia="Times New Roman" w:hAnsi="Times New Roman"/>
          <w:sz w:val="17"/>
          <w:szCs w:val="17"/>
          <w:color w:val="auto"/>
        </w:rPr>
      </w:pPr>
    </w:p>
    <w:p>
      <w:pPr>
        <w:ind w:left="4" w:right="40" w:hanging="4"/>
        <w:spacing w:after="0" w:line="253" w:lineRule="auto"/>
        <w:tabs>
          <w:tab w:leader="none" w:pos="309"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Section 2.09(c) or 2.18(b) or (d) in a manner that would alter the ratable reduction of Commitments or the pro rata sharing of payments required thereby, without the written consent of each Lender, (v) change the payment waterfall provisions of Section 2.22(b) without the written consent of each Lender, (vi) change any of the provisions of this Section or the definition of “Required Lenders” or any other provision hereof specifying the number or percentage of Lenders required to waive, amend or modify any rights hereunder or make any determination or grant any</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004"/>
          </w:cols>
          <w:pgMar w:left="436" w:top="270" w:right="459" w:bottom="1440" w:gutter="0" w:footer="0" w:header="0"/>
        </w:sectPr>
      </w:pPr>
    </w:p>
    <w:bookmarkStart w:id="151" w:name="page152"/>
    <w:bookmarkEnd w:id="151"/>
    <w:p>
      <w:pPr>
        <w:ind w:left="4"/>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consent hereunder, without the written consent of each Lender (it being understood that, solely with the consent of the parties prescribed by Section 2.20 to be parties to an Incremental Term Loan Amendment, Incremental Term Loans may be included in the determination of Required Lenders on substantially the same basis as the Commitments and the Loans are included on the Effective Date) or (vii) without the prior written consent of each Lender directly and adversely affected thereby, subordinate, or have the effect of subordinating, the Obligations hereunder to any other Debt;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that no such agreement shall amend, modify or otherwise affect the rights or duties of the Administrative Agent, the Issuing Banks or the Swingline Lender hereunder without the prior written consent of the Administrative Agent, the Issuing Banks or the Swingline Lender, as the case may be (it being understood that any change to Section 2.22 shall require the consent of the Administrative Agent, the Issuing Banks and the Swingline Lender); and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that no such agreement shall amend or modify the provisions of Section 2.06 without the prior written consent of the Administrative Agent and the Issuing Banks. Notwithstanding the foregoing, no consent with respect to any amendment, waiver or other modification of this Agreement shall be required of any Defaulting Lender, except with respect to any amendment, waiver or other modification referred to in clause (i),</w:t>
      </w:r>
    </w:p>
    <w:p>
      <w:pPr>
        <w:spacing w:after="0" w:line="4" w:lineRule="exact"/>
        <w:rPr>
          <w:sz w:val="20"/>
          <w:szCs w:val="20"/>
          <w:color w:val="auto"/>
        </w:rPr>
      </w:pPr>
    </w:p>
    <w:p>
      <w:pPr>
        <w:ind w:left="4" w:right="100" w:hanging="4"/>
        <w:spacing w:after="0" w:line="260" w:lineRule="auto"/>
        <w:tabs>
          <w:tab w:leader="none" w:pos="269"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(iii) of the first proviso of this paragraph and then only in the event such Defaulting Lender shall be directly affected by such amendment, waiver or other modification.</w:t>
      </w:r>
    </w:p>
    <w:p>
      <w:pPr>
        <w:spacing w:after="0" w:line="181" w:lineRule="exact"/>
        <w:rPr>
          <w:rFonts w:ascii="Times New Roman" w:cs="Times New Roman" w:eastAsia="Times New Roman" w:hAnsi="Times New Roman"/>
          <w:sz w:val="18"/>
          <w:szCs w:val="18"/>
          <w:color w:val="auto"/>
        </w:rPr>
      </w:pPr>
    </w:p>
    <w:p>
      <w:pPr>
        <w:ind w:left="4" w:right="140" w:firstLine="987"/>
        <w:spacing w:after="0" w:line="256" w:lineRule="auto"/>
        <w:tabs>
          <w:tab w:leader="none" w:pos="1240"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this Agreement and any other Loan Document may be amended (or amended and restated) with the written consent of the Required Lenders, the Administrative Agent and the Borrower (x) to add one or more credit facilities (in addition to the Incremental Term Loans pursuant to an Incremental Term Loan Amendment) to this Agreement and to permit extensions of credit from time to time outstanding thereunder and the accrued interest and fees in respect thereof to share ratably in the benefits of this Agreement and the other Loan Documents with the Revolving Loans, Incremental Term Loans and the accrued interest and fees in respect thereof and (y) to include appropriately the Lenders holding such credit facilities in any determination of the Required Lenders and Lenders.</w:t>
      </w:r>
    </w:p>
    <w:p>
      <w:pPr>
        <w:spacing w:after="0" w:line="187" w:lineRule="exact"/>
        <w:rPr>
          <w:rFonts w:ascii="Times New Roman" w:cs="Times New Roman" w:eastAsia="Times New Roman" w:hAnsi="Times New Roman"/>
          <w:sz w:val="18"/>
          <w:szCs w:val="18"/>
          <w:color w:val="auto"/>
        </w:rPr>
      </w:pPr>
    </w:p>
    <w:p>
      <w:pPr>
        <w:ind w:left="4" w:right="20" w:firstLine="987"/>
        <w:spacing w:after="0" w:line="252" w:lineRule="auto"/>
        <w:tabs>
          <w:tab w:leader="none" w:pos="1250"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 connection with any proposed amendment, waiver or consent requiring the consent of “each Lender” or “each Lender directly affected thereby,” the consent of the Required Lenders is obtained, but the consent of other necessary Lenders is not obtained (any such Lender whose consent is necessary but not obtained being referred to herein as a “</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xml:space="preserve">”), then the Borrower may elect to replace a Non-Consenting Lender as a Lender party to this Agreement, provided that, concurrently with such replacement, (i) another bank or other entity which is reasonably satisfactory to the Borrower and the Administrative Agent shall agree, as of such date, to purchase for cash the Loans and other Obligations due to the Non-Consenting Lender pursuant to an Assignment and Assumption and to become a Lender for all purposes under this Agreement and to assume all obligations of the Non-Consenting Lender to be terminated as of such date and to comply with the requirements of clause (b) of Section 9.04, (ii) the Borrower shall pay to such Non-Consenting Lender in same day funds on the day of such replacement (1) all interest, fees and other amounts then accrued but unpaid to such Non-Consenting Lender by the Borrower hereunder to and including the date of termination, including without limitation payments due to such Non-Consenting Lender under Sections 2.15 and 2.17, and (2) an amount, if any, equal to the payment which would have been due to such Lender on the day of such replacement under Section 2.16 had the Loans of such Non-Consenting Lender been prepaid on such date rather than sold to the replacement Lender and (iii) such Non-Consenting Lender shall have received the outstanding principal amount of its Loans and participations in LC Disbursements. Each party hereto agrees that (i) an assignment required pursuant to this paragraph may be effected pursuant to an Assignment and Assumption executed by the Borrower, the Administrative Agent and the assignee (or, to the extent applicable, an agreement incorporating an Assignment and Assumption by reference pursuant to an Approved Electronic Platform as to which the Administrative Agent and such parties are participants), and (ii) the Lender required to make such assignment need not be a party thereto in order for such assignment to be effective and shall be deemed to have consented to and be bound by the terms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following the effectiveness of any such assignment, the other parties to such assignment agree to execute and deliver such documents necessary to evidence such assignment as reasonably requested by the applicable Lender, provided that any such documents shall be without recourse to or warranty by the parties thereto.</w:t>
      </w:r>
    </w:p>
    <w:p>
      <w:pPr>
        <w:spacing w:after="0" w:line="123"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004"/>
          </w:cols>
          <w:pgMar w:left="436" w:top="270" w:right="459" w:bottom="1440" w:gutter="0" w:footer="0" w:header="0"/>
        </w:sectPr>
      </w:pPr>
    </w:p>
    <w:bookmarkStart w:id="152" w:name="page153"/>
    <w:bookmarkEnd w:id="152"/>
    <w:p>
      <w:pPr>
        <w:ind w:right="160" w:firstLine="987"/>
        <w:spacing w:after="0" w:line="258" w:lineRule="auto"/>
        <w:tabs>
          <w:tab w:leader="none" w:pos="1236"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herein to the contrary, as to any amendment or amendment and restatement otherwise approved in accordance with this Section, it shall not be necessary to obtain the consent or approval of any Lender that, upon giving effect to such amendment or amendment and restatement, would have no Commitment or outstanding Loans so long as such Lender receives payment in full of the principal of and interest accrued on each Loan made by, and all other amounts owing to, such Lender or accrued for the account of such Lender under this Agreement and the other Loan Documents at the time such amendment, amendment and restatement or other modification becomes effective.</w:t>
      </w:r>
    </w:p>
    <w:p>
      <w:pPr>
        <w:spacing w:after="0" w:line="183" w:lineRule="exact"/>
        <w:rPr>
          <w:rFonts w:ascii="Times New Roman" w:cs="Times New Roman" w:eastAsia="Times New Roman" w:hAnsi="Times New Roman"/>
          <w:sz w:val="18"/>
          <w:szCs w:val="18"/>
          <w:color w:val="auto"/>
        </w:rPr>
      </w:pPr>
    </w:p>
    <w:p>
      <w:pPr>
        <w:ind w:right="120" w:firstLine="987"/>
        <w:spacing w:after="0" w:line="281" w:lineRule="auto"/>
        <w:tabs>
          <w:tab w:leader="none" w:pos="1216" w:val="left"/>
        </w:tabs>
        <w:numPr>
          <w:ilvl w:val="0"/>
          <w:numId w:val="1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herein, if the Administrative Agent and the Borrower acting together identify any ambiguity, omission, mistake, typographical error or other defect in any provision of this Agreement or any other Loan Document, then the Administrative Agent and the Borrower shall be permitted to amend, modify or supplement such provision to cure such ambiguity, omission, mistake, typographical error or other defect, and such amendment shall become effective without any further action or consent of any other party to this Agreement.</w:t>
      </w:r>
    </w:p>
    <w:p>
      <w:pPr>
        <w:spacing w:after="0" w:line="16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u w:val="single" w:color="auto"/>
          <w:color w:val="auto"/>
        </w:rPr>
        <w:t>Expenses; Limitation of Liability; Indemnity, Etc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3" w:lineRule="auto"/>
        <w:tabs>
          <w:tab w:leader="none" w:pos="1236"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The Borrower shall pay (i) all reasonable and documented out-of-pocket expenses incurred by the Administrative Agent and its Affiliates, including the reasonable fees, charges and disbursements of counsel for the Administrative Agent, in connection with the syndication and distribution (including, without limitation, via the internet or through a service such as SyndTrak or Intralinks) of the credit facilities provided for herein, the preparation and administration of this Agreement and the other Loan Documents or any amendments, modifications or waivers of the provisions hereof or thereof (whether or not the transactions contemplated hereby or thereby shall be consummated), (ii) all reasonable and documented out-of-pocket expenses incurred by the Issuing Banks in connection with the issuance, amendment or extension of any Letter of Credit or any demand for payment thereunder and (iii) all documented out-of-pocket expenses incurred by the Administrative Agent, any Issuing Bank or any Lender, including the reasonable fees, charges and disbursements of any outside counsel for the Administrative Agent, any Issuing Bank or any Lender, in connection with the enforcement or protection of its rights in connection with this Agreement and any other Loan Document, including its rights under this Section, or in connection with the Loans made or Letters of Credit issued hereunder, including all such out-of-pocket expenses incurred during any workout, restructuring or negotiations in respect of such Loans or Letters of Credit.</w:t>
      </w:r>
    </w:p>
    <w:p>
      <w:pPr>
        <w:spacing w:after="0" w:line="191" w:lineRule="exact"/>
        <w:rPr>
          <w:rFonts w:ascii="Times New Roman" w:cs="Times New Roman" w:eastAsia="Times New Roman" w:hAnsi="Times New Roman"/>
          <w:sz w:val="18"/>
          <w:szCs w:val="18"/>
          <w:color w:val="auto"/>
        </w:rPr>
      </w:pPr>
    </w:p>
    <w:p>
      <w:pPr>
        <w:ind w:firstLine="987"/>
        <w:spacing w:after="0" w:line="253" w:lineRule="auto"/>
        <w:tabs>
          <w:tab w:leader="none" w:pos="1246"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To the extent permitted by applicable law (i) the Borrower shall not assert, and the Borrower hereby waives, any claim against the Administrative Agent, any Arranger, any Co-Syndication Agent, any Co-Documentation Agent, any Issuing Bank and any Lender, and any Related Party of any of the foregoing Persons (each such Person being called a “</w:t>
      </w:r>
      <w:r>
        <w:rPr>
          <w:rFonts w:ascii="Times New Roman" w:cs="Times New Roman" w:eastAsia="Times New Roman" w:hAnsi="Times New Roman"/>
          <w:sz w:val="18"/>
          <w:szCs w:val="18"/>
          <w:u w:val="single" w:color="auto"/>
          <w:color w:val="auto"/>
        </w:rPr>
        <w:t>Lender-Related Person</w:t>
      </w:r>
      <w:r>
        <w:rPr>
          <w:rFonts w:ascii="Times New Roman" w:cs="Times New Roman" w:eastAsia="Times New Roman" w:hAnsi="Times New Roman"/>
          <w:sz w:val="18"/>
          <w:szCs w:val="18"/>
          <w:color w:val="auto"/>
        </w:rPr>
        <w:t xml:space="preserve">”) for any Liabilities arising from the use by others of information or other materials (including, without limitation, any personal data) obtained through telecommunications, electronic or other information transmission systems (including the Internet, any Approved Electronic Platform and any Approved Borrower Portal), and (ii) no party hereto shall assert, and each such party hereby waives, any Liabilities against any other party hereto,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Section 9.03(b) shall relieve the Borrower of any obligation it may have to indemnify an Indemnitee, as provided in Section 9.03(c), against any special, indirect, consequential or punitive damages asserted against such Indemnitee by a third party.</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000"/>
          </w:cols>
          <w:pgMar w:left="440" w:top="270" w:right="459" w:bottom="1440" w:gutter="0" w:footer="0" w:header="0"/>
        </w:sectPr>
      </w:pPr>
    </w:p>
    <w:bookmarkStart w:id="153" w:name="page154"/>
    <w:bookmarkEnd w:id="153"/>
    <w:p>
      <w:pPr>
        <w:ind w:left="4" w:right="180"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 </w:t>
      </w:r>
      <w:r>
        <w:rPr>
          <w:rFonts w:ascii="Times New Roman" w:cs="Times New Roman" w:eastAsia="Times New Roman" w:hAnsi="Times New Roman"/>
          <w:sz w:val="18"/>
          <w:szCs w:val="18"/>
          <w:u w:val="single" w:color="auto"/>
          <w:color w:val="auto"/>
        </w:rPr>
        <w:t>Indemnity</w:t>
      </w:r>
      <w:r>
        <w:rPr>
          <w:rFonts w:ascii="Times New Roman" w:cs="Times New Roman" w:eastAsia="Times New Roman" w:hAnsi="Times New Roman"/>
          <w:sz w:val="18"/>
          <w:szCs w:val="18"/>
          <w:color w:val="auto"/>
        </w:rPr>
        <w:t>. The Borrower shall indemnify the Administrative Agent, each Arranger, each Co-Syndication Agent, each Co-Documentation Agent, each Issuing Bank and each Lender, and each Related Party of any of the foregoing Persons (each such Person being called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against, and hold each Indemnitee harmless from, any and all Liabilities and related expenses, including the fees, charges and disbursements of any counsel for any Indemnitee, incurred by or asserted against any Indemnitee arising out of, in connection with, or as a result of</w:t>
      </w:r>
    </w:p>
    <w:p>
      <w:pPr>
        <w:spacing w:after="0" w:line="3" w:lineRule="exact"/>
        <w:rPr>
          <w:sz w:val="20"/>
          <w:szCs w:val="20"/>
          <w:color w:val="auto"/>
        </w:rPr>
      </w:pPr>
    </w:p>
    <w:p>
      <w:pPr>
        <w:ind w:left="4" w:hanging="4"/>
        <w:spacing w:after="0" w:line="267" w:lineRule="auto"/>
        <w:tabs>
          <w:tab w:leader="none" w:pos="219" w:val="left"/>
        </w:tabs>
        <w:numPr>
          <w:ilvl w:val="0"/>
          <w:numId w:val="1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execution or delivery of this Agreement, any other Loan Document, or any agreement or instrument contemplated hereby or thereby, (ii) the performance by the parties hereto of their respective obligations hereunder or thereunder or the consummation of the Transactions or any other transactions contemplated hereby, (iii) any Loan or Letter of Credit or the use of the proceeds therefrom (including any refusal by the applicable Issuing Bank to honor a demand for payment under a Letter of Credit if the documents presented in connection with such demand do not strictly comply with the terms of such Letter of Credit), (iv) any actual or alleged presence or release of Hazardous Materials on or from any property owned or operated by the Borrower or any of its Subsidiaries, or any Environmental Liability related in any way to the Borrower or any of its Subsidiaries, or (v) any actual or prospective Proceeding relating to any of the foregoing, whether or not such Proceeding is brought by the Borrower or its equity holders, Affiliates, creditors or any other third Person and whether based on contract, tort or any other theory and regardless of whether any Indemnitee is a party thereto;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indemnity shall not, as to any Indemnitee, be available to the extent that such Liabilities or related expenses are determined by a court of competent jurisdiction by final and nonappealable judgment to have resulted from the gross negligence or willful misconduct of such Indemnitee. This Section 9.03(c) shall not apply with respect to Taxes other than any Taxes that represent losses, claims or damages arising from any non-Tax claim.</w:t>
      </w:r>
    </w:p>
    <w:p>
      <w:pPr>
        <w:spacing w:after="0" w:line="181" w:lineRule="exact"/>
        <w:rPr>
          <w:rFonts w:ascii="Times New Roman" w:cs="Times New Roman" w:eastAsia="Times New Roman" w:hAnsi="Times New Roman"/>
          <w:sz w:val="17"/>
          <w:szCs w:val="17"/>
          <w:color w:val="auto"/>
        </w:rPr>
      </w:pPr>
    </w:p>
    <w:p>
      <w:pPr>
        <w:ind w:left="4" w:firstLine="987"/>
        <w:spacing w:after="0" w:line="252" w:lineRule="auto"/>
        <w:tabs>
          <w:tab w:leader="none" w:pos="1250"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Lender Reimbursement</w:t>
      </w:r>
      <w:r>
        <w:rPr>
          <w:rFonts w:ascii="Times New Roman" w:cs="Times New Roman" w:eastAsia="Times New Roman" w:hAnsi="Times New Roman"/>
          <w:sz w:val="18"/>
          <w:szCs w:val="18"/>
          <w:color w:val="auto"/>
        </w:rPr>
        <w:t>. Each Lender severally agrees to pay any amount required to be paid by the Borrower under paragraph (a), (b) or (c) of this Section 9.03 to the Administrative Agent, the Issuing Banks and the Swingline Lender, and each Related Party of any of the foregoing Persons (each, an “</w:t>
      </w:r>
      <w:r>
        <w:rPr>
          <w:rFonts w:ascii="Times New Roman" w:cs="Times New Roman" w:eastAsia="Times New Roman" w:hAnsi="Times New Roman"/>
          <w:sz w:val="18"/>
          <w:szCs w:val="18"/>
          <w:u w:val="single" w:color="auto"/>
          <w:color w:val="auto"/>
        </w:rPr>
        <w:t>Agent-Related Person</w:t>
      </w:r>
      <w:r>
        <w:rPr>
          <w:rFonts w:ascii="Times New Roman" w:cs="Times New Roman" w:eastAsia="Times New Roman" w:hAnsi="Times New Roman"/>
          <w:sz w:val="18"/>
          <w:szCs w:val="18"/>
          <w:color w:val="auto"/>
        </w:rPr>
        <w:t xml:space="preserve">”) (to the extent not reimbursed by the Borrower and without limiting the obligation of the Borrower to do so), ratably according to their respective Applicable Percentage in effect on the date on which such payment is sought under this Section (or, if such payment is sought after the date upon which the Commitments shall have terminated and the Loans shall have been paid in full, ratably in accordance with such Applicable Percentage immediately prior to such date), and agrees to indemnify and hold each Agent-Related Person harmless from and against any and all Liabilities and related expenses, including the fees, charges and disbursements of any kind whatsoever that may at any time (whether before or after the payment of the Loans) be imposed on, incurred by or asserted against such Agent-Related Person in any way relating to or arising out of the Commitments, this Agreement, any of the other Loan Documents or any documents contemplated by or referred to herein or therein or the transactions contemplated hereby or thereby or any action taken or omitted by such Agent-Related Person under or in connection with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unreimbursed expense or Liability or related expense, as the case may be, was incurred by or asserted against such Agent-Related Person in its capacity as such;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no Lender shall be liable for the payment of any portion of such Liabilities, costs, expenses or disbursements that are found by a final and nonappealable decision of a court of competent jurisdiction to have resulted primarily from such Agent-Related Person’s gross negligence or willful misconduct. The agreements in this Section shall survive the termination of this Agreement and the payment of the Loans and all other amounts payable hereunder.</w:t>
      </w:r>
    </w:p>
    <w:p>
      <w:pPr>
        <w:spacing w:after="0" w:line="19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All amounts due under this Section 9.03 shall be payable not later than fifteen (15) days after written demand therefor.</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004"/>
          </w:cols>
          <w:pgMar w:left="436" w:top="270" w:right="459" w:bottom="1440" w:gutter="0" w:footer="0" w:header="0"/>
        </w:sectPr>
      </w:pPr>
    </w:p>
    <w:bookmarkStart w:id="154" w:name="page155"/>
    <w:bookmarkEnd w:id="154"/>
    <w:p>
      <w:pPr>
        <w:ind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9.04.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(a) The provisions of this Agreement shall be binding upon and inure to the benefit of the parties hereto and their respective successors and assigns permitted hereby (including any Affiliate of any Issuing Bank that issues any Letter of Credit), except that (i)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any Issuing Bank that issues any Letter of Credit), Participants (to the extent provided in paragraph (c) of this Section) and, to the extent expressly contemplated hereby, the Related Parties of each of the Administrative Agent, the Issuing Banks and the Lenders) any legal or equitable right, remedy or claim under or by reason of this Agreement.</w:t>
      </w:r>
    </w:p>
    <w:p>
      <w:pPr>
        <w:spacing w:after="0" w:line="188" w:lineRule="exact"/>
        <w:rPr>
          <w:sz w:val="20"/>
          <w:szCs w:val="20"/>
          <w:color w:val="auto"/>
        </w:rPr>
      </w:pPr>
    </w:p>
    <w:p>
      <w:pPr>
        <w:ind w:right="180" w:firstLine="987"/>
        <w:spacing w:after="0" w:line="261" w:lineRule="auto"/>
        <w:tabs>
          <w:tab w:leader="none" w:pos="1246"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Subject to the conditions set forth in paragraph (b)(ii) below, any Lender may assign to one or more Persons (other than an Ineligible Institution) all or a portion of its rights and obligations under this Agreement (including all or a portion of its Commitment, participations in Letters of Credit and the Loans at the time owing to it) with the prior written consent (such consent not to be unreasonably withheld, conditioned or delayed) of:</w:t>
      </w:r>
    </w:p>
    <w:p>
      <w:pPr>
        <w:spacing w:after="0" w:line="71" w:lineRule="exact"/>
        <w:rPr>
          <w:rFonts w:ascii="Times New Roman" w:cs="Times New Roman" w:eastAsia="Times New Roman" w:hAnsi="Times New Roman"/>
          <w:sz w:val="18"/>
          <w:szCs w:val="18"/>
          <w:color w:val="auto"/>
        </w:rPr>
      </w:pPr>
    </w:p>
    <w:p>
      <w:pPr>
        <w:ind w:left="980" w:firstLine="408"/>
        <w:spacing w:after="0" w:line="261" w:lineRule="auto"/>
        <w:tabs>
          <w:tab w:leader="none" w:pos="1676" w:val="left"/>
        </w:tabs>
        <w:numPr>
          <w:ilvl w:val="2"/>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(provided that the Borrower shall be deemed to have consented to any such assignment unless it shall object thereto by written notice to the Administrative Agent within ten (10) Business Days after having received notice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 consent of the Borrower shall be required for an assignment to a Lender, an Affiliate of a Lender, an Approved Fund or, if an Event of Default has occurred and is continuing, any other assignee;</w:t>
      </w:r>
    </w:p>
    <w:p>
      <w:pPr>
        <w:spacing w:after="0" w:line="71"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2"/>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w:t>
      </w:r>
    </w:p>
    <w:p>
      <w:pPr>
        <w:spacing w:after="0" w:line="117" w:lineRule="exact"/>
        <w:rPr>
          <w:rFonts w:ascii="Times New Roman" w:cs="Times New Roman" w:eastAsia="Times New Roman" w:hAnsi="Times New Roman"/>
          <w:sz w:val="18"/>
          <w:szCs w:val="18"/>
          <w:color w:val="auto"/>
        </w:rPr>
      </w:pPr>
    </w:p>
    <w:p>
      <w:pPr>
        <w:ind w:left="980" w:firstLine="408"/>
        <w:spacing w:after="0" w:line="282" w:lineRule="auto"/>
        <w:tabs>
          <w:tab w:leader="none" w:pos="1666" w:val="left"/>
        </w:tabs>
        <w:numPr>
          <w:ilvl w:val="2"/>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Issuing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consent of an Issuing Bank shall be required if (x) an Event of Default occurs with respect to the Borrower under Section 7.01(f) and (y) such Issuing Bank has no outstanding Letters of Credit at that time; and</w:t>
      </w:r>
    </w:p>
    <w:p>
      <w:pPr>
        <w:spacing w:after="0" w:line="53" w:lineRule="exact"/>
        <w:rPr>
          <w:rFonts w:ascii="Times New Roman" w:cs="Times New Roman" w:eastAsia="Times New Roman" w:hAnsi="Times New Roman"/>
          <w:sz w:val="18"/>
          <w:szCs w:val="18"/>
          <w:color w:val="auto"/>
        </w:rPr>
      </w:pPr>
    </w:p>
    <w:p>
      <w:pPr>
        <w:ind w:left="980" w:right="120" w:firstLine="408"/>
        <w:spacing w:after="0" w:line="282" w:lineRule="auto"/>
        <w:tabs>
          <w:tab w:leader="none" w:pos="1676" w:val="left"/>
        </w:tabs>
        <w:numPr>
          <w:ilvl w:val="2"/>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Swingline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consent of the Swingline Lender shall be required if (x) an Event of Default occurs with respect to the Borrower under Section 7.01(f) and (y) the Swingline Lender has no outstanding Swingline Loans at that time.</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Assignments shall be subject to the following additional conditions:</w:t>
      </w:r>
    </w:p>
    <w:p>
      <w:pPr>
        <w:spacing w:after="0" w:line="117" w:lineRule="exact"/>
        <w:rPr>
          <w:rFonts w:ascii="Times New Roman" w:cs="Times New Roman" w:eastAsia="Times New Roman" w:hAnsi="Times New Roman"/>
          <w:sz w:val="18"/>
          <w:szCs w:val="18"/>
          <w:color w:val="auto"/>
        </w:rPr>
      </w:pPr>
    </w:p>
    <w:p>
      <w:pPr>
        <w:ind w:left="980" w:right="20" w:firstLine="408"/>
        <w:spacing w:after="0" w:line="277" w:lineRule="auto"/>
        <w:tabs>
          <w:tab w:leader="none" w:pos="1676" w:val="left"/>
        </w:tabs>
        <w:numPr>
          <w:ilvl w:val="2"/>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in the case of an assignment to a Lender or an Affiliate of a Lender or an Approved Fund or an assignment of the entire remaining amount of the assigning Lender’s Commitment or Loans of any Class, the amount of the Commitment or Loans of the assigning Lender subject to each such assignment (determined as of the date the Assignment and Assumption with respect to such assignment is delivered to the Administrative Agent) shall not be less than $5,000,000 unless each of the Borrower and the Administrative Agent otherwise consent;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such consent of the Borrower shall be required if an Event of Default has occurred and is continuing;</w:t>
      </w:r>
    </w:p>
    <w:p>
      <w:pPr>
        <w:spacing w:after="0" w:line="59" w:lineRule="exact"/>
        <w:rPr>
          <w:rFonts w:ascii="Times New Roman" w:cs="Times New Roman" w:eastAsia="Times New Roman" w:hAnsi="Times New Roman"/>
          <w:sz w:val="17"/>
          <w:szCs w:val="17"/>
          <w:color w:val="auto"/>
        </w:rPr>
      </w:pPr>
    </w:p>
    <w:p>
      <w:pPr>
        <w:ind w:left="1680" w:hanging="292"/>
        <w:spacing w:after="0"/>
        <w:tabs>
          <w:tab w:leader="none" w:pos="1680" w:val="left"/>
        </w:tabs>
        <w:numPr>
          <w:ilvl w:val="2"/>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partial assignment shall be made as an assignment of a proportionate part of all the assigning Lender’s rights and</w:t>
      </w:r>
    </w:p>
    <w:p>
      <w:pPr>
        <w:spacing w:after="0" w:line="27" w:lineRule="exact"/>
        <w:rPr>
          <w:rFonts w:ascii="Times New Roman" w:cs="Times New Roman" w:eastAsia="Times New Roman" w:hAnsi="Times New Roman"/>
          <w:sz w:val="18"/>
          <w:szCs w:val="18"/>
          <w:color w:val="auto"/>
        </w:rPr>
      </w:pPr>
    </w:p>
    <w:p>
      <w:pPr>
        <w:ind w:left="980" w:right="1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obligations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clause shall not be construed to prohibit the assignment of a proportionate part of all the assigning Lender’s rights and obligations in respect of one Class of Commitments or Loans;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000"/>
          </w:cols>
          <w:pgMar w:left="440" w:top="270" w:right="459" w:bottom="1440" w:gutter="0" w:footer="0" w:header="0"/>
        </w:sectPr>
      </w:pPr>
    </w:p>
    <w:bookmarkStart w:id="155" w:name="page156"/>
    <w:bookmarkEnd w:id="155"/>
    <w:p>
      <w:pPr>
        <w:ind w:left="980" w:right="40" w:firstLine="408"/>
        <w:spacing w:after="0" w:line="261" w:lineRule="auto"/>
        <w:tabs>
          <w:tab w:leader="none" w:pos="1666"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parties to each assignment shall execute and deliver to the Administrative Agent (x) an Assignment and Assumption or (y) to the extent applicable, an agreement incorporating an Assignment and Assumption by reference pursuant to an Approved Electronic Platform as to which the Administrative Agent and the parties to the Assignment and Assumption are participants, together with a processing and recordation fee of $3,500; and</w:t>
      </w:r>
    </w:p>
    <w:p>
      <w:pPr>
        <w:spacing w:after="0" w:line="71" w:lineRule="exact"/>
        <w:rPr>
          <w:rFonts w:ascii="Times New Roman" w:cs="Times New Roman" w:eastAsia="Times New Roman" w:hAnsi="Times New Roman"/>
          <w:sz w:val="18"/>
          <w:szCs w:val="18"/>
          <w:color w:val="auto"/>
        </w:rPr>
      </w:pPr>
    </w:p>
    <w:p>
      <w:pPr>
        <w:ind w:left="980" w:right="180" w:firstLine="408"/>
        <w:spacing w:after="0" w:line="258" w:lineRule="auto"/>
        <w:tabs>
          <w:tab w:leader="none" w:pos="1676"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assignee, if it shall not be a Lender, shall deliver to the Administrative Agent an Administrative Questionnaire in which the assignee designates one or more credit contacts to whom all syndicate-level information (which may contain material non-public information about the Borrower and its Affiliates and their Related Parties or their respective securities) will be made available and who may receive such information in accordance with the assignee’s compliance procedures and applicable laws, including federal and state securities laws.</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For the purposes of this Section 9.04(b), the terms “Approved Fund” and “Ineligible Institution” have the following meanings:</w:t>
      </w:r>
    </w:p>
    <w:p>
      <w:pPr>
        <w:spacing w:after="0" w:line="117" w:lineRule="exact"/>
        <w:rPr>
          <w:sz w:val="20"/>
          <w:szCs w:val="20"/>
          <w:color w:val="auto"/>
        </w:rPr>
      </w:pPr>
    </w:p>
    <w:p>
      <w:pPr>
        <w:jc w:val="both"/>
        <w:ind w:right="3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176"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Ineligible Institution</w:t>
      </w:r>
      <w:r>
        <w:rPr>
          <w:rFonts w:ascii="Times New Roman" w:cs="Times New Roman" w:eastAsia="Times New Roman" w:hAnsi="Times New Roman"/>
          <w:sz w:val="18"/>
          <w:szCs w:val="18"/>
          <w:color w:val="auto"/>
        </w:rPr>
        <w:t>” means (a) a natural person, (b) a Defaulting Lender or its Lender Parent, (c) the Borrower, any of its Subsidiaries or any of its Affiliates, or (d) a company, investment vehicle or trust for, or owned and operated for the primary benefit of, a natural person or relative(s) thereof.</w:t>
      </w:r>
    </w:p>
    <w:p>
      <w:pPr>
        <w:spacing w:after="0" w:line="68" w:lineRule="exact"/>
        <w:rPr>
          <w:sz w:val="20"/>
          <w:szCs w:val="20"/>
          <w:color w:val="auto"/>
        </w:rPr>
      </w:pPr>
    </w:p>
    <w:p>
      <w:pPr>
        <w:ind w:left="440" w:right="60" w:firstLine="419"/>
        <w:spacing w:after="0" w:line="254" w:lineRule="auto"/>
        <w:tabs>
          <w:tab w:leader="none" w:pos="1178"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acceptance and recording thereof pursuant to paragraph (b)(iv)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2.15, 2.16, 2.17 and 9.03). Any assignment or transfer by a Lender of rights or obligations under this Agreement that does not comply with this Section 9.04 shall be treated for purposes of this Agreement as a sale by such Lender of a participation in such rights and obligations in accordance with paragraph (c) of this Section.</w:t>
      </w:r>
    </w:p>
    <w:p>
      <w:pPr>
        <w:spacing w:after="0" w:line="83" w:lineRule="exact"/>
        <w:rPr>
          <w:rFonts w:ascii="Times New Roman" w:cs="Times New Roman" w:eastAsia="Times New Roman" w:hAnsi="Times New Roman"/>
          <w:sz w:val="18"/>
          <w:szCs w:val="18"/>
          <w:color w:val="auto"/>
        </w:rPr>
      </w:pPr>
    </w:p>
    <w:p>
      <w:pPr>
        <w:ind w:left="440" w:right="20" w:firstLine="419"/>
        <w:spacing w:after="0" w:line="255" w:lineRule="auto"/>
        <w:tabs>
          <w:tab w:leader="none" w:pos="1168"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acting for this purpose as a non-fiduciary agent of the Borrower, shall maintain at one of its offices a copy of each Assignment and Assumption delivered to it and a register for the recordation of the names and addresses of the Lenders, and the Commitment of, and principal amount (and stated interest) of the Loans and LC Disbursements owing to, each Lender pursuant to the terms hereof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entries in the Register shall be conclusive, and the Borrower, the Administrative Agent, the Issuing Banks and the Lenders shall treat each Person whose name is recorded in the Register pursuant to the terms hereof as a Lender hereunder for all purposes of this Agreement, notwithstanding notice to the contrary. The Register shall be available for inspection by the Borrower, any Issuing Bank and any Lender, at any reasonable time and from time to time upon reasonable prior notice.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0980"/>
          </w:cols>
          <w:pgMar w:left="440" w:top="270" w:right="479" w:bottom="1440" w:gutter="0" w:footer="0" w:header="0"/>
        </w:sectPr>
      </w:pPr>
    </w:p>
    <w:bookmarkStart w:id="156" w:name="page157"/>
    <w:bookmarkEnd w:id="156"/>
    <w:p>
      <w:pPr>
        <w:ind w:left="440" w:right="160" w:firstLine="419"/>
        <w:spacing w:after="0" w:line="253" w:lineRule="auto"/>
        <w:tabs>
          <w:tab w:leader="none" w:pos="1118"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Upon its receipt of (x) a duly completed Assignment and Assumption executed by an assigning Lender and an assignee or (y) to the extent applicable, an agreement incorporating an Assignment and Assumption by reference pursuant to an Approved Electronic Platform as to which the Administrative Agent and the parties to the Assignment and Assumption are participants,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either the assigning Lender or the assignee shall have failed to make any payment required to be made by it pursuant to Section 2.05(c), 2.06(d) or (e), 2.07(b), 2.18(e) or 9.03(d),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194" w:lineRule="exact"/>
        <w:rPr>
          <w:rFonts w:ascii="Times New Roman" w:cs="Times New Roman" w:eastAsia="Times New Roman" w:hAnsi="Times New Roman"/>
          <w:sz w:val="18"/>
          <w:szCs w:val="18"/>
          <w:color w:val="auto"/>
        </w:rPr>
      </w:pPr>
    </w:p>
    <w:p>
      <w:pPr>
        <w:ind w:firstLine="987"/>
        <w:spacing w:after="0" w:line="251" w:lineRule="auto"/>
        <w:tabs>
          <w:tab w:leader="none" w:pos="1236"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may, without the consent of, or notice to, the Borrower, the Administrative Agent, any Issuing Bank or the Swingline Lender, sell participations to one or more banks or other entities (a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other than an Ineligible Institution, in all or a portion of such Lender’s rights and/or obligations under this Agreement (including all or a portion of its Commitment and/or the Loans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Lender’s obligations under this Agreement shall remain unchanged; (B) such Lender shall remain solely responsible to the other parties hereto for the performance of such obligations; and (C) the Borrower, the Administrative Agent, the Issuing 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provided that such agreement or instrument may provide that such Lender will not, without the consent of the Participant, agree to any amendment, modification or waiver described in the first proviso to Section 9.02(b) that affects such Participant. The Borrower agrees that each Participant shall be entitled to the benefits of Sections 2.15, 2.16 and 2.17 (subject to the requirements and limitations therein, including the requirements under Section 2.17(f) (it being understood that the documentation required under Section 2.17(f) shall be delivered to the participating Lender)) to the same extent as if it were a Lender and had acquired its interest by assignment pursuant to paragraph (b) of this Section; provided that such Participant (A) agrees to be subject to the provisions of Sections 2.18 and 2.19 as if it were an assignee under paragraph (b) of this Section; and (B) shall not be entitled to receive any greater payment under Section 2.15 or 2.17, with respect to any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Section 2.19(b) with respect to any Participant. To the extent permitted by law, each Participant also shall be entitled to the benefits of Section 9.08 as though it were a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Participant agrees to be subject to Section 2.18(d)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have any obligation to disclose all or any portion of the Participant Register (including the identity of any Participant or any information relating to a Participant’s interest in</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000"/>
          </w:cols>
          <w:pgMar w:left="440" w:top="270" w:right="459" w:bottom="1440" w:gutter="0" w:footer="0" w:header="0"/>
        </w:sectPr>
      </w:pPr>
    </w:p>
    <w:bookmarkStart w:id="157" w:name="page158"/>
    <w:bookmarkEnd w:id="157"/>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or Section 1.163-5(b) of the Proposed United States Treasury Regulations (or, in each case, any amended or successor version).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89" w:lineRule="exact"/>
        <w:rPr>
          <w:sz w:val="20"/>
          <w:szCs w:val="20"/>
          <w:color w:val="auto"/>
        </w:rPr>
      </w:pPr>
    </w:p>
    <w:p>
      <w:pPr>
        <w:ind w:right="80" w:firstLine="987"/>
        <w:spacing w:after="0" w:line="258" w:lineRule="auto"/>
        <w:tabs>
          <w:tab w:leader="none" w:pos="1246"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may at any time pledge or assign a security interest in all or any portion of its rights under this Agreement to secure obligations of such Lender, including any pledge or assignment to secure obligations to a Federal Reserve Bank or any other central bank having jurisdiction over such Lender, and this Section shall not apply to any such pledge or assignment of a security interest;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pledge or assignment of a security interest shall release a Lender from any of its obligations hereunder or substitute any such pledgee or assignee for such Lender as a party hereto.</w:t>
      </w:r>
    </w:p>
    <w:p>
      <w:pPr>
        <w:spacing w:after="0" w:line="183"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All covenants, agreements, representations and warranties made by the Borrower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or any other Loan Document is outstanding and unpaid or any Letter of Credit is outstanding and so long as the Commitments have not expired or terminated. The provisions of Sections 2.15, 2.16, 2.17 and 9.03 and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shall survive and remain in full force and effect regardless of the consummation of the transactions contemplated hereby, the repayment of the Loans, the expiration or termination of the Letters of Credit and the Commitments or the termination of this Agreement or any other Loan Document or any provision hereof or thereof.</w:t>
      </w:r>
    </w:p>
    <w:p>
      <w:pPr>
        <w:spacing w:after="0" w:line="192"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u w:val="single" w:color="auto"/>
          <w:color w:val="auto"/>
        </w:rPr>
        <w:t>Counterparts; Integration; Effectiveness; Electronic Execution</w:t>
      </w:r>
      <w:r>
        <w:rPr>
          <w:rFonts w:ascii="Times New Roman" w:cs="Times New Roman" w:eastAsia="Times New Roman" w:hAnsi="Times New Roman"/>
          <w:sz w:val="18"/>
          <w:szCs w:val="18"/>
          <w:color w:val="auto"/>
        </w:rPr>
        <w:t>.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(x) this Agreement, (y) any other Loan Document and/or (z) any document, amendment, approval, consent, information, notice (including, for the avoidance of doubt, any notice delivered pursuant to Section 9.01), certificate, request, statement, disclosure or authorization related to this Agreement, any other Loan Document and/or the transactions contemplated hereby and/or thereby (each an “</w:t>
      </w:r>
      <w:r>
        <w:rPr>
          <w:rFonts w:ascii="Times New Roman" w:cs="Times New Roman" w:eastAsia="Times New Roman" w:hAnsi="Times New Roman"/>
          <w:sz w:val="18"/>
          <w:szCs w:val="18"/>
          <w:u w:val="single" w:color="auto"/>
          <w:color w:val="auto"/>
        </w:rPr>
        <w:t>Ancillary Document</w:t>
      </w:r>
      <w:r>
        <w:rPr>
          <w:rFonts w:ascii="Times New Roman" w:cs="Times New Roman" w:eastAsia="Times New Roman" w:hAnsi="Times New Roman"/>
          <w:sz w:val="18"/>
          <w:szCs w:val="18"/>
          <w:color w:val="auto"/>
        </w:rPr>
        <w:t>”)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0960"/>
          </w:cols>
          <w:pgMar w:left="440" w:top="270" w:right="499" w:bottom="1440" w:gutter="0" w:footer="0" w:header="0"/>
        </w:sectPr>
      </w:pPr>
    </w:p>
    <w:bookmarkStart w:id="158" w:name="page159"/>
    <w:bookmarkEnd w:id="158"/>
    <w:p>
      <w:pPr>
        <w:ind w:right="2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nothing herein shall require the Administrative Agent to accept Electronic Signatures in any form or format without its prior written consent and pursuant to procedures approved by it; provided, further, without limiting the foregoing, (i) to the extent the Administrative Agent has agreed to accept any Electronic Signature, the Administrative Agent and each of the Lenders shall be entitled to rely on such Electronic Signature purportedly given by or on behalf of the Borrower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the Borrower hereby (i) agrees that, for all purposes, including without limitation, in connection with any workout, restructuring, enforcement of remedies, bankruptcy proceedings or litigation among the Administrative Agent, the Lenders, the Borrower,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(ii) agrees that the Administrative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(iii)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(iv) waives any claim against any Lender-Related Person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the Borrower to use any available security measures in connection with the execution, delivery or transmission of any Electronic Signature.</w:t>
      </w:r>
    </w:p>
    <w:p>
      <w:pPr>
        <w:spacing w:after="0" w:line="205" w:lineRule="exact"/>
        <w:rPr>
          <w:sz w:val="20"/>
          <w:szCs w:val="20"/>
          <w:color w:val="auto"/>
        </w:rPr>
      </w:pPr>
    </w:p>
    <w:p>
      <w:pPr>
        <w:jc w:val="both"/>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9.07.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provision of any Loan Document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spacing w:after="0" w:line="180"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9.08. </w:t>
      </w:r>
      <w:r>
        <w:rPr>
          <w:rFonts w:ascii="Times New Roman" w:cs="Times New Roman" w:eastAsia="Times New Roman" w:hAnsi="Times New Roman"/>
          <w:sz w:val="18"/>
          <w:szCs w:val="18"/>
          <w:u w:val="single" w:color="auto"/>
          <w:color w:val="auto"/>
        </w:rPr>
        <w:t>Right of Setoff</w:t>
      </w:r>
      <w:r>
        <w:rPr>
          <w:rFonts w:ascii="Times New Roman" w:cs="Times New Roman" w:eastAsia="Times New Roman" w:hAnsi="Times New Roman"/>
          <w:sz w:val="18"/>
          <w:szCs w:val="18"/>
          <w:color w:val="auto"/>
        </w:rPr>
        <w:t>. If an Event of Default shall have occurred and be continuing, each Lender, each Issuing Bank, and each of their respective Affiliates is hereby authorized at any time and from time to time, to the fullest extent permitted by law, to setoff and apply any and all deposits (general or special, time or demand, provisional or final) at any time held, and other obligations at any time owing, by such Lender, such Issuing Bank or any such Affiliate, to or for the credit or the account of the Borrower against any and all of the obligations of the Borrower now or hereafter existing under this Agreement or any other Loan Document to such Lender or such Issuing Bank or their respective Affiliates, irrespective of whether or not such Lender, such Issuing Bank or Affiliate shall have made any demand under this Agreement or any other Loan Document and although such obligations of the Borrower may be contingent or unmatured or are owed to a branch office or Affiliate of such Lender or such Issuing Bank different from the branch office or Affiliate holding such deposit or obligated on such indebtedness;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000"/>
          </w:cols>
          <w:pgMar w:left="440" w:top="270" w:right="459" w:bottom="1440" w:gutter="0" w:footer="0" w:header="0"/>
        </w:sectPr>
      </w:pPr>
    </w:p>
    <w:bookmarkStart w:id="159" w:name="page160"/>
    <w:bookmarkEnd w:id="159"/>
    <w:p>
      <w:pPr>
        <w:ind w:right="60"/>
        <w:spacing w:after="0" w:line="254"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provided</w:t>
      </w:r>
      <w:r>
        <w:rPr>
          <w:rFonts w:ascii="Times New Roman" w:cs="Times New Roman" w:eastAsia="Times New Roman" w:hAnsi="Times New Roman"/>
          <w:sz w:val="18"/>
          <w:szCs w:val="18"/>
          <w:color w:val="auto"/>
        </w:rPr>
        <w:t xml:space="preserve"> that in the event that any Defaulting Lender shall exercise any such right of setoff, (x) all amounts so setoff shall be paid over immediately to the Administrative Agent for further application in accordance with the provisions of Section 2.22 and, pending such payment, shall be segregated by such Defaulting Lender from its other funds and deemed held in trust for the benefit of the Administrative Agent, the Issuing Banks, and the Lenders, and (y) the Defaulting Lender shall provide promptly to the Administrative Agent a statement describing in reasonable detail the Obligations owing to such Defaulting Lender as to which it exercised such right of setoff. The rights of each Lender, each Issuing Bank and their respective Affiliates under this Section are in addition to other rights and remedies (including other rights of setoff) that such Lender, such Issuing Bank or their respective Affiliates may have. Each Lender and each Issuing Bank agrees to notify the Borrower and the Administrative Agent promptly after any such setoff and application;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give such notice shall not affect the validity of such setoff and application.</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9.09. </w:t>
      </w:r>
      <w:r>
        <w:rPr>
          <w:rFonts w:ascii="Times New Roman" w:cs="Times New Roman" w:eastAsia="Times New Roman" w:hAnsi="Times New Roman"/>
          <w:sz w:val="18"/>
          <w:szCs w:val="18"/>
          <w:u w:val="single" w:color="auto"/>
          <w:color w:val="auto"/>
        </w:rPr>
        <w:t>Governing Law; Jurisdiction; Consent to Service of Process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87"/>
        <w:spacing w:after="0" w:line="266" w:lineRule="auto"/>
        <w:tabs>
          <w:tab w:leader="none" w:pos="1236"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THE OTHER LOAN DOCUMENTS (EXCEPT AS OTHERWISE EXPRESSLY SET FORTH IN ANY SUCH OTHER LOAN DOCUMENT) SHALL BE CONSTRUED IN ACCORDANCE WITH AND GOVERNED BY THE LAW OF THE STATE OF NEW YORK.</w:t>
      </w:r>
    </w:p>
    <w:p>
      <w:pPr>
        <w:spacing w:after="0" w:line="175" w:lineRule="exact"/>
        <w:rPr>
          <w:rFonts w:ascii="Times New Roman" w:cs="Times New Roman" w:eastAsia="Times New Roman" w:hAnsi="Times New Roman"/>
          <w:sz w:val="18"/>
          <w:szCs w:val="18"/>
          <w:color w:val="auto"/>
        </w:rPr>
      </w:pPr>
    </w:p>
    <w:p>
      <w:pPr>
        <w:ind w:right="140" w:firstLine="987"/>
        <w:spacing w:after="0" w:line="261" w:lineRule="auto"/>
        <w:tabs>
          <w:tab w:leader="none" w:pos="1246"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Lenders and the Administrative Agent hereby irrevocably and unconditionally agrees that, notwithstanding the governing law provisions of any applicable Loan Document, any claims brought against the Administrative Agent or any of its Related Parties relating to this Agreement, any other Loan Document or the consummation or administration of the transactions contemplated hereby or thereby shall be construed in accordance with and governed by the law of the State of New York.</w:t>
      </w:r>
    </w:p>
    <w:p>
      <w:pPr>
        <w:spacing w:after="0" w:line="179" w:lineRule="exact"/>
        <w:rPr>
          <w:rFonts w:ascii="Times New Roman" w:cs="Times New Roman" w:eastAsia="Times New Roman" w:hAnsi="Times New Roman"/>
          <w:sz w:val="18"/>
          <w:szCs w:val="18"/>
          <w:color w:val="auto"/>
        </w:rPr>
      </w:pPr>
    </w:p>
    <w:p>
      <w:pPr>
        <w:ind w:firstLine="987"/>
        <w:spacing w:after="0" w:line="268" w:lineRule="auto"/>
        <w:tabs>
          <w:tab w:leader="none" w:pos="1236" w:val="left"/>
        </w:tabs>
        <w:numPr>
          <w:ilvl w:val="0"/>
          <w:numId w:val="2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parties hereto hereby irrevocably and unconditionally submits, for itself and its property, to the exclusive jurisdiction of the United States District Court for the Southern District of New York sitting in the Borough of Manhattan (or if such court lacks subject matter jurisdiction, the Supreme Court of the State of New York sitting in the Borough of Manhattan), and any appellate court from any thereof, in any action or proceeding arising out of or relating to this Agreement or any other Loan Document or the transactions relating hereto or thereto, or for recognition or enforcement of any judgment, and each of the parties hereto hereby irrevocably and unconditionally agrees that all claims in respect of any such action or proceeding may (and any such claims, cross-claims or third party claims brought against the Administrative Agent or any of its Related Parties may only) be heard and determined in such Federal (to the extent permitted by law) or New York State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(i) affect any right that the Administrative Agent, any Issuing Bank or any Lender may otherwise have to bring any action or proceeding relating to this Agreement or any other Loan Document against the Borrower or its properties in the courts of any jurisdiction, (ii) waive any statutory, regulatory, common law, or other rule, doctrine, legal restriction, provision or the like providing for the treatment of bank branches, bank agencies, or other bank offices as if they were separate juridical entities for certain purposes, including Uniform Commercial Code Sections 4-106, 4-A-105(1)(b), and 5-116(b), UCP 600 Article 3 and ISP98 Rule 2.02, and URDG 758 Article 3(a), or (iii) affect which courts have or do not have personal jurisdiction over the issuing bank or beneficiary of any Letter of Credit or any advising bank, nominated bank or assignee of proceeds thereunder or proper venue with respect to any litigation arising out of or relating to such Letter of Credit with, or affecting the rights of, any Person not a party to this Agreement, whether or not such Letter of Credit contains its own jurisdiction submission clause.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000"/>
          </w:cols>
          <w:pgMar w:left="440" w:top="270" w:right="459" w:bottom="1440" w:gutter="0" w:footer="0" w:header="0"/>
        </w:sectPr>
      </w:pPr>
    </w:p>
    <w:bookmarkStart w:id="160" w:name="page161"/>
    <w:bookmarkEnd w:id="160"/>
    <w:p>
      <w:pPr>
        <w:jc w:val="both"/>
        <w:ind w:left="4" w:right="100" w:firstLine="987"/>
        <w:spacing w:after="0" w:line="261" w:lineRule="auto"/>
        <w:tabs>
          <w:tab w:leader="none" w:pos="125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of the parties hereto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(c) of this Section. Each of the parties hereto hereby irrevocably waives, to the fullest extent permitted by law, the defense of an inconvenient forum to the maintenance of such action or proceeding in any such court.</w:t>
      </w:r>
    </w:p>
    <w:p>
      <w:pPr>
        <w:spacing w:after="0" w:line="179" w:lineRule="exact"/>
        <w:rPr>
          <w:rFonts w:ascii="Times New Roman" w:cs="Times New Roman" w:eastAsia="Times New Roman" w:hAnsi="Times New Roman"/>
          <w:sz w:val="18"/>
          <w:szCs w:val="18"/>
          <w:color w:val="auto"/>
        </w:rPr>
      </w:pPr>
    </w:p>
    <w:p>
      <w:pPr>
        <w:ind w:left="4" w:firstLine="987"/>
        <w:spacing w:after="0" w:line="266" w:lineRule="auto"/>
        <w:tabs>
          <w:tab w:leader="none" w:pos="124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hereby irrevocably consents to service of process in the manner provided for notices in Section 9.01. Nothing in this Agreement or any other Loan Document will affect the right of any party to this Agreement to serve process in any other manner permitted by law.</w:t>
      </w:r>
    </w:p>
    <w:p>
      <w:pPr>
        <w:spacing w:after="0" w:line="176" w:lineRule="exact"/>
        <w:rPr>
          <w:sz w:val="20"/>
          <w:szCs w:val="20"/>
          <w:color w:val="auto"/>
        </w:rPr>
      </w:pPr>
    </w:p>
    <w:p>
      <w:pPr>
        <w:ind w:left="4" w:firstLine="991"/>
        <w:spacing w:after="0" w:line="268" w:lineRule="auto"/>
        <w:rPr>
          <w:sz w:val="20"/>
          <w:szCs w:val="20"/>
          <w:color w:val="auto"/>
        </w:rPr>
      </w:pPr>
      <w:r>
        <w:rPr>
          <w:rFonts w:ascii="Times New Roman" w:cs="Times New Roman" w:eastAsia="Times New Roman" w:hAnsi="Times New Roman"/>
          <w:sz w:val="17"/>
          <w:szCs w:val="17"/>
          <w:color w:val="auto"/>
        </w:rPr>
        <w:t xml:space="preserve">SECTION 9.10. </w:t>
      </w:r>
      <w:r>
        <w:rPr>
          <w:rFonts w:ascii="Times New Roman" w:cs="Times New Roman" w:eastAsia="Times New Roman" w:hAnsi="Times New Roman"/>
          <w:sz w:val="17"/>
          <w:szCs w:val="17"/>
          <w:u w:val="single" w:color="auto"/>
          <w:color w:val="auto"/>
        </w:rPr>
        <w:t>WAIVER OF JURY TRIAL</w:t>
      </w:r>
      <w:r>
        <w:rPr>
          <w:rFonts w:ascii="Times New Roman" w:cs="Times New Roman" w:eastAsia="Times New Roman" w:hAnsi="Times New Roman"/>
          <w:sz w:val="17"/>
          <w:szCs w:val="17"/>
          <w:color w:val="auto"/>
        </w:rPr>
        <w:t>. EACH PARTY HERETO HEREBY WAIVES, TO THE FULLEST EXTENT PERMITTED BY APPLICABLE LAW, ANY RIGHT IT MAY HAVE TO A TRIAL BY JURY IN ANY LEGAL PROCEEDING DIRECTLY OR INDIRECTLY ARISING OUT OF OR RELATING TO THIS AGREEMENT, ANY OTHER LOAN DOCUMENT OR THE TRANSACTIONS CONTEMPLATED HEREBY OR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w:t>
      </w:r>
    </w:p>
    <w:p>
      <w:pPr>
        <w:spacing w:after="0" w:line="5" w:lineRule="exact"/>
        <w:rPr>
          <w:sz w:val="20"/>
          <w:szCs w:val="20"/>
          <w:color w:val="auto"/>
        </w:rPr>
      </w:pPr>
    </w:p>
    <w:p>
      <w:pPr>
        <w:ind w:left="4" w:right="360" w:hanging="4"/>
        <w:spacing w:after="0" w:line="260" w:lineRule="auto"/>
        <w:tabs>
          <w:tab w:leader="none" w:pos="279"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ACKNOWLEDGES THAT IT AND THE OTHER PARTIES HERETO HAVE BEEN INDUCED TO ENTER INTO THIS AGREEMENT BY, AMONG OTHER THINGS, THE MUTUAL WAIVERS AND CERTIFICATIONS IN THIS SECTION.</w:t>
      </w:r>
    </w:p>
    <w:p>
      <w:pPr>
        <w:spacing w:after="0" w:line="181" w:lineRule="exact"/>
        <w:rPr>
          <w:sz w:val="20"/>
          <w:szCs w:val="20"/>
          <w:color w:val="auto"/>
        </w:rPr>
      </w:pPr>
    </w:p>
    <w:p>
      <w:pPr>
        <w:ind w:left="4" w:right="1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9.11.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62" w:lineRule="exact"/>
        <w:rPr>
          <w:sz w:val="20"/>
          <w:szCs w:val="20"/>
          <w:color w:val="auto"/>
        </w:rPr>
      </w:pPr>
    </w:p>
    <w:p>
      <w:pPr>
        <w:ind w:left="4" w:firstLine="991"/>
        <w:spacing w:after="0" w:line="252" w:lineRule="auto"/>
        <w:rPr>
          <w:sz w:val="20"/>
          <w:szCs w:val="20"/>
          <w:color w:val="auto"/>
        </w:rPr>
      </w:pPr>
      <w:r>
        <w:rPr>
          <w:rFonts w:ascii="Times New Roman" w:cs="Times New Roman" w:eastAsia="Times New Roman" w:hAnsi="Times New Roman"/>
          <w:sz w:val="18"/>
          <w:szCs w:val="18"/>
          <w:color w:val="auto"/>
        </w:rPr>
        <w:t xml:space="preserve">SECTION 9.12.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Each of the Administrative Agent, the Issuing Banks and the Lenders agrees to maintain the confidentiality of the Information (as defined below), except that Information may be disclosed (a)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Governmental Authority (including any self-regulatory authority, such as the National Association of Insurance Commissioners), (c) to the extent required by applicable laws or regulations or by any subpoena or similar legal process (in which case (except with respect to any audit or examination conducted by bank accountants or any bank or other regulatory authority exercising examination or regulatory authority), it, to the extent practicable and permitted by law, rule or regulation, agrees to inform the Borrower promptly thereof), (d) to any other party to this Agreement, (e) in connection with the exercise of any remedies under this Agreement or any other Loan Document or any suit, action or proceeding relating to this Agreement or any other Loan Document or the enforcement of rights hereunder or thereunder, (f) subject to an agreement containing provisions substantially the same as those of this Section, to (1) any assignee of or Participant in, or any prospective assignee of or Participant in, any of its rights or obligations under this Agreement or (2) any actual or prospective counterparty (or its advisors) to any swap, derivative or insurance transaction relating to the Borrower and its obligations, (g) on a confidential basis to (1) any rating agency in connection with rating the Borrower or its Subsidiaries or the credit facilities provided for herein, (2) the CUSIP Service Bureau or any similar agency in connection with the issuance and monitoring of identification numbers with respect to the credit facilities provided for herein or (3) any actual or prospective insurers, reinsurers or brokers (or in each case their directors, officers, employees, agents and advisors) in connection with providing</w:t>
      </w:r>
    </w:p>
    <w:p>
      <w:pPr>
        <w:spacing w:after="0" w:line="12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004"/>
          </w:cols>
          <w:pgMar w:left="436" w:top="270" w:right="459" w:bottom="1440" w:gutter="0" w:footer="0" w:header="0"/>
        </w:sectPr>
      </w:pPr>
    </w:p>
    <w:bookmarkStart w:id="161" w:name="page162"/>
    <w:bookmarkEnd w:id="161"/>
    <w:p>
      <w:pPr>
        <w:ind w:left="4"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insurance, reinsurance or credit risk mitigation in connection with the Borrower and its obligations, this Agreement or payments hereunder, (h) with the consent of the Borrower or (i) to the extent such Information (1) becomes publicly available other than as a result of a breach of this Section or</w:t>
      </w:r>
    </w:p>
    <w:p>
      <w:pPr>
        <w:ind w:left="4" w:right="80" w:hanging="4"/>
        <w:spacing w:after="0" w:line="252" w:lineRule="auto"/>
        <w:tabs>
          <w:tab w:leader="none" w:pos="259"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becomes available to the Administrative Agent, any Issuing Bank or any Lender on a nonconfidential basis from a source other than the Borrower. For the purposes of this Section,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means all information received from the Borrower relating to the Borrower or its business, other than any such information that is available to the Administrative Agent, any Issuing Bank or any Lender on a nonconfidential basis prior to disclosure by the Borrower and other than information pertaining to this Agreement routinely provided by arrangers to data service providers, including league table providers, that serve the lending industry.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84" w:lineRule="exact"/>
        <w:rPr>
          <w:sz w:val="20"/>
          <w:szCs w:val="20"/>
          <w:color w:val="auto"/>
        </w:rPr>
      </w:pPr>
    </w:p>
    <w:p>
      <w:pPr>
        <w:ind w:left="4" w:right="18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EACH LENDER ACKNOWLEDGES THAT INFORMATION AS DEFINED IN THE IMMEDIATELY PRECEDING PARAGRAPH FURNISHED TO IT PURSUANT TO THIS AGREEMENT MAY INCLUDE MATERIAL NON-PUBLIC INFORMATION CONCERNING THE BORROWER AND ITS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82"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ALL INFORMATION, INCLUDING REQUESTS FOR WAIVERS AND AMENDMENTS, FURNISHED BY THE BORROWER OR THE ADMINISTRATIVE AGENT PURSUANT TO, OR IN THE COURSE OF ADMINISTERING, THIS AGREEMENT WILL BE SYNDICATE-LEVEL INFORMATION, WHICH MAY CONTAIN MATERIAL NON-PUBLIC INFORMATION ABOUT THE BORROWER AND ITS RELATED PARTIES OR THEIR RESPECTIVE SECURITIES. ACCORDINGLY, EACH LENDER REPRESENTS TO THE BORROWER AND THE ADMINISTRATIVE AGENT THAT IT HAS IDENTIFIED IN ITS ADMINISTRATIVE QUESTIONNAIRE A CREDIT CONTACT WHO MAY RECEIVE INFORMATION THAT MAY CONTAIN MATERIAL NON-PUBLIC INFORMATION IN ACCORDANCE WITH ITS COMPLIANCE PROCEDURES AND APPLICABLE LAW.</w:t>
      </w:r>
    </w:p>
    <w:p>
      <w:pPr>
        <w:spacing w:after="0" w:line="187" w:lineRule="exact"/>
        <w:rPr>
          <w:sz w:val="20"/>
          <w:szCs w:val="20"/>
          <w:color w:val="auto"/>
        </w:rPr>
      </w:pPr>
    </w:p>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For the avoidance of doubt, nothing in this Section 9.12 shall prohibit any Person from voluntarily disclosing or providing any Information within the scope of this confidentiality provision to any governmental, regulatory or self-regulatory organization (any such entity, a “</w:t>
      </w:r>
      <w:r>
        <w:rPr>
          <w:rFonts w:ascii="Times New Roman" w:cs="Times New Roman" w:eastAsia="Times New Roman" w:hAnsi="Times New Roman"/>
          <w:sz w:val="18"/>
          <w:szCs w:val="18"/>
          <w:u w:val="single" w:color="auto"/>
          <w:color w:val="auto"/>
        </w:rPr>
        <w:t>Regulatory Authority</w:t>
      </w:r>
      <w:r>
        <w:rPr>
          <w:rFonts w:ascii="Times New Roman" w:cs="Times New Roman" w:eastAsia="Times New Roman" w:hAnsi="Times New Roman"/>
          <w:sz w:val="18"/>
          <w:szCs w:val="18"/>
          <w:color w:val="auto"/>
        </w:rPr>
        <w:t>”) to the extent that any such prohibition on disclosure set forth in this Section 9.12 shall be prohibited by the laws or regulations applicable to such Regulatory Authority.</w:t>
      </w:r>
    </w:p>
    <w:p>
      <w:pPr>
        <w:spacing w:after="0" w:line="180" w:lineRule="exact"/>
        <w:rPr>
          <w:sz w:val="20"/>
          <w:szCs w:val="20"/>
          <w:color w:val="auto"/>
        </w:rPr>
      </w:pPr>
    </w:p>
    <w:p>
      <w:pPr>
        <w:ind w:left="4" w:right="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9.13. </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Each Lender that is subject to the requirements of the Patriot Act and the requirements of the Beneficial Ownership Regulation hereby notifies the Borrower that, pursuant to the requirements of the Patriot Act and the Beneficial Ownership Regulation, it is required to obtain, verify and record information that identifies the Borrower, which information includes the name, address and tax identification number of the Borrower and other information that will allow such Lender to identify the Borrower in accordance with the Patriot Act and the Beneficial Ownership Regulation and other applicable “know your customer” and anti-money laundering rules and regulations.</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004"/>
          </w:cols>
          <w:pgMar w:left="436" w:top="270" w:right="459" w:bottom="1440" w:gutter="0" w:footer="0" w:header="0"/>
        </w:sectPr>
      </w:pPr>
    </w:p>
    <w:bookmarkStart w:id="162" w:name="page163"/>
    <w:bookmarkEnd w:id="162"/>
    <w:p>
      <w:pPr>
        <w:ind w:right="60"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9.14. </w:t>
      </w:r>
      <w:r>
        <w:rPr>
          <w:rFonts w:ascii="Times New Roman" w:cs="Times New Roman" w:eastAsia="Times New Roman" w:hAnsi="Times New Roman"/>
          <w:sz w:val="18"/>
          <w:szCs w:val="18"/>
          <w:u w:val="single" w:color="auto"/>
          <w:color w:val="auto"/>
        </w:rPr>
        <w:t>Interest Rate Limitation</w:t>
      </w:r>
      <w:r>
        <w:rPr>
          <w:rFonts w:ascii="Times New Roman" w:cs="Times New Roman" w:eastAsia="Times New Roman" w:hAnsi="Times New Roman"/>
          <w:sz w:val="18"/>
          <w:szCs w:val="18"/>
          <w:color w:val="auto"/>
        </w:rPr>
        <w:t>. Notwithstanding anything herein to the contrary, if at any time the interest rate applicable to any Loan, together with all fees, charges and other amounts which are treated as interest on such Loan under applicable law (collectively the “</w:t>
      </w:r>
      <w:r>
        <w:rPr>
          <w:rFonts w:ascii="Times New Roman" w:cs="Times New Roman" w:eastAsia="Times New Roman" w:hAnsi="Times New Roman"/>
          <w:sz w:val="18"/>
          <w:szCs w:val="18"/>
          <w:u w:val="single" w:color="auto"/>
          <w:color w:val="auto"/>
        </w:rPr>
        <w:t>Charges</w:t>
      </w:r>
      <w:r>
        <w:rPr>
          <w:rFonts w:ascii="Times New Roman" w:cs="Times New Roman" w:eastAsia="Times New Roman" w:hAnsi="Times New Roman"/>
          <w:sz w:val="18"/>
          <w:szCs w:val="18"/>
          <w:color w:val="auto"/>
        </w:rPr>
        <w:t>”), shall exceed the maximum lawful rate (the “</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applicable Overnight Rate to the date of repayment, shall have been received by such Lender.</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9.15. </w:t>
      </w:r>
      <w:r>
        <w:rPr>
          <w:rFonts w:ascii="Times New Roman" w:cs="Times New Roman" w:eastAsia="Times New Roman" w:hAnsi="Times New Roman"/>
          <w:sz w:val="18"/>
          <w:szCs w:val="18"/>
          <w:u w:val="single" w:color="auto"/>
          <w:color w:val="auto"/>
        </w:rPr>
        <w:t>No Fiduciary Duty, etc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54" w:lineRule="auto"/>
        <w:tabs>
          <w:tab w:leader="none" w:pos="1236"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acknowledges and agrees, and acknowledges its Subsidiaries’ understanding, that no Credit Party will have any obligations except those obligations expressly set forth herein and in the other Loan Documents and each Credit Party is acting solely in the capacity of an arm’s length contractual counterparty to the Borrower with respect to the Loan Documents and the transactions contemplated herein and therein and not as a financial advisor or a fiduciary to, or an agent of, the Borrower or any other person. The Borrower agrees that it will not assert any claim against any Credit Party based on an alleged breach of fiduciary duty by such Credit Party in connection with this Agreement and the transactions contemplated hereby. Additionally, the Borrower acknowledges and agrees that no Credit Party is advising the Borrower as to any legal, tax, investment, accounting, regulatory or any other matters in any jurisdiction. The Borrower shall consult with its own advisors concerning such matters and shall be responsible for making its own independent investigation and appraisal of the transactions contemplated herein or in the other Loan Documents, and the Credit Parties shall have no responsibility or liability to the Borrower with respect thereto.</w:t>
      </w:r>
    </w:p>
    <w:p>
      <w:pPr>
        <w:spacing w:after="0" w:line="188"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further acknowledges and agrees, and acknowledges its Subsidiaries’ understanding, that each Credit Party, together with its Affiliates, in addition to providing or participating in commercial lending facilities such as that provided hereunder, is a full service securities or banking firm engaged in securities trading and brokerage activities as well as 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the Borrower, its Subsidiaries and other companies with which the Borrower or any of its Subsidiaries may have commercial or other relationships. With respect to any securities and/or financial instruments so held by any Credit Party or any of its customers, all rights in respect of such securities and financial instruments, including any voting rights, will be exercised by the holder of the rights, in its sole discretion.</w:t>
      </w:r>
    </w:p>
    <w:p>
      <w:pPr>
        <w:spacing w:after="0" w:line="191" w:lineRule="exact"/>
        <w:rPr>
          <w:rFonts w:ascii="Times New Roman" w:cs="Times New Roman" w:eastAsia="Times New Roman" w:hAnsi="Times New Roman"/>
          <w:sz w:val="18"/>
          <w:szCs w:val="18"/>
          <w:color w:val="auto"/>
        </w:rPr>
      </w:pPr>
    </w:p>
    <w:p>
      <w:pPr>
        <w:ind w:firstLine="987"/>
        <w:spacing w:after="0" w:line="273" w:lineRule="auto"/>
        <w:tabs>
          <w:tab w:leader="none" w:pos="1236" w:val="left"/>
        </w:tabs>
        <w:numPr>
          <w:ilvl w:val="0"/>
          <w:numId w:val="2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the Borrower acknowledges and agrees, and acknowledges its Subsidiaries’ understanding, that each Credit Party and its Affiliates may be providing debt financing, equity capital or other services (including financial advisory services) to other companies in respect of which the Borrower or any of its Subsidiaries may have conflicting interests regarding the transactions described herein and otherwise. No Credit Party will use confidential information obtained from the Borrower by virtue of the transactions contemplated by the Loan Documents or its other relationships with the Borrower in connection with the performance by such Credit Party of services for other companies, and no Credit Party will furnish any such information to other companies. The Borrower also acknowledges that no Credit Party has any obligation to use in connection with the transactions contemplated by the Loan Documents, or to furnish to the Borrower or any of its Subsidiaries, confidential information obtained from other companies.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000"/>
          </w:cols>
          <w:pgMar w:left="440" w:top="270" w:right="459" w:bottom="1440" w:gutter="0" w:footer="0" w:header="0"/>
        </w:sectPr>
      </w:pPr>
    </w:p>
    <w:bookmarkStart w:id="163" w:name="page164"/>
    <w:bookmarkEnd w:id="163"/>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9.16. </w:t>
      </w:r>
      <w:r>
        <w:rPr>
          <w:rFonts w:ascii="Times New Roman" w:cs="Times New Roman" w:eastAsia="Times New Roman" w:hAnsi="Times New Roman"/>
          <w:sz w:val="18"/>
          <w:szCs w:val="18"/>
          <w:u w:val="single" w:color="auto"/>
          <w:color w:val="auto"/>
        </w:rPr>
        <w:t>Acknowledgement and Consent to Bail-In of Affected Financial Institutions</w:t>
      </w:r>
      <w:r>
        <w:rPr>
          <w:rFonts w:ascii="Times New Roman" w:cs="Times New Roman" w:eastAsia="Times New Roman" w:hAnsi="Times New Roman"/>
          <w:sz w:val="18"/>
          <w:szCs w:val="18"/>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spacing w:after="0" w:line="72" w:lineRule="exact"/>
        <w:rPr>
          <w:sz w:val="20"/>
          <w:szCs w:val="20"/>
          <w:color w:val="auto"/>
        </w:rPr>
      </w:pPr>
    </w:p>
    <w:p>
      <w:pPr>
        <w:ind w:right="540" w:firstLine="987"/>
        <w:spacing w:after="0" w:line="282" w:lineRule="auto"/>
        <w:tabs>
          <w:tab w:leader="none" w:pos="1236"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117"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117" w:lineRule="exact"/>
        <w:rPr>
          <w:rFonts w:ascii="Times New Roman" w:cs="Times New Roman" w:eastAsia="Times New Roman" w:hAnsi="Times New Roman"/>
          <w:sz w:val="18"/>
          <w:szCs w:val="18"/>
          <w:color w:val="auto"/>
        </w:rPr>
      </w:pPr>
    </w:p>
    <w:p>
      <w:pPr>
        <w:ind w:left="440" w:firstLine="948"/>
        <w:spacing w:after="0" w:line="266" w:lineRule="auto"/>
        <w:tabs>
          <w:tab w:leader="none" w:pos="1657"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67" w:lineRule="exact"/>
        <w:rPr>
          <w:rFonts w:ascii="Times New Roman" w:cs="Times New Roman" w:eastAsia="Times New Roman" w:hAnsi="Times New Roman"/>
          <w:sz w:val="18"/>
          <w:szCs w:val="18"/>
          <w:color w:val="auto"/>
        </w:rPr>
      </w:pPr>
    </w:p>
    <w:p>
      <w:pPr>
        <w:ind w:left="440" w:right="400" w:firstLine="948"/>
        <w:spacing w:after="0" w:line="282" w:lineRule="auto"/>
        <w:tabs>
          <w:tab w:leader="none" w:pos="1707"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the applicable Resolution Authority.</w:t>
      </w:r>
    </w:p>
    <w:p>
      <w:pPr>
        <w:spacing w:after="0" w:line="162"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9.17. </w:t>
      </w:r>
      <w:r>
        <w:rPr>
          <w:rFonts w:ascii="Times New Roman" w:cs="Times New Roman" w:eastAsia="Times New Roman" w:hAnsi="Times New Roman"/>
          <w:sz w:val="18"/>
          <w:szCs w:val="18"/>
          <w:u w:val="single" w:color="auto"/>
          <w:color w:val="auto"/>
        </w:rPr>
        <w:t>Acknowledgement Regarding Any Supported QFCs</w:t>
      </w:r>
      <w:r>
        <w:rPr>
          <w:rFonts w:ascii="Times New Roman" w:cs="Times New Roman" w:eastAsia="Times New Roman" w:hAnsi="Times New Roman"/>
          <w:sz w:val="18"/>
          <w:szCs w:val="18"/>
          <w:color w:val="auto"/>
        </w:rPr>
        <w:t>. To the extent that the Loan Documents provide support, through a guarantee or otherwise, for Hedge Agreements or any other agreement or instrument that is a QFC (such support “</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and each such QFC a “</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8"/>
          <w:szCs w:val="18"/>
          <w:u w:val="single" w:color="auto"/>
          <w:color w:val="auto"/>
        </w:rPr>
        <w:t>U.S. Special Resolution Regimes</w:t>
      </w:r>
      <w:r>
        <w:rPr>
          <w:rFonts w:ascii="Times New Roman" w:cs="Times New Roman" w:eastAsia="Times New Roman" w:hAnsi="Times New Roman"/>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81"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In the event a Covered Entity that is party to a Supported QFC (each, a “</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000"/>
          </w:cols>
          <w:pgMar w:left="440" w:top="270" w:right="459" w:bottom="1440" w:gutter="0" w:footer="0" w:header="0"/>
        </w:sectPr>
      </w:pPr>
    </w:p>
    <w:bookmarkStart w:id="164" w:name="page165"/>
    <w:bookmarkEnd w:id="164"/>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 Pages Follow]</w:t>
      </w:r>
    </w:p>
    <w:p>
      <w:pPr>
        <w:sectPr>
          <w:pgSz w:w="11900" w:h="16838" w:orient="portrait"/>
          <w:cols w:equalWidth="0" w:num="1">
            <w:col w:w="9019"/>
          </w:cols>
          <w:pgMar w:left="1440" w:top="270" w:right="1440"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9019"/>
          </w:cols>
          <w:pgMar w:left="1440" w:top="270" w:right="1440" w:bottom="1440" w:gutter="0" w:footer="0" w:header="0"/>
          <w:type w:val="continuous"/>
        </w:sectPr>
      </w:pPr>
    </w:p>
    <w:bookmarkStart w:id="165" w:name="page166"/>
    <w:bookmarkEnd w:id="165"/>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Agreement to be duly executed and delivered by their respective authorized officers as of the day and year first above written.</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MANPOWERGROUP INC., as the Borrower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4335145</wp:posOffset>
            </wp:positionH>
            <wp:positionV relativeFrom="paragraph">
              <wp:posOffset>17145</wp:posOffset>
            </wp:positionV>
            <wp:extent cx="265747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Name: John T. McGinnis</w:t>
      </w:r>
    </w:p>
    <w:p>
      <w:pPr>
        <w:spacing w:after="0" w:line="23"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Title:   Executive Vice President and CFO</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Credit Agreement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ManpowerGroup Inc.</w:t>
      </w:r>
    </w:p>
    <w:p>
      <w:pPr>
        <w:sectPr>
          <w:pgSz w:w="11900" w:h="16838" w:orient="portrait"/>
          <w:cols w:equalWidth="0" w:num="1">
            <w:col w:w="10980"/>
          </w:cols>
          <w:pgMar w:left="440" w:top="270" w:right="479" w:bottom="1440" w:gutter="0" w:footer="0" w:header="0"/>
        </w:sectPr>
      </w:pPr>
    </w:p>
    <w:bookmarkStart w:id="166" w:name="page167"/>
    <w:bookmarkEnd w:id="166"/>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JPMORGAN CHASE BANK, N.A., individually as 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Lender, as the Swingline Lender, as an Issuing Bank and as</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Administrative Agent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Ryan Zimmerman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3700145</wp:posOffset>
            </wp:positionH>
            <wp:positionV relativeFrom="paragraph">
              <wp:posOffset>17145</wp:posOffset>
            </wp:positionV>
            <wp:extent cx="265747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Name: Ryan Zimmerman</w:t>
      </w:r>
    </w:p>
    <w:p>
      <w:pPr>
        <w:spacing w:after="0" w:line="23"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Title:   Executive Director</w:t>
      </w:r>
    </w:p>
    <w:p>
      <w:pPr>
        <w:spacing w:after="0" w:line="139"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7"/>
          <w:szCs w:val="17"/>
          <w:color w:val="auto"/>
        </w:rPr>
        <w:t>Signature Page to Credit Agreement</w:t>
      </w:r>
    </w:p>
    <w:p>
      <w:pPr>
        <w:spacing w:after="0" w:line="39"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color w:val="auto"/>
        </w:rPr>
        <w:t>ManpowerGroup Inc.</w:t>
      </w:r>
    </w:p>
    <w:p>
      <w:pPr>
        <w:sectPr>
          <w:pgSz w:w="11900" w:h="16838" w:orient="portrait"/>
          <w:cols w:equalWidth="0" w:num="1">
            <w:col w:w="9880"/>
          </w:cols>
          <w:pgMar w:left="1440" w:top="270" w:right="579" w:bottom="1440" w:gutter="0" w:footer="0" w:header="0"/>
        </w:sectPr>
      </w:pPr>
    </w:p>
    <w:bookmarkStart w:id="167" w:name="page168"/>
    <w:bookmarkEnd w:id="167"/>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BNP PARIBAS, individually as a Lender and as an Issuing</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Bank</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Nicole Rodriguez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3700145</wp:posOffset>
            </wp:positionH>
            <wp:positionV relativeFrom="paragraph">
              <wp:posOffset>17145</wp:posOffset>
            </wp:positionV>
            <wp:extent cx="265747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Name: Nicole Rodriguez</w:t>
      </w:r>
    </w:p>
    <w:p>
      <w:pPr>
        <w:spacing w:after="0" w:line="23"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Marine Ausset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3700145</wp:posOffset>
            </wp:positionH>
            <wp:positionV relativeFrom="paragraph">
              <wp:posOffset>17145</wp:posOffset>
            </wp:positionV>
            <wp:extent cx="265747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Name: Marine Ausset</w:t>
      </w:r>
    </w:p>
    <w:p>
      <w:pPr>
        <w:spacing w:after="0" w:line="23"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7"/>
          <w:szCs w:val="17"/>
          <w:color w:val="auto"/>
        </w:rPr>
        <w:t>Signature Page to Credit Agreement</w:t>
      </w:r>
    </w:p>
    <w:p>
      <w:pPr>
        <w:spacing w:after="0" w:line="3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ManpowerGroup Inc.</w:t>
      </w:r>
    </w:p>
    <w:p>
      <w:pPr>
        <w:sectPr>
          <w:pgSz w:w="11900" w:h="16838" w:orient="portrait"/>
          <w:cols w:equalWidth="0" w:num="1">
            <w:col w:w="9860"/>
          </w:cols>
          <w:pgMar w:left="1440" w:top="270" w:right="599" w:bottom="1440" w:gutter="0" w:footer="0" w:header="0"/>
        </w:sectPr>
      </w:pPr>
    </w:p>
    <w:bookmarkStart w:id="168" w:name="page169"/>
    <w:bookmarkEnd w:id="168"/>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CITIBANK, N.A., individually as a Lender and as an</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Issuing Bank</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Daniel Boselli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3700145</wp:posOffset>
            </wp:positionH>
            <wp:positionV relativeFrom="paragraph">
              <wp:posOffset>17145</wp:posOffset>
            </wp:positionV>
            <wp:extent cx="265747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Name: Daniel Boselli</w:t>
      </w:r>
    </w:p>
    <w:p>
      <w:pPr>
        <w:spacing w:after="0" w:line="23"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Signature Page to Credit Agreement</w:t>
      </w:r>
    </w:p>
    <w:p>
      <w:pPr>
        <w:spacing w:after="0" w:line="3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ManpowerGroup Inc.</w:t>
      </w:r>
    </w:p>
    <w:p>
      <w:pPr>
        <w:sectPr>
          <w:pgSz w:w="11900" w:h="16838" w:orient="portrait"/>
          <w:cols w:equalWidth="0" w:num="1">
            <w:col w:w="9460"/>
          </w:cols>
          <w:pgMar w:left="1440" w:top="270" w:right="999" w:bottom="1440" w:gutter="0" w:footer="0" w:header="0"/>
        </w:sectPr>
      </w:pPr>
    </w:p>
    <w:bookmarkStart w:id="169" w:name="page170"/>
    <w:bookmarkEnd w:id="169"/>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SOCIETE GENERALE,</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Shelley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3700145</wp:posOffset>
            </wp:positionH>
            <wp:positionV relativeFrom="paragraph">
              <wp:posOffset>17145</wp:posOffset>
            </wp:positionV>
            <wp:extent cx="265747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Name: Shelley Yu</w:t>
      </w:r>
    </w:p>
    <w:p>
      <w:pPr>
        <w:spacing w:after="0" w:line="23"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Credit Agreement</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ManpowerGroup Inc.</w:t>
      </w:r>
    </w:p>
    <w:p>
      <w:pPr>
        <w:sectPr>
          <w:pgSz w:w="11900" w:h="16838" w:orient="portrait"/>
          <w:cols w:equalWidth="0" w:num="1">
            <w:col w:w="9019"/>
          </w:cols>
          <w:pgMar w:left="1440" w:top="270" w:right="1440" w:bottom="1440" w:gutter="0" w:footer="0" w:header="0"/>
        </w:sectPr>
      </w:pPr>
    </w:p>
    <w:bookmarkStart w:id="170" w:name="page171"/>
    <w:bookmarkEnd w:id="170"/>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UniCredit Bank GmbH, New York Branch,</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20" w:lineRule="exact"/>
        <w:rPr>
          <w:sz w:val="20"/>
          <w:szCs w:val="20"/>
          <w:color w:val="auto"/>
        </w:rPr>
      </w:pPr>
    </w:p>
    <w:p>
      <w:pPr>
        <w:ind w:left="5620"/>
        <w:spacing w:after="0"/>
        <w:tabs>
          <w:tab w:leader="none" w:pos="59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Kimberly Sousa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Kimberly Sousa</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Simon Obexer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Simon Obexer</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Associate Director</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Credit Agreement</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ManpowerGroup Inc.</w:t>
      </w:r>
    </w:p>
    <w:p>
      <w:pPr>
        <w:sectPr>
          <w:pgSz w:w="11900" w:h="16838" w:orient="portrait"/>
          <w:cols w:equalWidth="0" w:num="1">
            <w:col w:w="9019"/>
          </w:cols>
          <w:pgMar w:left="1440" w:top="270" w:right="1440" w:bottom="1440" w:gutter="0" w:footer="0" w:header="0"/>
        </w:sectPr>
      </w:pPr>
    </w:p>
    <w:bookmarkStart w:id="171" w:name="page172"/>
    <w:bookmarkEnd w:id="171"/>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BANK NATIONAL ASSOCIATION,</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Caroline V. Krider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3700145</wp:posOffset>
            </wp:positionH>
            <wp:positionV relativeFrom="paragraph">
              <wp:posOffset>17145</wp:posOffset>
            </wp:positionV>
            <wp:extent cx="265747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Name: CarolineKrider</w:t>
      </w:r>
    </w:p>
    <w:p>
      <w:pPr>
        <w:spacing w:after="0" w:line="23"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Title: SVP</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Credit Agreement</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ManpowerGroup Inc.</w:t>
      </w:r>
    </w:p>
    <w:p>
      <w:pPr>
        <w:sectPr>
          <w:pgSz w:w="11900" w:h="16838" w:orient="portrait"/>
          <w:cols w:equalWidth="0" w:num="1">
            <w:col w:w="9019"/>
          </w:cols>
          <w:pgMar w:left="1440" w:top="270" w:right="1440" w:bottom="1440" w:gutter="0" w:footer="0" w:header="0"/>
        </w:sectPr>
      </w:pPr>
    </w:p>
    <w:bookmarkStart w:id="172" w:name="page173"/>
    <w:bookmarkEnd w:id="172"/>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ING BANK N.V., DUBLIN BRANCH,</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20" w:lineRule="exact"/>
        <w:rPr>
          <w:sz w:val="20"/>
          <w:szCs w:val="20"/>
          <w:color w:val="auto"/>
        </w:rPr>
      </w:pPr>
    </w:p>
    <w:p>
      <w:pPr>
        <w:ind w:left="5620"/>
        <w:spacing w:after="0"/>
        <w:tabs>
          <w:tab w:leader="none" w:pos="59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Rory Fitzgerald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Rory Fitzgerald</w:t>
      </w:r>
    </w:p>
    <w:p>
      <w:pPr>
        <w:spacing w:after="0" w:line="23" w:lineRule="exact"/>
        <w:rPr>
          <w:sz w:val="20"/>
          <w:szCs w:val="20"/>
          <w:color w:val="auto"/>
        </w:rPr>
      </w:pPr>
    </w:p>
    <w:p>
      <w:pPr>
        <w:jc w:val="center"/>
        <w:ind w:left="396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Rosemary Healy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Rosemary Healy</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Credit Agreement</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ManpowerGroup Inc.</w:t>
      </w:r>
    </w:p>
    <w:p>
      <w:pPr>
        <w:sectPr>
          <w:pgSz w:w="11900" w:h="16838" w:orient="portrait"/>
          <w:cols w:equalWidth="0" w:num="1">
            <w:col w:w="9019"/>
          </w:cols>
          <w:pgMar w:left="1440" w:top="270" w:right="1440" w:bottom="1440" w:gutter="0" w:footer="0" w:header="0"/>
        </w:sectPr>
      </w:pPr>
    </w:p>
    <w:bookmarkStart w:id="173" w:name="page174"/>
    <w:bookmarkEnd w:id="173"/>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BMO Bank N.A.,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Jude M. Carlin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3700145</wp:posOffset>
            </wp:positionH>
            <wp:positionV relativeFrom="paragraph">
              <wp:posOffset>17145</wp:posOffset>
            </wp:positionV>
            <wp:extent cx="265747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Name: Jude M. Carlin</w:t>
      </w:r>
    </w:p>
    <w:p>
      <w:pPr>
        <w:spacing w:after="0" w:line="23" w:lineRule="exact"/>
        <w:rPr>
          <w:sz w:val="20"/>
          <w:szCs w:val="20"/>
          <w:color w:val="auto"/>
        </w:rPr>
      </w:pPr>
    </w:p>
    <w:p>
      <w:pPr>
        <w:jc w:val="right"/>
        <w:ind w:right="1159"/>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Credit Agreement</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ManpowerGroup Inc.</w:t>
      </w:r>
    </w:p>
    <w:p>
      <w:pPr>
        <w:sectPr>
          <w:pgSz w:w="11900" w:h="16838" w:orient="portrait"/>
          <w:cols w:equalWidth="0" w:num="1">
            <w:col w:w="9019"/>
          </w:cols>
          <w:pgMar w:left="1440" w:top="270" w:right="1440" w:bottom="1440" w:gutter="0" w:footer="0" w:header="0"/>
        </w:sectPr>
      </w:pPr>
    </w:p>
    <w:bookmarkStart w:id="174" w:name="page175"/>
    <w:bookmarkEnd w:id="174"/>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PNC BANK, NATIONAL ASSOCIATION,</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Andrew Klvana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3700145</wp:posOffset>
            </wp:positionH>
            <wp:positionV relativeFrom="paragraph">
              <wp:posOffset>17145</wp:posOffset>
            </wp:positionV>
            <wp:extent cx="265747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Name: Andrew Klvana</w:t>
      </w:r>
    </w:p>
    <w:p>
      <w:pPr>
        <w:spacing w:after="0" w:line="23"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Credit Agreement</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ManpowerGroup Inc.</w:t>
      </w:r>
    </w:p>
    <w:p>
      <w:pPr>
        <w:sectPr>
          <w:pgSz w:w="11900" w:h="16838" w:orient="portrait"/>
          <w:cols w:equalWidth="0" w:num="1">
            <w:col w:w="9019"/>
          </w:cols>
          <w:pgMar w:left="1440" w:top="270" w:right="1440" w:bottom="1440" w:gutter="0" w:footer="0" w:header="0"/>
        </w:sectPr>
      </w:pPr>
    </w:p>
    <w:bookmarkStart w:id="175" w:name="page176"/>
    <w:bookmarkEnd w:id="175"/>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NORDEA BANK ABP, NEW YORK BRANCH,</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20" w:lineRule="exact"/>
        <w:rPr>
          <w:sz w:val="20"/>
          <w:szCs w:val="20"/>
          <w:color w:val="auto"/>
        </w:rPr>
      </w:pPr>
    </w:p>
    <w:p>
      <w:pPr>
        <w:ind w:left="5620"/>
        <w:spacing w:after="0"/>
        <w:tabs>
          <w:tab w:leader="none" w:pos="59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Ola Anderssen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Ola Anderssen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Anders Holmgaard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Anders Holmgaard</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7"/>
          <w:szCs w:val="17"/>
          <w:color w:val="auto"/>
        </w:rPr>
        <w:t>Signature Page to Credit Agreement</w:t>
      </w:r>
    </w:p>
    <w:p>
      <w:pPr>
        <w:spacing w:after="0" w:line="3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ManpowerGroup Inc.</w:t>
      </w:r>
    </w:p>
    <w:sectPr>
      <w:pgSz w:w="11900" w:h="16838" w:orient="portrait"/>
      <w:cols w:equalWidth="0" w:num="1">
        <w:col w:w="9180"/>
      </w:cols>
      <w:pgMar w:left="1440" w:top="270" w:right="1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BFE8E0"/>
    <w:multiLevelType w:val="hybridMultilevel"/>
    <w:lvl w:ilvl="0">
      <w:lvlJc w:val="left"/>
      <w:lvlText w:val="☐"/>
      <w:numFmt w:val="bullet"/>
      <w:start w:val="1"/>
    </w:lvl>
  </w:abstractNum>
  <w:abstractNum w:abstractNumId="1">
    <w:nsid w:val="5092CA79"/>
    <w:multiLevelType w:val="hybridMultilevel"/>
    <w:lvl w:ilvl="0">
      <w:lvlJc w:val="left"/>
      <w:lvlText w:val=" "/>
      <w:numFmt w:val="bullet"/>
      <w:start w:val="1"/>
    </w:lvl>
  </w:abstractNum>
  <w:abstractNum w:abstractNumId="2">
    <w:nsid w:val="1D545C4D"/>
    <w:multiLevelType w:val="hybridMultilevel"/>
    <w:lvl w:ilvl="0">
      <w:lvlJc w:val="left"/>
      <w:lvlText w:val="%1."/>
      <w:numFmt w:val="decimal"/>
      <w:start w:val="1"/>
    </w:lvl>
  </w:abstractNum>
  <w:abstractNum w:abstractNumId="3">
    <w:nsid w:val="59ADEA3D"/>
    <w:multiLevelType w:val="hybridMultilevel"/>
    <w:lvl w:ilvl="0">
      <w:lvlJc w:val="left"/>
      <w:lvlText w:val="%1."/>
      <w:numFmt w:val="decimal"/>
      <w:start w:val="3"/>
    </w:lvl>
  </w:abstractNum>
  <w:abstractNum w:abstractNumId="4">
    <w:nsid w:val="288F1A34"/>
    <w:multiLevelType w:val="hybridMultilevel"/>
    <w:lvl w:ilvl="0">
      <w:lvlJc w:val="left"/>
      <w:lvlText w:val="%1."/>
      <w:numFmt w:val="decimal"/>
      <w:start w:val="4"/>
    </w:lvl>
    <w:lvl w:ilvl="1">
      <w:lvlJc w:val="left"/>
      <w:lvlText w:val="(%2)"/>
      <w:numFmt w:val="lowerLetter"/>
      <w:start w:val="1"/>
    </w:lvl>
  </w:abstractNum>
  <w:abstractNum w:abstractNumId="5">
    <w:nsid w:val="2A155DBC"/>
    <w:multiLevelType w:val="hybridMultilevel"/>
    <w:lvl w:ilvl="0">
      <w:lvlJc w:val="left"/>
      <w:lvlText w:val="%1."/>
      <w:numFmt w:val="decimal"/>
      <w:start w:val="6"/>
    </w:lvl>
    <w:lvl w:ilvl="1">
      <w:lvlJc w:val="left"/>
      <w:lvlText w:val="(%2)"/>
      <w:numFmt w:val="lowerLetter"/>
      <w:start w:val="1"/>
    </w:lvl>
  </w:abstractNum>
  <w:abstractNum w:abstractNumId="6">
    <w:nsid w:val="1D9F6E5F"/>
    <w:multiLevelType w:val="hybridMultilevel"/>
    <w:lvl w:ilvl="0">
      <w:lvlJc w:val="left"/>
      <w:lvlText w:val="(%1)"/>
      <w:numFmt w:val="lowerLetter"/>
      <w:start w:val="1"/>
    </w:lvl>
  </w:abstractNum>
  <w:abstractNum w:abstractNumId="7">
    <w:nsid w:val="97E1B4E"/>
    <w:multiLevelType w:val="hybridMultilevel"/>
    <w:lvl w:ilvl="0">
      <w:lvlJc w:val="left"/>
      <w:lvlText w:val="(%1)"/>
      <w:numFmt w:val="lowerRoman"/>
      <w:start w:val="1"/>
    </w:lvl>
    <w:lvl w:ilvl="1">
      <w:lvlJc w:val="left"/>
      <w:lvlText w:val="(%2)"/>
      <w:numFmt w:val="upperLetter"/>
      <w:start w:val="1"/>
    </w:lvl>
  </w:abstractNum>
  <w:abstractNum w:abstractNumId="8">
    <w:nsid w:val="51088277"/>
    <w:multiLevelType w:val="hybridMultilevel"/>
    <w:lvl w:ilvl="0">
      <w:lvlJc w:val="left"/>
      <w:lvlText w:val="(%1)"/>
      <w:numFmt w:val="upperLetter"/>
      <w:start w:val="3"/>
    </w:lvl>
  </w:abstractNum>
  <w:abstractNum w:abstractNumId="9">
    <w:nsid w:val="1CA0C5FA"/>
    <w:multiLevelType w:val="hybridMultilevel"/>
    <w:lvl w:ilvl="0">
      <w:lvlJc w:val="left"/>
      <w:lvlText w:val="(%1)"/>
      <w:numFmt w:val="lowerLetter"/>
      <w:start w:val="1"/>
    </w:lvl>
  </w:abstractNum>
  <w:abstractNum w:abstractNumId="10">
    <w:nsid w:val="53584BCB"/>
    <w:multiLevelType w:val="hybridMultilevel"/>
    <w:lvl w:ilvl="0">
      <w:lvlJc w:val="left"/>
      <w:lvlText w:val="%1."/>
      <w:numFmt w:val="decimal"/>
      <w:start w:val="8"/>
    </w:lvl>
  </w:abstractNum>
  <w:abstractNum w:abstractNumId="11">
    <w:nsid w:val="415E286C"/>
    <w:multiLevelType w:val="hybridMultilevel"/>
    <w:lvl w:ilvl="0">
      <w:lvlJc w:val="left"/>
      <w:lvlText w:val="%1."/>
      <w:numFmt w:val="decimal"/>
      <w:start w:val="9"/>
    </w:lvl>
  </w:abstractNum>
  <w:abstractNum w:abstractNumId="12">
    <w:nsid w:val="7C58FD05"/>
    <w:multiLevelType w:val="hybridMultilevel"/>
    <w:lvl w:ilvl="0">
      <w:lvlJc w:val="left"/>
      <w:lvlText w:val="(%1)"/>
      <w:numFmt w:val="lowerLetter"/>
      <w:start w:val="1"/>
    </w:lvl>
  </w:abstractNum>
  <w:abstractNum w:abstractNumId="13">
    <w:nsid w:val="23D86AAC"/>
    <w:multiLevelType w:val="hybridMultilevel"/>
    <w:lvl w:ilvl="0">
      <w:lvlJc w:val="left"/>
      <w:lvlText w:val="%1."/>
      <w:numFmt w:val="decimal"/>
      <w:start w:val="12"/>
    </w:lvl>
    <w:lvl w:ilvl="1">
      <w:lvlJc w:val="left"/>
      <w:lvlText w:val="(%2)"/>
      <w:numFmt w:val="lowerLetter"/>
      <w:start w:val="1"/>
    </w:lvl>
  </w:abstractNum>
  <w:abstractNum w:abstractNumId="14">
    <w:nsid w:val="45E6D486"/>
    <w:multiLevelType w:val="hybridMultilevel"/>
    <w:lvl w:ilvl="0">
      <w:lvlJc w:val="left"/>
      <w:lvlText w:val="%1."/>
      <w:numFmt w:val="decimal"/>
      <w:start w:val="13"/>
    </w:lvl>
  </w:abstractNum>
  <w:abstractNum w:abstractNumId="15">
    <w:nsid w:val="5C10FE21"/>
    <w:multiLevelType w:val="hybridMultilevel"/>
    <w:lvl w:ilvl="0">
      <w:lvlJc w:val="left"/>
      <w:lvlText w:val="%1."/>
      <w:numFmt w:val="decimal"/>
      <w:start w:val="16"/>
    </w:lvl>
  </w:abstractNum>
  <w:abstractNum w:abstractNumId="16">
    <w:nsid w:val="E7FFA2B"/>
    <w:multiLevelType w:val="hybridMultilevel"/>
    <w:lvl w:ilvl="0">
      <w:lvlJc w:val="left"/>
      <w:lvlText w:val="(%1)"/>
      <w:numFmt w:val="lowerLetter"/>
      <w:start w:val="1"/>
    </w:lvl>
  </w:abstractNum>
  <w:abstractNum w:abstractNumId="17">
    <w:nsid w:val="3C5991AA"/>
    <w:multiLevelType w:val="hybridMultilevel"/>
    <w:lvl w:ilvl="0">
      <w:lvlJc w:val="left"/>
      <w:lvlText w:val="%1."/>
      <w:numFmt w:val="decimal"/>
      <w:start w:val="19"/>
    </w:lvl>
  </w:abstractNum>
  <w:abstractNum w:abstractNumId="18">
    <w:nsid w:val="4BD8591A"/>
    <w:multiLevelType w:val="hybridMultilevel"/>
    <w:lvl w:ilvl="0">
      <w:lvlJc w:val="left"/>
      <w:lvlText w:val="(%1)"/>
      <w:numFmt w:val="lowerLetter"/>
      <w:start w:val="1"/>
    </w:lvl>
  </w:abstractNum>
  <w:abstractNum w:abstractNumId="19">
    <w:nsid w:val="78DF6A55"/>
    <w:multiLevelType w:val="hybridMultilevel"/>
    <w:lvl w:ilvl="0">
      <w:lvlJc w:val="left"/>
      <w:lvlText w:val="(%1)"/>
      <w:numFmt w:val="lowerRoman"/>
      <w:start w:val="1"/>
    </w:lvl>
  </w:abstractNum>
  <w:abstractNum w:abstractNumId="20">
    <w:nsid w:val="39B7AAA2"/>
    <w:multiLevelType w:val="hybridMultilevel"/>
    <w:lvl w:ilvl="0">
      <w:lvlJc w:val="left"/>
      <w:lvlText w:val="(%1)"/>
      <w:numFmt w:val="lowerLetter"/>
      <w:start w:val="1"/>
    </w:lvl>
  </w:abstractNum>
  <w:abstractNum w:abstractNumId="21">
    <w:nsid w:val="2B0D8DBE"/>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2">
    <w:nsid w:val="6C80EC70"/>
    <w:multiLevelType w:val="hybridMultilevel"/>
    <w:lvl w:ilvl="0">
      <w:lvlJc w:val="left"/>
      <w:lvlText w:val="%1."/>
      <w:numFmt w:val="decimal"/>
      <w:start w:val="23"/>
    </w:lvl>
    <w:lvl w:ilvl="1">
      <w:lvlJc w:val="left"/>
      <w:lvlText w:val="(%2)"/>
      <w:numFmt w:val="lowerLetter"/>
      <w:start w:val="1"/>
    </w:lvl>
    <w:lvl w:ilvl="2">
      <w:lvlJc w:val="left"/>
      <w:lvlText w:val="(%3)"/>
      <w:numFmt w:val="lowerRoman"/>
      <w:start w:val="1"/>
    </w:lvl>
  </w:abstractNum>
  <w:abstractNum w:abstractNumId="23">
    <w:nsid w:val="379E21B5"/>
    <w:multiLevelType w:val="hybridMultilevel"/>
    <w:lvl w:ilvl="0">
      <w:lvlJc w:val="left"/>
      <w:lvlText w:val="(%1)"/>
      <w:numFmt w:val="lowerRoman"/>
      <w:start w:val="2"/>
    </w:lvl>
  </w:abstractNum>
  <w:abstractNum w:abstractNumId="24">
    <w:nsid w:val="69E373"/>
    <w:multiLevelType w:val="hybridMultilevel"/>
    <w:lvl w:ilvl="0">
      <w:lvlJc w:val="left"/>
      <w:lvlText w:val="(%1)"/>
      <w:numFmt w:val="lowerLetter"/>
      <w:start w:val="2"/>
    </w:lvl>
  </w:abstractNum>
  <w:abstractNum w:abstractNumId="25">
    <w:nsid w:val="2C27173B"/>
    <w:multiLevelType w:val="hybridMultilevel"/>
    <w:lvl w:ilvl="0">
      <w:lvlJc w:val="left"/>
      <w:lvlText w:val="%1"/>
      <w:numFmt w:val="decimal"/>
      <w:start w:val="1"/>
    </w:lvl>
    <w:lvl w:ilvl="1">
      <w:lvlJc w:val="left"/>
      <w:lvlText w:val="(%2)"/>
      <w:numFmt w:val="lowerLetter"/>
      <w:start w:val="3"/>
    </w:lvl>
  </w:abstractNum>
  <w:abstractNum w:abstractNumId="26">
    <w:nsid w:val="4C9B0904"/>
    <w:multiLevelType w:val="hybridMultilevel"/>
    <w:lvl w:ilvl="0">
      <w:lvlJc w:val="left"/>
      <w:lvlText w:val="%1."/>
      <w:numFmt w:val="decimal"/>
      <w:start w:val="25"/>
    </w:lvl>
    <w:lvl w:ilvl="1">
      <w:lvlJc w:val="left"/>
      <w:lvlText w:val="%2"/>
      <w:numFmt w:val="lowerLetter"/>
      <w:start w:val="1"/>
    </w:lvl>
  </w:abstractNum>
  <w:abstractNum w:abstractNumId="27">
    <w:nsid w:val="6AA7B75C"/>
    <w:multiLevelType w:val="hybridMultilevel"/>
    <w:lvl w:ilvl="0">
      <w:lvlJc w:val="left"/>
      <w:lvlText w:val="%1."/>
      <w:numFmt w:val="decimal"/>
      <w:start w:val="27"/>
    </w:lvl>
  </w:abstractNum>
  <w:abstractNum w:abstractNumId="28">
    <w:nsid w:val="1DF029D3"/>
    <w:multiLevelType w:val="hybridMultilevel"/>
    <w:lvl w:ilvl="0">
      <w:lvlJc w:val="left"/>
      <w:lvlText w:val="%1."/>
      <w:numFmt w:val="decimal"/>
      <w:start w:val="1"/>
    </w:lvl>
  </w:abstractNum>
  <w:abstractNum w:abstractNumId="29">
    <w:nsid w:val="5675FF36"/>
    <w:multiLevelType w:val="hybridMultilevel"/>
    <w:lvl w:ilvl="0">
      <w:lvlJc w:val="left"/>
      <w:lvlText w:val="%1."/>
      <w:numFmt w:val="decimal"/>
      <w:start w:val="2"/>
    </w:lvl>
  </w:abstractNum>
  <w:abstractNum w:abstractNumId="30">
    <w:nsid w:val="3DD15094"/>
    <w:multiLevelType w:val="hybridMultilevel"/>
    <w:lvl w:ilvl="0">
      <w:lvlJc w:val="left"/>
      <w:lvlText w:val="%1."/>
      <w:numFmt w:val="decimal"/>
      <w:start w:val="3"/>
    </w:lvl>
  </w:abstractNum>
  <w:abstractNum w:abstractNumId="31">
    <w:nsid w:val="3DB012B3"/>
    <w:multiLevelType w:val="hybridMultilevel"/>
    <w:lvl w:ilvl="0">
      <w:lvlJc w:val="left"/>
      <w:lvlText w:val="%1."/>
      <w:numFmt w:val="decimal"/>
      <w:start w:val="5"/>
    </w:lvl>
  </w:abstractNum>
  <w:abstractNum w:abstractNumId="32">
    <w:nsid w:val="2708C9AF"/>
    <w:multiLevelType w:val="hybridMultilevel"/>
    <w:lvl w:ilvl="0">
      <w:lvlJc w:val="left"/>
      <w:lvlText w:val="%1."/>
      <w:numFmt w:val="decimal"/>
      <w:start w:val="8"/>
    </w:lvl>
  </w:abstractNum>
  <w:abstractNum w:abstractNumId="33">
    <w:nsid w:val="5B25ACE2"/>
    <w:multiLevelType w:val="hybridMultilevel"/>
    <w:lvl w:ilvl="0">
      <w:lvlJc w:val="left"/>
      <w:lvlText w:val="(%1)"/>
      <w:numFmt w:val="lowerLetter"/>
      <w:start w:val="1"/>
    </w:lvl>
    <w:lvl w:ilvl="1">
      <w:lvlJc w:val="left"/>
      <w:lvlText w:val="(%2)"/>
      <w:numFmt w:val="lowerLetter"/>
      <w:start w:val="35"/>
    </w:lvl>
  </w:abstractNum>
  <w:abstractNum w:abstractNumId="34">
    <w:nsid w:val="175DFCF0"/>
    <w:multiLevelType w:val="hybridMultilevel"/>
    <w:lvl w:ilvl="0">
      <w:lvlJc w:val="left"/>
      <w:lvlText w:val="%1."/>
      <w:numFmt w:val="decimal"/>
      <w:start w:val="9"/>
    </w:lvl>
  </w:abstractNum>
  <w:abstractNum w:abstractNumId="35">
    <w:nsid w:val="4F97E3E4"/>
    <w:multiLevelType w:val="hybridMultilevel"/>
    <w:lvl w:ilvl="0">
      <w:lvlJc w:val="left"/>
      <w:lvlText w:val="(%1)"/>
      <w:numFmt w:val="lowerRoman"/>
      <w:start w:val="2"/>
    </w:lvl>
  </w:abstractNum>
  <w:abstractNum w:abstractNumId="36">
    <w:nsid w:val="53B0A9E"/>
    <w:multiLevelType w:val="hybridMultilevel"/>
    <w:lvl w:ilvl="0">
      <w:lvlJc w:val="left"/>
      <w:lvlText w:val="(%1)"/>
      <w:numFmt w:val="lowerLetter"/>
      <w:start w:val="1"/>
    </w:lvl>
  </w:abstractNum>
  <w:abstractNum w:abstractNumId="37">
    <w:nsid w:val="34FD6B4F"/>
    <w:multiLevelType w:val="hybridMultilevel"/>
    <w:lvl w:ilvl="0">
      <w:lvlJc w:val="left"/>
      <w:lvlText w:val="(%1)"/>
      <w:numFmt w:val="lowerLetter"/>
      <w:start w:val="5"/>
    </w:lvl>
  </w:abstractNum>
  <w:abstractNum w:abstractNumId="38">
    <w:nsid w:val="5915FF32"/>
    <w:multiLevelType w:val="hybridMultilevel"/>
    <w:lvl w:ilvl="0">
      <w:lvlJc w:val="left"/>
      <w:lvlText w:val="%1."/>
      <w:numFmt w:val="decimal"/>
      <w:start w:val="10"/>
    </w:lvl>
  </w:abstractNum>
  <w:abstractNum w:abstractNumId="39">
    <w:nsid w:val="56438D15"/>
    <w:multiLevelType w:val="hybridMultilevel"/>
    <w:lvl w:ilvl="0">
      <w:lvlJc w:val="left"/>
      <w:lvlText w:val="(%1)"/>
      <w:numFmt w:val="lowerLetter"/>
      <w:start w:val="1"/>
    </w:lvl>
  </w:abstractNum>
  <w:abstractNum w:abstractNumId="40">
    <w:nsid w:val="519E3149"/>
    <w:multiLevelType w:val="hybridMultilevel"/>
    <w:lvl w:ilvl="0">
      <w:lvlJc w:val="left"/>
      <w:lvlText w:val="(%1)"/>
      <w:numFmt w:val="lowerLetter"/>
      <w:start w:val="6"/>
    </w:lvl>
  </w:abstractNum>
  <w:abstractNum w:abstractNumId="41">
    <w:nsid w:val="2C6E4AFD"/>
    <w:multiLevelType w:val="hybridMultilevel"/>
    <w:lvl w:ilvl="0">
      <w:lvlJc w:val="left"/>
      <w:lvlText w:val="%1."/>
      <w:numFmt w:val="decimal"/>
      <w:start w:val="11"/>
    </w:lvl>
  </w:abstractNum>
  <w:abstractNum w:abstractNumId="42">
    <w:nsid w:val="17A1B582"/>
    <w:multiLevelType w:val="hybridMultilevel"/>
    <w:lvl w:ilvl="0">
      <w:lvlJc w:val="left"/>
      <w:lvlText w:val="(%1)"/>
      <w:numFmt w:val="lowerLetter"/>
      <w:start w:val="1"/>
    </w:lvl>
  </w:abstractNum>
  <w:abstractNum w:abstractNumId="43">
    <w:nsid w:val="4DF72E4E"/>
    <w:multiLevelType w:val="hybridMultilevel"/>
    <w:lvl w:ilvl="0">
      <w:lvlJc w:val="left"/>
      <w:lvlText w:val="%1."/>
      <w:numFmt w:val="decimal"/>
      <w:start w:val="12"/>
    </w:lvl>
  </w:abstractNum>
  <w:abstractNum w:abstractNumId="44">
    <w:nsid w:val="5046B5A9"/>
    <w:multiLevelType w:val="hybridMultilevel"/>
    <w:lvl w:ilvl="0">
      <w:lvlJc w:val="left"/>
      <w:lvlText w:val="%1."/>
      <w:numFmt w:val="decimal"/>
      <w:start w:val="14"/>
    </w:lvl>
  </w:abstractNum>
  <w:abstractNum w:abstractNumId="45">
    <w:nsid w:val="5D888A08"/>
    <w:multiLevelType w:val="hybridMultilevel"/>
    <w:lvl w:ilvl="0">
      <w:lvlJc w:val="left"/>
      <w:lvlText w:val="%1."/>
      <w:numFmt w:val="decimal"/>
      <w:start w:val="15"/>
    </w:lvl>
  </w:abstractNum>
  <w:abstractNum w:abstractNumId="46">
    <w:nsid w:val="2A082C70"/>
    <w:multiLevelType w:val="hybridMultilevel"/>
    <w:lvl w:ilvl="0">
      <w:lvlJc w:val="left"/>
      <w:lvlText w:val="%1."/>
      <w:numFmt w:val="decimal"/>
      <w:start w:val="18"/>
    </w:lvl>
  </w:abstractNum>
  <w:abstractNum w:abstractNumId="47">
    <w:nsid w:val="5EC6AFD4"/>
    <w:multiLevelType w:val="hybridMultilevel"/>
    <w:lvl w:ilvl="0">
      <w:lvlJc w:val="left"/>
      <w:lvlText w:val="%1."/>
      <w:numFmt w:val="decimal"/>
      <w:start w:val="22"/>
    </w:lvl>
  </w:abstractNum>
  <w:abstractNum w:abstractNumId="48">
    <w:nsid w:val="19E21BB2"/>
    <w:multiLevelType w:val="hybridMultilevel"/>
    <w:lvl w:ilvl="0">
      <w:lvlJc w:val="left"/>
      <w:lvlText w:val="%1."/>
      <w:numFmt w:val="decimal"/>
      <w:start w:val="23"/>
    </w:lvl>
  </w:abstractNum>
  <w:abstractNum w:abstractNumId="49">
    <w:nsid w:val="75E0858A"/>
    <w:multiLevelType w:val="hybridMultilevel"/>
    <w:lvl w:ilvl="0">
      <w:lvlJc w:val="left"/>
      <w:lvlText w:val="☐"/>
      <w:numFmt w:val="bullet"/>
      <w:start w:val="1"/>
    </w:lvl>
  </w:abstractNum>
  <w:abstractNum w:abstractNumId="50">
    <w:nsid w:val="57A61A29"/>
    <w:multiLevelType w:val="hybridMultilevel"/>
    <w:lvl w:ilvl="0">
      <w:lvlJc w:val="left"/>
      <w:lvlText w:val="%1."/>
      <w:numFmt w:val="decimal"/>
      <w:start w:val="1"/>
    </w:lvl>
  </w:abstractNum>
  <w:abstractNum w:abstractNumId="51">
    <w:nsid w:val="5399C654"/>
    <w:multiLevelType w:val="hybridMultilevel"/>
    <w:lvl w:ilvl="0">
      <w:lvlJc w:val="left"/>
      <w:lvlText w:val="%1."/>
      <w:numFmt w:val="decimal"/>
      <w:start w:val="1"/>
    </w:lvl>
    <w:lvl w:ilvl="1">
      <w:lvlJc w:val="left"/>
      <w:lvlText w:val="(%2)"/>
      <w:numFmt w:val="lowerLetter"/>
      <w:start w:val="1"/>
    </w:lvl>
  </w:abstractNum>
  <w:abstractNum w:abstractNumId="52">
    <w:nsid w:val="20EE1348"/>
    <w:multiLevelType w:val="hybridMultilevel"/>
    <w:lvl w:ilvl="0">
      <w:lvlJc w:val="left"/>
      <w:lvlText w:val="(%1)"/>
      <w:numFmt w:val="lowerLetter"/>
      <w:start w:val="1"/>
    </w:lvl>
  </w:abstractNum>
  <w:abstractNum w:abstractNumId="53">
    <w:nsid w:val="4427069A"/>
    <w:multiLevelType w:val="hybridMultilevel"/>
    <w:lvl w:ilvl="0">
      <w:lvlJc w:val="left"/>
      <w:lvlText w:val="(%1)"/>
      <w:numFmt w:val="lowerLetter"/>
      <w:start w:val="2"/>
    </w:lvl>
  </w:abstractNum>
  <w:abstractNum w:abstractNumId="54">
    <w:nsid w:val="B37E80A"/>
    <w:multiLevelType w:val="hybridMultilevel"/>
    <w:lvl w:ilvl="0">
      <w:lvlJc w:val="left"/>
      <w:lvlText w:val="(%1)"/>
      <w:numFmt w:val="lowerLetter"/>
      <w:start w:val="1"/>
    </w:lvl>
  </w:abstractNum>
  <w:abstractNum w:abstractNumId="55">
    <w:nsid w:val="2157F6BC"/>
    <w:multiLevelType w:val="hybridMultilevel"/>
    <w:lvl w:ilvl="0">
      <w:lvlJc w:val="left"/>
      <w:lvlText w:val="(%1)"/>
      <w:numFmt w:val="lowerRoman"/>
      <w:start w:val="1"/>
    </w:lvl>
  </w:abstractNum>
  <w:abstractNum w:abstractNumId="56">
    <w:nsid w:val="704E1DD5"/>
    <w:multiLevelType w:val="hybridMultilevel"/>
    <w:lvl w:ilvl="0">
      <w:lvlJc w:val="left"/>
      <w:lvlText w:val="(%1)"/>
      <w:numFmt w:val="lowerLetter"/>
      <w:start w:val="1"/>
    </w:lvl>
  </w:abstractNum>
  <w:abstractNum w:abstractNumId="57">
    <w:nsid w:val="57D2F10E"/>
    <w:multiLevelType w:val="hybridMultilevel"/>
    <w:lvl w:ilvl="0">
      <w:lvlJc w:val="left"/>
      <w:lvlText w:val="%1."/>
      <w:numFmt w:val="decimal"/>
      <w:start w:val="2"/>
    </w:lvl>
  </w:abstractNum>
  <w:abstractNum w:abstractNumId="58">
    <w:nsid w:val="BFFAE18"/>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59">
    <w:nsid w:val="E3E47A8"/>
    <w:multiLevelType w:val="hybridMultilevel"/>
    <w:lvl w:ilvl="0">
      <w:lvlJc w:val="left"/>
      <w:lvlText w:val="%1."/>
      <w:numFmt w:val="decimal"/>
      <w:start w:val="12"/>
    </w:lvl>
    <w:lvl w:ilvl="1">
      <w:lvlJc w:val="left"/>
      <w:lvlText w:val="(%2)"/>
      <w:numFmt w:val="lowerLetter"/>
      <w:start w:val="1"/>
    </w:lvl>
  </w:abstractNum>
  <w:abstractNum w:abstractNumId="60">
    <w:nsid w:val="2E48F044"/>
    <w:multiLevelType w:val="hybridMultilevel"/>
    <w:lvl w:ilvl="0">
      <w:lvlJc w:val="left"/>
      <w:lvlText w:val="%1."/>
      <w:numFmt w:val="decimal"/>
      <w:start w:val="13"/>
    </w:lvl>
    <w:lvl w:ilvl="1">
      <w:lvlJc w:val="left"/>
      <w:lvlText w:val="(%2)"/>
      <w:numFmt w:val="lowerLetter"/>
      <w:start w:val="1"/>
    </w:lvl>
  </w:abstractNum>
  <w:abstractNum w:abstractNumId="61">
    <w:nsid w:val="49D0FEAC"/>
    <w:multiLevelType w:val="hybridMultilevel"/>
    <w:lvl w:ilvl="0">
      <w:lvlJc w:val="left"/>
      <w:lvlText w:val="%1."/>
      <w:numFmt w:val="decimal"/>
      <w:start w:val="16"/>
    </w:lvl>
    <w:lvl w:ilvl="1">
      <w:lvlJc w:val="left"/>
      <w:lvlText w:val="(%2)"/>
      <w:numFmt w:val="lowerLetter"/>
      <w:start w:val="1"/>
    </w:lvl>
  </w:abstractNum>
  <w:abstractNum w:abstractNumId="62">
    <w:nsid w:val="4BEE5A5B"/>
    <w:multiLevelType w:val="hybridMultilevel"/>
    <w:lvl w:ilvl="0">
      <w:lvlJc w:val="left"/>
      <w:lvlText w:val="(%1)"/>
      <w:numFmt w:val="lowerLetter"/>
      <w:start w:val="2"/>
    </w:lvl>
  </w:abstractNum>
  <w:abstractNum w:abstractNumId="63">
    <w:nsid w:val="5551B9F3"/>
    <w:multiLevelType w:val="hybridMultilevel"/>
    <w:lvl w:ilvl="0">
      <w:lvlJc w:val="left"/>
      <w:lvlText w:val="%1."/>
      <w:numFmt w:val="decimal"/>
      <w:start w:val="17"/>
    </w:lvl>
    <w:lvl w:ilvl="1">
      <w:lvlJc w:val="left"/>
      <w:lvlText w:val="(%2)"/>
      <w:numFmt w:val="lowerLetter"/>
      <w:start w:val="1"/>
    </w:lvl>
  </w:abstractNum>
  <w:abstractNum w:abstractNumId="64">
    <w:nsid w:val="24F6AB8E"/>
    <w:multiLevelType w:val="hybridMultilevel"/>
    <w:lvl w:ilvl="0">
      <w:lvlJc w:val="left"/>
      <w:lvlText w:val="%1."/>
      <w:numFmt w:val="decimal"/>
      <w:start w:val="19"/>
    </w:lvl>
  </w:abstractNum>
  <w:abstractNum w:abstractNumId="65">
    <w:nsid w:val="634C574C"/>
    <w:multiLevelType w:val="hybridMultilevel"/>
    <w:lvl w:ilvl="0">
      <w:lvlJc w:val="left"/>
      <w:lvlText w:val="(%1)"/>
      <w:numFmt w:val="lowerLetter"/>
      <w:start w:val="1"/>
    </w:lvl>
  </w:abstractNum>
  <w:abstractNum w:abstractNumId="66">
    <w:nsid w:val="24E99DD7"/>
    <w:multiLevelType w:val="hybridMultilevel"/>
    <w:lvl w:ilvl="0">
      <w:lvlJc w:val="left"/>
      <w:lvlText w:val="(%1)"/>
      <w:numFmt w:val="lowerRoman"/>
      <w:start w:val="7"/>
    </w:lvl>
  </w:abstractNum>
  <w:abstractNum w:abstractNumId="67">
    <w:nsid w:val="2A31B62D"/>
    <w:multiLevelType w:val="hybridMultilevel"/>
    <w:lvl w:ilvl="0">
      <w:lvlJc w:val="left"/>
      <w:lvlText w:val="(%1)"/>
      <w:numFmt w:val="lowerLetter"/>
      <w:start w:val="1"/>
    </w:lvl>
  </w:abstractNum>
  <w:abstractNum w:abstractNumId="68">
    <w:nsid w:val="1849C29B"/>
    <w:multiLevelType w:val="hybridMultilevel"/>
    <w:lvl w:ilvl="0">
      <w:lvlJc w:val="left"/>
      <w:lvlText w:val="(%1)"/>
      <w:numFmt w:val="decimal"/>
      <w:start w:val="1"/>
    </w:lvl>
  </w:abstractNum>
  <w:abstractNum w:abstractNumId="69">
    <w:nsid w:val="7DFF9D09"/>
    <w:multiLevelType w:val="hybridMultilevel"/>
    <w:lvl w:ilvl="0">
      <w:lvlJc w:val="left"/>
      <w:lvlText w:val="(%1)"/>
      <w:numFmt w:val="decimal"/>
      <w:start w:val="1"/>
    </w:lvl>
  </w:abstractNum>
  <w:abstractNum w:abstractNumId="70">
    <w:nsid w:val="754342"/>
    <w:multiLevelType w:val="hybridMultilevel"/>
    <w:lvl w:ilvl="0">
      <w:lvlJc w:val="left"/>
      <w:lvlText w:val="(%1)"/>
      <w:numFmt w:val="decimal"/>
      <w:start w:val="2"/>
    </w:lvl>
  </w:abstractNum>
  <w:abstractNum w:abstractNumId="71">
    <w:nsid w:val="69E7F3E5"/>
    <w:multiLevelType w:val="hybridMultilevel"/>
    <w:lvl w:ilvl="0">
      <w:lvlJc w:val="left"/>
      <w:lvlText w:val="(%1)"/>
      <w:numFmt w:val="decimal"/>
      <w:start w:val="1"/>
    </w:lvl>
  </w:abstractNum>
  <w:abstractNum w:abstractNumId="72">
    <w:nsid w:val="2A6DE806"/>
    <w:multiLevelType w:val="hybridMultilevel"/>
    <w:lvl w:ilvl="0">
      <w:lvlJc w:val="left"/>
      <w:lvlText w:val="(%1)"/>
      <w:numFmt w:val="lowerRoman"/>
      <w:start w:val="5"/>
    </w:lvl>
  </w:abstractNum>
  <w:abstractNum w:abstractNumId="73">
    <w:nsid w:val="1816F8C4"/>
    <w:multiLevelType w:val="hybridMultilevel"/>
    <w:lvl w:ilvl="0">
      <w:lvlJc w:val="left"/>
      <w:lvlText w:val="(%1)"/>
      <w:numFmt w:val="lowerRoman"/>
      <w:start w:val="7"/>
    </w:lvl>
  </w:abstractNum>
  <w:abstractNum w:abstractNumId="74">
    <w:nsid w:val="37DF2233"/>
    <w:multiLevelType w:val="hybridMultilevel"/>
    <w:lvl w:ilvl="0">
      <w:lvlJc w:val="left"/>
      <w:lvlText w:val="(%1)"/>
      <w:numFmt w:val="lowerRoman"/>
      <w:start w:val="3"/>
    </w:lvl>
  </w:abstractNum>
  <w:abstractNum w:abstractNumId="75">
    <w:nsid w:val="7AB49DAF"/>
    <w:multiLevelType w:val="hybridMultilevel"/>
    <w:lvl w:ilvl="0">
      <w:lvlJc w:val="left"/>
      <w:lvlText w:val="(%1)"/>
      <w:numFmt w:val="lowerLetter"/>
      <w:start w:val="1"/>
    </w:lvl>
  </w:abstractNum>
  <w:abstractNum w:abstractNumId="76">
    <w:nsid w:val="759F82CD"/>
    <w:multiLevelType w:val="hybridMultilevel"/>
    <w:lvl w:ilvl="0">
      <w:lvlJc w:val="left"/>
      <w:lvlText w:val="(%1)"/>
      <w:numFmt w:val="upperLetter"/>
      <w:start w:val="1"/>
    </w:lvl>
  </w:abstractNum>
  <w:abstractNum w:abstractNumId="77">
    <w:nsid w:val="61E74EA3"/>
    <w:multiLevelType w:val="hybridMultilevel"/>
    <w:lvl w:ilvl="0">
      <w:lvlJc w:val="left"/>
      <w:lvlText w:val="(%1)"/>
      <w:numFmt w:val="lowerRoman"/>
      <w:start w:val="1"/>
    </w:lvl>
  </w:abstractNum>
  <w:abstractNum w:abstractNumId="78">
    <w:nsid w:val="597B4D84"/>
    <w:multiLevelType w:val="hybridMultilevel"/>
    <w:lvl w:ilvl="0">
      <w:lvlJc w:val="left"/>
      <w:lvlText w:val="(%1)"/>
      <w:numFmt w:val="lowerRoman"/>
      <w:start w:val="1"/>
    </w:lvl>
  </w:abstractNum>
  <w:abstractNum w:abstractNumId="79">
    <w:nsid w:val="F819E7F"/>
    <w:multiLevelType w:val="hybridMultilevel"/>
    <w:lvl w:ilvl="0">
      <w:lvlJc w:val="left"/>
      <w:lvlText w:val="(%1)"/>
      <w:numFmt w:val="lowerRoman"/>
      <w:start w:val="1"/>
    </w:lvl>
  </w:abstractNum>
  <w:abstractNum w:abstractNumId="80">
    <w:nsid w:val="57C7D42D"/>
    <w:multiLevelType w:val="hybridMultilevel"/>
    <w:lvl w:ilvl="0">
      <w:lvlJc w:val="left"/>
      <w:lvlText w:val="(%1)"/>
      <w:numFmt w:val="decimal"/>
      <w:start w:val="4"/>
    </w:lvl>
  </w:abstractNum>
  <w:abstractNum w:abstractNumId="81">
    <w:nsid w:val="312167AD"/>
    <w:multiLevelType w:val="hybridMultilevel"/>
    <w:lvl w:ilvl="0">
      <w:lvlJc w:val="left"/>
      <w:lvlText w:val="(%1)"/>
      <w:numFmt w:val="lowerLetter"/>
      <w:start w:val="9"/>
    </w:lvl>
  </w:abstractNum>
  <w:abstractNum w:abstractNumId="82">
    <w:nsid w:val="631B64D4"/>
    <w:multiLevelType w:val="hybridMultilevel"/>
    <w:lvl w:ilvl="0">
      <w:lvlJc w:val="left"/>
      <w:lvlText w:val="(%1)"/>
      <w:numFmt w:val="lowerLetter"/>
      <w:start w:val="3"/>
    </w:lvl>
  </w:abstractNum>
  <w:abstractNum w:abstractNumId="83">
    <w:nsid w:val="78B5E776"/>
    <w:multiLevelType w:val="hybridMultilevel"/>
    <w:lvl w:ilvl="0">
      <w:lvlJc w:val="left"/>
      <w:lvlText w:val="(%1)"/>
      <w:numFmt w:val="lowerLetter"/>
      <w:start w:val="3"/>
    </w:lvl>
  </w:abstractNum>
  <w:abstractNum w:abstractNumId="84">
    <w:nsid w:val="75486E47"/>
    <w:multiLevelType w:val="hybridMultilevel"/>
    <w:lvl w:ilvl="0">
      <w:lvlJc w:val="left"/>
      <w:lvlText w:val="(%1)"/>
      <w:numFmt w:val="lowerLetter"/>
      <w:start w:val="2"/>
    </w:lvl>
  </w:abstractNum>
  <w:abstractNum w:abstractNumId="85">
    <w:nsid w:val="6E534CDE"/>
    <w:multiLevelType w:val="hybridMultilevel"/>
    <w:lvl w:ilvl="0">
      <w:lvlJc w:val="left"/>
      <w:lvlText w:val="(%1)"/>
      <w:numFmt w:val="lowerLetter"/>
      <w:start w:val="35"/>
    </w:lvl>
  </w:abstractNum>
  <w:abstractNum w:abstractNumId="86">
    <w:nsid w:val="1A0DDE32"/>
    <w:multiLevelType w:val="hybridMultilevel"/>
    <w:lvl w:ilvl="0">
      <w:lvlJc w:val="left"/>
      <w:lvlText w:val="(%1)"/>
      <w:numFmt w:val="lowerLetter"/>
      <w:start w:val="4"/>
    </w:lvl>
  </w:abstractNum>
  <w:abstractNum w:abstractNumId="87">
    <w:nsid w:val="65968C1C"/>
    <w:multiLevelType w:val="hybridMultilevel"/>
    <w:lvl w:ilvl="0">
      <w:lvlJc w:val="left"/>
      <w:lvlText w:val="(%1)"/>
      <w:numFmt w:val="lowerLetter"/>
      <w:start w:val="1"/>
    </w:lvl>
  </w:abstractNum>
  <w:abstractNum w:abstractNumId="88">
    <w:nsid w:val="46263DEC"/>
    <w:multiLevelType w:val="hybridMultilevel"/>
    <w:lvl w:ilvl="0">
      <w:lvlJc w:val="left"/>
      <w:lvlText w:val="(%1)"/>
      <w:numFmt w:val="lowerLetter"/>
      <w:start w:val="1"/>
    </w:lvl>
  </w:abstractNum>
  <w:abstractNum w:abstractNumId="89">
    <w:nsid w:val="260D8C4A"/>
    <w:multiLevelType w:val="hybridMultilevel"/>
    <w:lvl w:ilvl="0">
      <w:lvlJc w:val="left"/>
      <w:lvlText w:val="(%1)"/>
      <w:numFmt w:val="decimal"/>
      <w:start w:val="519"/>
    </w:lvl>
  </w:abstractNum>
  <w:abstractNum w:abstractNumId="90">
    <w:nsid w:val="73D4D3C4"/>
    <w:multiLevelType w:val="hybridMultilevel"/>
    <w:lvl w:ilvl="0">
      <w:lvlJc w:val="left"/>
      <w:lvlText w:val="(%1)"/>
      <w:numFmt w:val="decimal"/>
      <w:start w:val="4"/>
    </w:lvl>
  </w:abstractNum>
  <w:abstractNum w:abstractNumId="91">
    <w:nsid w:val="746F2E30"/>
    <w:multiLevelType w:val="hybridMultilevel"/>
    <w:lvl w:ilvl="0">
      <w:lvlJc w:val="left"/>
      <w:lvlText w:val="(%1)"/>
      <w:numFmt w:val="lowerRoman"/>
      <w:start w:val="10"/>
    </w:lvl>
  </w:abstractNum>
  <w:abstractNum w:abstractNumId="92">
    <w:nsid w:val="6FDE8AF6"/>
    <w:multiLevelType w:val="hybridMultilevel"/>
    <w:lvl w:ilvl="0">
      <w:lvlJc w:val="left"/>
      <w:lvlText w:val="(%1)"/>
      <w:numFmt w:val="lowerLetter"/>
      <w:start w:val="2"/>
    </w:lvl>
  </w:abstractNum>
  <w:abstractNum w:abstractNumId="93">
    <w:nsid w:val="3FC32E20"/>
    <w:multiLevelType w:val="hybridMultilevel"/>
    <w:lvl w:ilvl="0">
      <w:lvlJc w:val="left"/>
      <w:lvlText w:val="(%1)"/>
      <w:numFmt w:val="lowerLetter"/>
      <w:start w:val="1"/>
    </w:lvl>
  </w:abstractNum>
  <w:abstractNum w:abstractNumId="94">
    <w:nsid w:val="49C0E823"/>
    <w:multiLevelType w:val="hybridMultilevel"/>
    <w:lvl w:ilvl="0">
      <w:lvlJc w:val="left"/>
      <w:lvlText w:val="(%1)"/>
      <w:numFmt w:val="lowerLetter"/>
      <w:start w:val="2"/>
    </w:lvl>
  </w:abstractNum>
  <w:abstractNum w:abstractNumId="95">
    <w:nsid w:val="14D53685"/>
    <w:multiLevelType w:val="hybridMultilevel"/>
    <w:lvl w:ilvl="0">
      <w:lvlJc w:val="left"/>
      <w:lvlText w:val="(%1)"/>
      <w:numFmt w:val="lowerRoman"/>
      <w:start w:val="5"/>
    </w:lvl>
    <w:lvl w:ilvl="1">
      <w:lvlJc w:val="left"/>
      <w:lvlText w:val="(%2)"/>
      <w:numFmt w:val="lowerRoman"/>
      <w:start w:val="1"/>
    </w:lvl>
  </w:abstractNum>
  <w:abstractNum w:abstractNumId="96">
    <w:nsid w:val="230F856C"/>
    <w:multiLevelType w:val="hybridMultilevel"/>
    <w:lvl w:ilvl="0">
      <w:lvlJc w:val="left"/>
      <w:lvlText w:val="%1"/>
      <w:numFmt w:val="lowerLetter"/>
      <w:start w:val="1"/>
    </w:lvl>
    <w:lvl w:ilvl="1">
      <w:lvlJc w:val="left"/>
      <w:lvlText w:val="(%2)"/>
      <w:numFmt w:val="lowerLetter"/>
      <w:start w:val="1"/>
    </w:lvl>
  </w:abstractNum>
  <w:abstractNum w:abstractNumId="97">
    <w:nsid w:val="6EAA85FB"/>
    <w:multiLevelType w:val="hybridMultilevel"/>
    <w:lvl w:ilvl="0">
      <w:lvlJc w:val="left"/>
      <w:lvlText w:val="(%1)"/>
      <w:numFmt w:val="lowerLetter"/>
      <w:start w:val="35"/>
    </w:lvl>
    <w:lvl w:ilvl="1">
      <w:lvlJc w:val="left"/>
      <w:lvlText w:val="(%2)"/>
      <w:numFmt w:val="lowerLetter"/>
      <w:start w:val="3"/>
    </w:lvl>
  </w:abstractNum>
  <w:abstractNum w:abstractNumId="98">
    <w:nsid w:val="3F06ECB2"/>
    <w:multiLevelType w:val="hybridMultilevel"/>
    <w:lvl w:ilvl="0">
      <w:lvlJc w:val="left"/>
      <w:lvlText w:val="(%1)"/>
      <w:numFmt w:val="lowerLetter"/>
      <w:start w:val="2"/>
    </w:lvl>
  </w:abstractNum>
  <w:abstractNum w:abstractNumId="99">
    <w:nsid w:val="3B594807"/>
    <w:multiLevelType w:val="hybridMultilevel"/>
    <w:lvl w:ilvl="0">
      <w:lvlJc w:val="left"/>
      <w:lvlText w:val="(%1)"/>
      <w:numFmt w:val="lowerLetter"/>
      <w:start w:val="4"/>
    </w:lvl>
  </w:abstractNum>
  <w:abstractNum w:abstractNumId="100">
    <w:nsid w:val="6CAA2304"/>
    <w:multiLevelType w:val="hybridMultilevel"/>
    <w:lvl w:ilvl="0">
      <w:lvlJc w:val="left"/>
      <w:lvlText w:val="(%1)"/>
      <w:numFmt w:val="lowerLetter"/>
      <w:start w:val="2"/>
    </w:lvl>
  </w:abstractNum>
  <w:abstractNum w:abstractNumId="101">
    <w:nsid w:val="3F7C2FF4"/>
    <w:multiLevelType w:val="hybridMultilevel"/>
    <w:lvl w:ilvl="0">
      <w:lvlJc w:val="left"/>
      <w:lvlText w:val="(%1)"/>
      <w:numFmt w:val="lowerRoman"/>
      <w:start w:val="1"/>
    </w:lvl>
  </w:abstractNum>
  <w:abstractNum w:abstractNumId="102">
    <w:nsid w:val="25413BEC"/>
    <w:multiLevelType w:val="hybridMultilevel"/>
    <w:lvl w:ilvl="0">
      <w:lvlJc w:val="left"/>
      <w:lvlText w:val="%1"/>
      <w:numFmt w:val="lowerLetter"/>
      <w:start w:val="1"/>
    </w:lvl>
    <w:lvl w:ilvl="1">
      <w:lvlJc w:val="left"/>
      <w:lvlText w:val="(%2)"/>
      <w:numFmt w:val="lowerLetter"/>
      <w:start w:val="35"/>
    </w:lvl>
  </w:abstractNum>
  <w:abstractNum w:abstractNumId="103">
    <w:nsid w:val="17180B0B"/>
    <w:multiLevelType w:val="hybridMultilevel"/>
    <w:lvl w:ilvl="0">
      <w:lvlJc w:val="left"/>
      <w:lvlText w:val="(%1)"/>
      <w:numFmt w:val="lowerLetter"/>
      <w:start w:val="3"/>
    </w:lvl>
    <w:lvl w:ilvl="1">
      <w:lvlJc w:val="left"/>
      <w:lvlText w:val="%2"/>
      <w:numFmt w:val="lowerLetter"/>
      <w:start w:val="1"/>
    </w:lvl>
  </w:abstractNum>
  <w:abstractNum w:abstractNumId="104">
    <w:nsid w:val="579328B9"/>
    <w:multiLevelType w:val="hybridMultilevel"/>
    <w:lvl w:ilvl="0">
      <w:lvlJc w:val="left"/>
      <w:lvlText w:val="(%1)"/>
      <w:numFmt w:val="lowerLetter"/>
      <w:start w:val="6"/>
    </w:lvl>
  </w:abstractNum>
  <w:abstractNum w:abstractNumId="105">
    <w:nsid w:val="5D205E20"/>
    <w:multiLevelType w:val="hybridMultilevel"/>
    <w:lvl w:ilvl="0">
      <w:lvlJc w:val="left"/>
      <w:lvlText w:val="%1"/>
      <w:numFmt w:val="lowerLetter"/>
      <w:start w:val="1"/>
    </w:lvl>
    <w:lvl w:ilvl="1">
      <w:lvlJc w:val="left"/>
      <w:lvlText w:val="(%2)"/>
      <w:numFmt w:val="lowerLetter"/>
      <w:start w:val="8"/>
    </w:lvl>
    <w:lvl w:ilvl="2">
      <w:lvlJc w:val="left"/>
      <w:lvlText w:val="%3"/>
      <w:numFmt w:val="upperLetter"/>
      <w:start w:val="1"/>
    </w:lvl>
  </w:abstractNum>
  <w:abstractNum w:abstractNumId="106">
    <w:nsid w:val="11CCA8BA"/>
    <w:multiLevelType w:val="hybridMultilevel"/>
    <w:lvl w:ilvl="0">
      <w:lvlJc w:val="left"/>
      <w:lvlText w:val="(%1)"/>
      <w:numFmt w:val="lowerLetter"/>
      <w:start w:val="35"/>
    </w:lvl>
    <w:lvl w:ilvl="1">
      <w:lvlJc w:val="left"/>
      <w:lvlText w:val="(%2)"/>
      <w:numFmt w:val="lowerLetter"/>
      <w:start w:val="9"/>
    </w:lvl>
    <w:lvl w:ilvl="2">
      <w:lvlJc w:val="left"/>
      <w:lvlText w:val="(%3)"/>
      <w:numFmt w:val="upperLetter"/>
      <w:start w:val="2"/>
    </w:lvl>
  </w:abstractNum>
  <w:abstractNum w:abstractNumId="107">
    <w:nsid w:val="4D32AB86"/>
    <w:multiLevelType w:val="hybridMultilevel"/>
    <w:lvl w:ilvl="0">
      <w:lvlJc w:val="left"/>
      <w:lvlText w:val="(%1)"/>
      <w:numFmt w:val="lowerLetter"/>
      <w:start w:val="11"/>
    </w:lvl>
  </w:abstractNum>
  <w:abstractNum w:abstractNumId="108">
    <w:nsid w:val="3F07ACC3"/>
    <w:multiLevelType w:val="hybridMultilevel"/>
    <w:lvl w:ilvl="0">
      <w:lvlJc w:val="left"/>
      <w:lvlText w:val="(%1)"/>
      <w:numFmt w:val="lowerLetter"/>
      <w:start w:val="25"/>
    </w:lvl>
    <w:lvl w:ilvl="1">
      <w:lvlJc w:val="left"/>
      <w:lvlText w:val="(%2)"/>
      <w:numFmt w:val="lowerLetter"/>
      <w:start w:val="2"/>
    </w:lvl>
  </w:abstractNum>
  <w:abstractNum w:abstractNumId="109">
    <w:nsid w:val="6B47F63E"/>
    <w:multiLevelType w:val="hybridMultilevel"/>
    <w:lvl w:ilvl="0">
      <w:lvlJc w:val="left"/>
      <w:lvlText w:val="(%1)"/>
      <w:numFmt w:val="lowerLetter"/>
      <w:start w:val="2"/>
    </w:lvl>
  </w:abstractNum>
  <w:abstractNum w:abstractNumId="110">
    <w:nsid w:val="5CB44A05"/>
    <w:multiLevelType w:val="hybridMultilevel"/>
    <w:lvl w:ilvl="0">
      <w:lvlJc w:val="left"/>
      <w:lvlText w:val="%1"/>
      <w:numFmt w:val="lowerRoman"/>
      <w:start w:val="1"/>
    </w:lvl>
    <w:lvl w:ilvl="1">
      <w:lvlJc w:val="left"/>
      <w:lvlText w:val="(%2)"/>
      <w:numFmt w:val="lowerLetter"/>
      <w:start w:val="3"/>
    </w:lvl>
  </w:abstractNum>
  <w:abstractNum w:abstractNumId="111">
    <w:nsid w:val="16CF80F1"/>
    <w:multiLevelType w:val="hybridMultilevel"/>
    <w:lvl w:ilvl="0">
      <w:lvlJc w:val="left"/>
      <w:lvlText w:val="(%1)"/>
      <w:numFmt w:val="lowerRoman"/>
      <w:start w:val="1"/>
    </w:lvl>
    <w:lvl w:ilvl="1">
      <w:lvlJc w:val="left"/>
      <w:lvlText w:val="%2"/>
      <w:numFmt w:val="lowerLetter"/>
      <w:start w:val="1"/>
    </w:lvl>
  </w:abstractNum>
  <w:abstractNum w:abstractNumId="112">
    <w:nsid w:val="1C695DEC"/>
    <w:multiLevelType w:val="hybridMultilevel"/>
    <w:lvl w:ilvl="0">
      <w:lvlJc w:val="left"/>
      <w:lvlText w:val="(%1)"/>
      <w:numFmt w:val="lowerLetter"/>
      <w:start w:val="4"/>
    </w:lvl>
  </w:abstractNum>
  <w:abstractNum w:abstractNumId="113">
    <w:nsid w:val="3FCFAED9"/>
    <w:multiLevelType w:val="hybridMultilevel"/>
    <w:lvl w:ilvl="0">
      <w:lvlJc w:val="left"/>
      <w:lvlText w:val="(%1)"/>
      <w:numFmt w:val="lowerLetter"/>
      <w:start w:val="2"/>
    </w:lvl>
  </w:abstractNum>
  <w:abstractNum w:abstractNumId="114">
    <w:nsid w:val="F856867"/>
    <w:multiLevelType w:val="hybridMultilevel"/>
    <w:lvl w:ilvl="0">
      <w:lvlJc w:val="left"/>
      <w:lvlText w:val="(%1)"/>
      <w:numFmt w:val="lowerLetter"/>
      <w:start w:val="2"/>
    </w:lvl>
  </w:abstractNum>
  <w:abstractNum w:abstractNumId="115">
    <w:nsid w:val="11B1CC33"/>
    <w:multiLevelType w:val="hybridMultilevel"/>
    <w:lvl w:ilvl="0">
      <w:lvlJc w:val="left"/>
      <w:lvlText w:val="(%1)"/>
      <w:numFmt w:val="lowerLetter"/>
      <w:start w:val="4"/>
    </w:lvl>
  </w:abstractNum>
  <w:abstractNum w:abstractNumId="116">
    <w:nsid w:val="2E22FBB7"/>
    <w:multiLevelType w:val="hybridMultilevel"/>
    <w:lvl w:ilvl="0">
      <w:lvlJc w:val="left"/>
      <w:lvlText w:val="%1"/>
      <w:numFmt w:val="decimal"/>
      <w:start w:val="1"/>
    </w:lvl>
    <w:lvl w:ilvl="1">
      <w:lvlJc w:val="left"/>
      <w:lvlText w:val="(%2)"/>
      <w:numFmt w:val="lowerLetter"/>
      <w:start w:val="1"/>
    </w:lvl>
  </w:abstractNum>
  <w:abstractNum w:abstractNumId="117">
    <w:nsid w:val="29934699"/>
    <w:multiLevelType w:val="hybridMultilevel"/>
    <w:lvl w:ilvl="0">
      <w:lvlJc w:val="left"/>
      <w:lvlText w:val="(%1)"/>
      <w:numFmt w:val="decimal"/>
      <w:start w:val="3"/>
    </w:lvl>
    <w:lvl w:ilvl="1">
      <w:lvlJc w:val="left"/>
      <w:lvlText w:val="(%2)"/>
      <w:numFmt w:val="lowerLetter"/>
      <w:start w:val="2"/>
    </w:lvl>
  </w:abstractNum>
  <w:abstractNum w:abstractNumId="118">
    <w:nsid w:val="77485850"/>
    <w:multiLevelType w:val="hybridMultilevel"/>
    <w:lvl w:ilvl="0">
      <w:lvlJc w:val="left"/>
      <w:lvlText w:val="(%1)"/>
      <w:numFmt w:val="lowerLetter"/>
      <w:start w:val="2"/>
    </w:lvl>
  </w:abstractNum>
  <w:abstractNum w:abstractNumId="119">
    <w:nsid w:val="744939A3"/>
    <w:multiLevelType w:val="hybridMultilevel"/>
    <w:lvl w:ilvl="0">
      <w:lvlJc w:val="left"/>
      <w:lvlText w:val="(%1)"/>
      <w:numFmt w:val="lowerLetter"/>
      <w:start w:val="4"/>
    </w:lvl>
  </w:abstractNum>
  <w:abstractNum w:abstractNumId="120">
    <w:nsid w:val="4FA0D2E3"/>
    <w:multiLevelType w:val="hybridMultilevel"/>
    <w:lvl w:ilvl="0">
      <w:lvlJc w:val="left"/>
      <w:lvlText w:val="(%1)"/>
      <w:numFmt w:val="lowerLetter"/>
      <w:start w:val="2"/>
    </w:lvl>
  </w:abstractNum>
  <w:abstractNum w:abstractNumId="121">
    <w:nsid w:val="6B1D2C14"/>
    <w:multiLevelType w:val="hybridMultilevel"/>
    <w:lvl w:ilvl="0">
      <w:lvlJc w:val="left"/>
      <w:lvlText w:val="(%1)"/>
      <w:numFmt w:val="lowerLetter"/>
      <w:start w:val="1"/>
    </w:lvl>
    <w:lvl w:ilvl="1">
      <w:lvlJc w:val="left"/>
      <w:lvlText w:val="(%2)"/>
      <w:numFmt w:val="lowerRoman"/>
      <w:start w:val="1"/>
    </w:lvl>
  </w:abstractNum>
  <w:abstractNum w:abstractNumId="122">
    <w:nsid w:val="68B867D3"/>
    <w:multiLevelType w:val="hybridMultilevel"/>
    <w:lvl w:ilvl="0">
      <w:lvlJc w:val="left"/>
      <w:lvlText w:val="(%1)"/>
      <w:numFmt w:val="lowerRoman"/>
      <w:start w:val="1"/>
    </w:lvl>
  </w:abstractNum>
  <w:abstractNum w:abstractNumId="123">
    <w:nsid w:val="3F7F5DD9"/>
    <w:multiLevelType w:val="hybridMultilevel"/>
    <w:lvl w:ilvl="0">
      <w:lvlJc w:val="left"/>
      <w:lvlText w:val="(%1)"/>
      <w:numFmt w:val="lowerLetter"/>
      <w:start w:val="2"/>
    </w:lvl>
  </w:abstractNum>
  <w:abstractNum w:abstractNumId="124">
    <w:nsid w:val="2AE05A34"/>
    <w:multiLevelType w:val="hybridMultilevel"/>
    <w:lvl w:ilvl="0">
      <w:lvlJc w:val="left"/>
      <w:lvlText w:val="%1"/>
      <w:numFmt w:val="lowerLetter"/>
      <w:start w:val="1"/>
    </w:lvl>
    <w:lvl w:ilvl="1">
      <w:lvlJc w:val="left"/>
      <w:lvlText w:val="(%2)"/>
      <w:numFmt w:val="lowerLetter"/>
      <w:start w:val="4"/>
    </w:lvl>
  </w:abstractNum>
  <w:abstractNum w:abstractNumId="125">
    <w:nsid w:val="32794FF7"/>
    <w:multiLevelType w:val="hybridMultilevel"/>
    <w:lvl w:ilvl="0">
      <w:lvlJc w:val="left"/>
      <w:lvlText w:val="(%1)"/>
      <w:numFmt w:val="lowerLetter"/>
      <w:start w:val="35"/>
    </w:lvl>
    <w:lvl w:ilvl="1">
      <w:lvlJc w:val="left"/>
      <w:lvlText w:val="(%2)"/>
      <w:numFmt w:val="lowerLetter"/>
      <w:start w:val="5"/>
    </w:lvl>
  </w:abstractNum>
  <w:abstractNum w:abstractNumId="126">
    <w:nsid w:val="5454945E"/>
    <w:multiLevelType w:val="hybridMultilevel"/>
    <w:lvl w:ilvl="0">
      <w:lvlJc w:val="left"/>
      <w:lvlText w:val="(%1)"/>
      <w:numFmt w:val="lowerRoman"/>
      <w:start w:val="1"/>
    </w:lvl>
  </w:abstractNum>
  <w:abstractNum w:abstractNumId="127">
    <w:nsid w:val="4DEFDFA0"/>
    <w:multiLevelType w:val="hybridMultilevel"/>
    <w:lvl w:ilvl="0">
      <w:lvlJc w:val="left"/>
      <w:lvlText w:val="(%1)"/>
      <w:numFmt w:val="lowerLetter"/>
      <w:start w:val="2"/>
    </w:lvl>
  </w:abstractNum>
  <w:abstractNum w:abstractNumId="128">
    <w:nsid w:val="2123D5F2"/>
    <w:multiLevelType w:val="hybridMultilevel"/>
    <w:lvl w:ilvl="0">
      <w:lvlJc w:val="left"/>
      <w:lvlText w:val="(%1)"/>
      <w:numFmt w:val="lowerLetter"/>
      <w:start w:val="1"/>
    </w:lvl>
  </w:abstractNum>
  <w:abstractNum w:abstractNumId="129">
    <w:nsid w:val="135B8110"/>
    <w:multiLevelType w:val="hybridMultilevel"/>
    <w:lvl w:ilvl="0">
      <w:lvlJc w:val="left"/>
      <w:lvlText w:val="(%1)"/>
      <w:numFmt w:val="lowerLetter"/>
      <w:start w:val="2"/>
    </w:lvl>
  </w:abstractNum>
  <w:abstractNum w:abstractNumId="130">
    <w:nsid w:val="94927A8"/>
    <w:multiLevelType w:val="hybridMultilevel"/>
    <w:lvl w:ilvl="0">
      <w:lvlJc w:val="left"/>
      <w:lvlText w:val="(%1)"/>
      <w:numFmt w:val="lowerLetter"/>
      <w:start w:val="2"/>
    </w:lvl>
  </w:abstractNum>
  <w:abstractNum w:abstractNumId="131">
    <w:nsid w:val="DCDF8F6"/>
    <w:multiLevelType w:val="hybridMultilevel"/>
    <w:lvl w:ilvl="0">
      <w:lvlJc w:val="left"/>
      <w:lvlText w:val="%1"/>
      <w:numFmt w:val="lowerLetter"/>
      <w:start w:val="1"/>
    </w:lvl>
    <w:lvl w:ilvl="1">
      <w:lvlJc w:val="left"/>
      <w:lvlText w:val="(%2)"/>
      <w:numFmt w:val="lowerLetter"/>
      <w:start w:val="5"/>
    </w:lvl>
    <w:lvl w:ilvl="2">
      <w:lvlJc w:val="left"/>
      <w:lvlText w:val="%3"/>
      <w:numFmt w:val="upperLetter"/>
      <w:start w:val="1"/>
    </w:lvl>
  </w:abstractNum>
  <w:abstractNum w:abstractNumId="132">
    <w:nsid w:val="52D7B105"/>
    <w:multiLevelType w:val="hybridMultilevel"/>
    <w:lvl w:ilvl="0">
      <w:lvlJc w:val="left"/>
      <w:lvlText w:val="(%1)"/>
      <w:numFmt w:val="lowerLetter"/>
      <w:start w:val="35"/>
    </w:lvl>
    <w:lvl w:ilvl="1">
      <w:lvlJc w:val="left"/>
      <w:lvlText w:val="%2"/>
      <w:numFmt w:val="lowerLetter"/>
      <w:start w:val="1"/>
    </w:lvl>
    <w:lvl w:ilvl="2">
      <w:lvlJc w:val="left"/>
      <w:lvlText w:val="(%3)"/>
      <w:numFmt w:val="upperLetter"/>
      <w:start w:val="1"/>
    </w:lvl>
  </w:abstractNum>
  <w:abstractNum w:abstractNumId="133">
    <w:nsid w:val="2E8A6394"/>
    <w:multiLevelType w:val="hybridMultilevel"/>
    <w:lvl w:ilvl="0">
      <w:lvlJc w:val="left"/>
      <w:lvlText w:val="(%1)"/>
      <w:numFmt w:val="decimal"/>
      <w:start w:val="1"/>
    </w:lvl>
  </w:abstractNum>
  <w:abstractNum w:abstractNumId="134">
    <w:nsid w:val="24E60401"/>
    <w:multiLevelType w:val="hybridMultilevel"/>
    <w:lvl w:ilvl="0">
      <w:lvlJc w:val="left"/>
      <w:lvlText w:val="%1"/>
      <w:numFmt w:val="upperLetter"/>
      <w:start w:val="1"/>
    </w:lvl>
    <w:lvl w:ilvl="1">
      <w:lvlJc w:val="left"/>
      <w:lvlText w:val="(%2)"/>
      <w:numFmt w:val="decimal"/>
      <w:start w:val="2"/>
    </w:lvl>
  </w:abstractNum>
  <w:abstractNum w:abstractNumId="135">
    <w:nsid w:val="2A6AD9BE"/>
    <w:multiLevelType w:val="hybridMultilevel"/>
    <w:lvl w:ilvl="0">
      <w:lvlJc w:val="left"/>
      <w:lvlText w:val="(%1)"/>
      <w:numFmt w:val="upperLetter"/>
      <w:start w:val="3"/>
    </w:lvl>
    <w:lvl w:ilvl="1">
      <w:lvlJc w:val="left"/>
      <w:lvlText w:val="%2"/>
      <w:numFmt w:val="decimal"/>
      <w:start w:val="1"/>
    </w:lvl>
  </w:abstractNum>
  <w:abstractNum w:abstractNumId="136">
    <w:nsid w:val="BAAC1B4"/>
    <w:multiLevelType w:val="hybridMultilevel"/>
    <w:lvl w:ilvl="0">
      <w:lvlJc w:val="left"/>
      <w:lvlText w:val="(%1)"/>
      <w:numFmt w:val="lowerLetter"/>
      <w:start w:val="7"/>
    </w:lvl>
  </w:abstractNum>
  <w:abstractNum w:abstractNumId="137">
    <w:nsid w:val="36B2ACBC"/>
    <w:multiLevelType w:val="hybridMultilevel"/>
    <w:lvl w:ilvl="0">
      <w:lvlJc w:val="left"/>
      <w:lvlText w:val="(%1)"/>
      <w:numFmt w:val="lowerLetter"/>
      <w:start w:val="1"/>
    </w:lvl>
  </w:abstractNum>
  <w:abstractNum w:abstractNumId="138">
    <w:nsid w:val="779D8544"/>
    <w:multiLevelType w:val="hybridMultilevel"/>
    <w:lvl w:ilvl="0">
      <w:lvlJc w:val="left"/>
      <w:lvlText w:val="(%1)"/>
      <w:numFmt w:val="lowerLetter"/>
      <w:start w:val="2"/>
    </w:lvl>
  </w:abstractNum>
  <w:abstractNum w:abstractNumId="139">
    <w:nsid w:val="4AB26E78"/>
    <w:multiLevelType w:val="hybridMultilevel"/>
    <w:lvl w:ilvl="0">
      <w:lvlJc w:val="left"/>
      <w:lvlText w:val="(%1)"/>
      <w:numFmt w:val="lowerLetter"/>
      <w:start w:val="5"/>
    </w:lvl>
  </w:abstractNum>
  <w:abstractNum w:abstractNumId="140">
    <w:nsid w:val="21FAA2FA"/>
    <w:multiLevelType w:val="hybridMultilevel"/>
    <w:lvl w:ilvl="0">
      <w:lvlJc w:val="left"/>
      <w:lvlText w:val="(%1)"/>
      <w:numFmt w:val="lowerLetter"/>
      <w:start w:val="2"/>
    </w:lvl>
  </w:abstractNum>
  <w:abstractNum w:abstractNumId="141">
    <w:nsid w:val="5451CF49"/>
    <w:multiLevelType w:val="hybridMultilevel"/>
    <w:lvl w:ilvl="0">
      <w:lvlJc w:val="left"/>
      <w:lvlText w:val="(%1)"/>
      <w:numFmt w:val="lowerRoman"/>
      <w:start w:val="1"/>
    </w:lvl>
  </w:abstractNum>
  <w:abstractNum w:abstractNumId="142">
    <w:nsid w:val="6181EF69"/>
    <w:multiLevelType w:val="hybridMultilevel"/>
    <w:lvl w:ilvl="0">
      <w:lvlJc w:val="left"/>
      <w:lvlText w:val="(%1)"/>
      <w:numFmt w:val="lowerLetter"/>
      <w:start w:val="2"/>
    </w:lvl>
  </w:abstractNum>
  <w:abstractNum w:abstractNumId="143">
    <w:nsid w:val="3E6400E6"/>
    <w:multiLevelType w:val="hybridMultilevel"/>
    <w:lvl w:ilvl="0">
      <w:lvlJc w:val="left"/>
      <w:lvlText w:val="(%1)"/>
      <w:numFmt w:val="lowerLetter"/>
      <w:start w:val="1"/>
    </w:lvl>
  </w:abstractNum>
  <w:abstractNum w:abstractNumId="144">
    <w:nsid w:val="14217E23"/>
    <w:multiLevelType w:val="hybridMultilevel"/>
    <w:lvl w:ilvl="0">
      <w:lvlJc w:val="left"/>
      <w:lvlText w:val="%1"/>
      <w:numFmt w:val="lowerLetter"/>
      <w:start w:val="1"/>
    </w:lvl>
    <w:lvl w:ilvl="1">
      <w:lvlJc w:val="left"/>
      <w:lvlText w:val="(%2)"/>
      <w:numFmt w:val="lowerLetter"/>
      <w:start w:val="2"/>
    </w:lvl>
  </w:abstractNum>
  <w:abstractNum w:abstractNumId="145">
    <w:nsid w:val="710757D0"/>
    <w:multiLevelType w:val="hybridMultilevel"/>
    <w:lvl w:ilvl="0">
      <w:lvlJc w:val="left"/>
      <w:lvlText w:val="(%1)"/>
      <w:numFmt w:val="lowerLetter"/>
      <w:start w:val="9"/>
    </w:lvl>
    <w:lvl w:ilvl="1">
      <w:lvlJc w:val="left"/>
      <w:lvlText w:val="%2"/>
      <w:numFmt w:val="lowerLetter"/>
      <w:start w:val="1"/>
    </w:lvl>
  </w:abstractNum>
  <w:abstractNum w:abstractNumId="146">
    <w:nsid w:val="5015CD1A"/>
    <w:multiLevelType w:val="hybridMultilevel"/>
    <w:lvl w:ilvl="0">
      <w:lvlJc w:val="left"/>
      <w:lvlText w:val="%1"/>
      <w:numFmt w:val="lowerLetter"/>
      <w:start w:val="1"/>
    </w:lvl>
    <w:lvl w:ilvl="1">
      <w:lvlJc w:val="left"/>
      <w:lvlText w:val="(%2)"/>
      <w:numFmt w:val="lowerRoman"/>
      <w:start w:val="2"/>
    </w:lvl>
    <w:lvl w:ilvl="2">
      <w:lvlJc w:val="left"/>
      <w:lvlText w:val="%3"/>
      <w:numFmt w:val="lowerLetter"/>
      <w:start w:val="1"/>
    </w:lvl>
  </w:abstractNum>
  <w:abstractNum w:abstractNumId="147">
    <w:nsid w:val="424479DA"/>
    <w:multiLevelType w:val="hybridMultilevel"/>
    <w:lvl w:ilvl="0">
      <w:lvlJc w:val="left"/>
      <w:lvlText w:val="(%1)"/>
      <w:numFmt w:val="lowerLetter"/>
      <w:start w:val="35"/>
    </w:lvl>
    <w:lvl w:ilvl="1">
      <w:lvlJc w:val="left"/>
      <w:lvlText w:val="%2"/>
      <w:numFmt w:val="lowerRoman"/>
      <w:start w:val="1"/>
    </w:lvl>
    <w:lvl w:ilvl="2">
      <w:lvlJc w:val="left"/>
      <w:lvlText w:val="(%3)"/>
      <w:numFmt w:val="lowerLetter"/>
      <w:start w:val="5"/>
    </w:lvl>
  </w:abstractNum>
  <w:abstractNum w:abstractNumId="148">
    <w:nsid w:val="1A9A9E69"/>
    <w:multiLevelType w:val="hybridMultilevel"/>
    <w:lvl w:ilvl="0">
      <w:lvlJc w:val="left"/>
      <w:lvlText w:val="(%1)"/>
      <w:numFmt w:val="lowerLetter"/>
      <w:start w:val="1"/>
    </w:lvl>
  </w:abstractNum>
  <w:abstractNum w:abstractNumId="149">
    <w:nsid w:val="475E256A"/>
    <w:multiLevelType w:val="hybridMultilevel"/>
    <w:lvl w:ilvl="0">
      <w:lvlJc w:val="left"/>
      <w:lvlText w:val="(%1)"/>
      <w:numFmt w:val="lowerLetter"/>
      <w:start w:val="6"/>
    </w:lvl>
    <w:lvl w:ilvl="1">
      <w:lvlJc w:val="left"/>
      <w:lvlText w:val="(%2)"/>
      <w:numFmt w:val="lowerRoman"/>
      <w:start w:val="1"/>
    </w:lvl>
  </w:abstractNum>
  <w:abstractNum w:abstractNumId="150">
    <w:nsid w:val="368DB37E"/>
    <w:multiLevelType w:val="hybridMultilevel"/>
    <w:lvl w:ilvl="0">
      <w:lvlJc w:val="left"/>
      <w:lvlText w:val="(%1)"/>
      <w:numFmt w:val="lowerRoman"/>
      <w:start w:val="3"/>
    </w:lvl>
  </w:abstractNum>
  <w:abstractNum w:abstractNumId="151">
    <w:nsid w:val="6A3B714C"/>
    <w:multiLevelType w:val="hybridMultilevel"/>
    <w:lvl w:ilvl="0">
      <w:lvlJc w:val="left"/>
      <w:lvlText w:val="(%1)"/>
      <w:numFmt w:val="lowerRoman"/>
      <w:start w:val="2"/>
    </w:lvl>
  </w:abstractNum>
  <w:abstractNum w:abstractNumId="152">
    <w:nsid w:val="327B517E"/>
    <w:multiLevelType w:val="hybridMultilevel"/>
    <w:lvl w:ilvl="0">
      <w:lvlJc w:val="left"/>
      <w:lvlText w:val="(%1)"/>
      <w:numFmt w:val="lowerLetter"/>
      <w:start w:val="1"/>
    </w:lvl>
  </w:abstractNum>
  <w:abstractNum w:abstractNumId="153">
    <w:nsid w:val="1F461B51"/>
    <w:multiLevelType w:val="hybridMultilevel"/>
    <w:lvl w:ilvl="0">
      <w:lvlJc w:val="left"/>
      <w:lvlText w:val="(%1)"/>
      <w:numFmt w:val="lowerLetter"/>
      <w:start w:val="7"/>
    </w:lvl>
  </w:abstractNum>
  <w:abstractNum w:abstractNumId="154">
    <w:nsid w:val="29BACF25"/>
    <w:multiLevelType w:val="hybridMultilevel"/>
    <w:lvl w:ilvl="0">
      <w:lvlJc w:val="left"/>
      <w:lvlText w:val="%1"/>
      <w:numFmt w:val="lowerLetter"/>
      <w:start w:val="1"/>
    </w:lvl>
    <w:lvl w:ilvl="1">
      <w:lvlJc w:val="left"/>
      <w:lvlText w:val="(%2)"/>
      <w:numFmt w:val="lowerLetter"/>
      <w:start w:val="1"/>
    </w:lvl>
  </w:abstractNum>
  <w:abstractNum w:abstractNumId="155">
    <w:nsid w:val="5D5BABB3"/>
    <w:multiLevelType w:val="hybridMultilevel"/>
    <w:lvl w:ilvl="0">
      <w:lvlJc w:val="left"/>
      <w:lvlText w:val="(%1)"/>
      <w:numFmt w:val="lowerLetter"/>
      <w:start w:val="35"/>
    </w:lvl>
    <w:lvl w:ilvl="1">
      <w:lvlJc w:val="left"/>
      <w:lvlText w:val="(%2)"/>
      <w:numFmt w:val="lowerLetter"/>
      <w:start w:val="2"/>
    </w:lvl>
  </w:abstractNum>
  <w:abstractNum w:abstractNumId="156">
    <w:nsid w:val="51BF6B48"/>
    <w:multiLevelType w:val="hybridMultilevel"/>
    <w:lvl w:ilvl="0">
      <w:lvlJc w:val="left"/>
      <w:lvlText w:val="(%1)"/>
      <w:numFmt w:val="lowerLetter"/>
      <w:start w:val="1"/>
    </w:lvl>
  </w:abstractNum>
  <w:abstractNum w:abstractNumId="157">
    <w:nsid w:val="7E0F6384"/>
    <w:multiLevelType w:val="hybridMultilevel"/>
    <w:lvl w:ilvl="0">
      <w:lvlJc w:val="left"/>
      <w:lvlText w:val="(%1)"/>
      <w:numFmt w:val="lowerLetter"/>
      <w:start w:val="8"/>
    </w:lvl>
  </w:abstractNum>
  <w:abstractNum w:abstractNumId="158">
    <w:nsid w:val="2B4B8B53"/>
    <w:multiLevelType w:val="hybridMultilevel"/>
    <w:lvl w:ilvl="0">
      <w:lvlJc w:val="left"/>
      <w:lvlText w:val="(%1)"/>
      <w:numFmt w:val="lowerLetter"/>
      <w:start w:val="1"/>
    </w:lvl>
  </w:abstractNum>
  <w:abstractNum w:abstractNumId="159">
    <w:nsid w:val="72E3413A"/>
    <w:multiLevelType w:val="hybridMultilevel"/>
    <w:lvl w:ilvl="0">
      <w:lvlJc w:val="left"/>
      <w:lvlText w:val="(%1)"/>
      <w:numFmt w:val="lowerLetter"/>
      <w:start w:val="5"/>
    </w:lvl>
  </w:abstractNum>
  <w:abstractNum w:abstractNumId="160">
    <w:nsid w:val="116AE494"/>
    <w:multiLevelType w:val="hybridMultilevel"/>
    <w:lvl w:ilvl="0">
      <w:lvlJc w:val="left"/>
      <w:lvlText w:val="(%1)"/>
      <w:numFmt w:val="lowerLetter"/>
      <w:start w:val="1"/>
    </w:lvl>
  </w:abstractNum>
  <w:abstractNum w:abstractNumId="161">
    <w:nsid w:val="3494B2FB"/>
    <w:multiLevelType w:val="hybridMultilevel"/>
    <w:lvl w:ilvl="0">
      <w:lvlJc w:val="left"/>
      <w:lvlText w:val="(%1)"/>
      <w:numFmt w:val="lowerLetter"/>
      <w:start w:val="1"/>
    </w:lvl>
  </w:abstractNum>
  <w:abstractNum w:abstractNumId="162">
    <w:nsid w:val="B13A31"/>
    <w:multiLevelType w:val="hybridMultilevel"/>
    <w:lvl w:ilvl="0">
      <w:lvlJc w:val="left"/>
      <w:lvlText w:val="%1"/>
      <w:numFmt w:val="decimal"/>
      <w:start w:val="1"/>
    </w:lvl>
    <w:lvl w:ilvl="1">
      <w:lvlJc w:val="left"/>
      <w:lvlText w:val="(%2)"/>
      <w:numFmt w:val="lowerLetter"/>
      <w:start w:val="1"/>
    </w:lvl>
  </w:abstractNum>
  <w:abstractNum w:abstractNumId="163">
    <w:nsid w:val="64429599"/>
    <w:multiLevelType w:val="hybridMultilevel"/>
    <w:lvl w:ilvl="0">
      <w:lvlJc w:val="left"/>
      <w:lvlText w:val="(%1)"/>
      <w:numFmt w:val="decimal"/>
      <w:start w:val="2"/>
    </w:lvl>
    <w:lvl w:ilvl="1">
      <w:lvlJc w:val="left"/>
      <w:lvlText w:val="%2"/>
      <w:numFmt w:val="lowerLetter"/>
      <w:start w:val="1"/>
    </w:lvl>
  </w:abstractNum>
  <w:abstractNum w:abstractNumId="164">
    <w:nsid w:val="631F1690"/>
    <w:multiLevelType w:val="hybridMultilevel"/>
    <w:lvl w:ilvl="0">
      <w:lvlJc w:val="left"/>
      <w:lvlText w:val="(%1)"/>
      <w:numFmt w:val="lowerLetter"/>
      <w:start w:val="2"/>
    </w:lvl>
  </w:abstractNum>
  <w:abstractNum w:abstractNumId="165">
    <w:nsid w:val="25973E32"/>
    <w:multiLevelType w:val="hybridMultilevel"/>
    <w:lvl w:ilvl="0">
      <w:lvlJc w:val="left"/>
      <w:lvlText w:val="(%1)"/>
      <w:numFmt w:val="lowerLetter"/>
      <w:start w:val="2"/>
    </w:lvl>
  </w:abstractNum>
  <w:abstractNum w:abstractNumId="166">
    <w:nsid w:val="EAD6F57"/>
    <w:multiLevelType w:val="hybridMultilevel"/>
    <w:lvl w:ilvl="0">
      <w:lvlJc w:val="left"/>
      <w:lvlText w:val="(%1)"/>
      <w:numFmt w:val="lowerLetter"/>
      <w:start w:val="1"/>
    </w:lvl>
  </w:abstractNum>
  <w:abstractNum w:abstractNumId="167">
    <w:nsid w:val="6EC9D844"/>
    <w:multiLevelType w:val="hybridMultilevel"/>
    <w:lvl w:ilvl="0">
      <w:lvlJc w:val="left"/>
      <w:lvlText w:val="(%1)"/>
      <w:numFmt w:val="lowerLetter"/>
      <w:start w:val="3"/>
    </w:lvl>
  </w:abstractNum>
  <w:abstractNum w:abstractNumId="168">
    <w:nsid w:val="5C49EAEE"/>
    <w:multiLevelType w:val="hybridMultilevel"/>
    <w:lvl w:ilvl="0">
      <w:lvlJc w:val="left"/>
      <w:lvlText w:val="(%1)"/>
      <w:numFmt w:val="lowerLetter"/>
      <w:start w:val="7"/>
    </w:lvl>
  </w:abstractNum>
  <w:abstractNum w:abstractNumId="169">
    <w:nsid w:val="64AF49B"/>
    <w:multiLevelType w:val="hybridMultilevel"/>
    <w:lvl w:ilvl="0">
      <w:lvlJc w:val="left"/>
      <w:lvlText w:val="(%1)"/>
      <w:numFmt w:val="lowerLetter"/>
      <w:start w:val="1"/>
    </w:lvl>
  </w:abstractNum>
  <w:abstractNum w:abstractNumId="170">
    <w:nsid w:val="397C46BC"/>
    <w:multiLevelType w:val="hybridMultilevel"/>
    <w:lvl w:ilvl="0">
      <w:lvlJc w:val="left"/>
      <w:lvlText w:val="(%1)"/>
      <w:numFmt w:val="lowerLetter"/>
      <w:start w:val="3"/>
    </w:lvl>
  </w:abstractNum>
  <w:abstractNum w:abstractNumId="171">
    <w:nsid w:val="7E448DE9"/>
    <w:multiLevelType w:val="hybridMultilevel"/>
    <w:lvl w:ilvl="0">
      <w:lvlJc w:val="left"/>
      <w:lvlText w:val="(%1)"/>
      <w:numFmt w:val="lowerLetter"/>
      <w:start w:val="1"/>
    </w:lvl>
  </w:abstractNum>
  <w:abstractNum w:abstractNumId="172">
    <w:nsid w:val="5A9CC3E5"/>
    <w:multiLevelType w:val="hybridMultilevel"/>
    <w:lvl w:ilvl="0">
      <w:lvlJc w:val="left"/>
      <w:lvlText w:val="(%1)"/>
      <w:numFmt w:val="lowerLetter"/>
      <w:start w:val="3"/>
    </w:lvl>
    <w:lvl w:ilvl="1">
      <w:lvlJc w:val="left"/>
      <w:lvlText w:val="(%2)"/>
      <w:numFmt w:val="lowerRoman"/>
      <w:start w:val="1"/>
    </w:lvl>
  </w:abstractNum>
  <w:abstractNum w:abstractNumId="173">
    <w:nsid w:val="1AFE3625"/>
    <w:multiLevelType w:val="hybridMultilevel"/>
    <w:lvl w:ilvl="0">
      <w:lvlJc w:val="left"/>
      <w:lvlText w:val="(%1)"/>
      <w:numFmt w:val="lowerLetter"/>
      <w:start w:val="6"/>
    </w:lvl>
    <w:lvl w:ilvl="1">
      <w:lvlJc w:val="left"/>
      <w:lvlText w:val="(%2)"/>
      <w:numFmt w:val="lowerRoman"/>
      <w:start w:val="1"/>
    </w:lvl>
  </w:abstractNum>
  <w:abstractNum w:abstractNumId="174">
    <w:nsid w:val="3CA88ECF"/>
    <w:multiLevelType w:val="hybridMultilevel"/>
    <w:lvl w:ilvl="0">
      <w:lvlJc w:val="left"/>
      <w:lvlText w:val="(%1)"/>
      <w:numFmt w:val="lowerLetter"/>
      <w:start w:val="7"/>
    </w:lvl>
  </w:abstractNum>
  <w:abstractNum w:abstractNumId="175">
    <w:nsid w:val="6EBE4208"/>
    <w:multiLevelType w:val="hybridMultilevel"/>
    <w:lvl w:ilvl="0">
      <w:lvlJc w:val="left"/>
      <w:lvlText w:val="(%1)"/>
      <w:numFmt w:val="lowerLetter"/>
      <w:start w:val="1"/>
    </w:lvl>
  </w:abstractNum>
  <w:abstractNum w:abstractNumId="176">
    <w:nsid w:val="C058DF5"/>
    <w:multiLevelType w:val="hybridMultilevel"/>
    <w:lvl w:ilvl="0">
      <w:lvlJc w:val="left"/>
      <w:lvlText w:val="%1"/>
      <w:numFmt w:val="lowerLetter"/>
      <w:start w:val="1"/>
    </w:lvl>
    <w:lvl w:ilvl="1">
      <w:lvlJc w:val="left"/>
      <w:lvlText w:val="(%2)"/>
      <w:numFmt w:val="lowerLetter"/>
      <w:start w:val="2"/>
    </w:lvl>
  </w:abstractNum>
  <w:abstractNum w:abstractNumId="177">
    <w:nsid w:val="CBE5BE9"/>
    <w:multiLevelType w:val="hybridMultilevel"/>
    <w:lvl w:ilvl="0">
      <w:lvlJc w:val="left"/>
      <w:lvlText w:val="(%1)"/>
      <w:numFmt w:val="lowerLetter"/>
      <w:start w:val="9"/>
    </w:lvl>
    <w:lvl w:ilvl="1">
      <w:lvlJc w:val="left"/>
      <w:lvlText w:val="(%2)"/>
      <w:numFmt w:val="lowerLetter"/>
      <w:start w:val="3"/>
    </w:lvl>
  </w:abstractNum>
  <w:abstractNum w:abstractNumId="178">
    <w:nsid w:val="3102BBE2"/>
    <w:multiLevelType w:val="hybridMultilevel"/>
    <w:lvl w:ilvl="0">
      <w:lvlJc w:val="left"/>
      <w:lvlText w:val="(%1)"/>
      <w:numFmt w:val="lowerLetter"/>
      <w:start w:val="1"/>
    </w:lvl>
  </w:abstractNum>
  <w:abstractNum w:abstractNumId="179">
    <w:nsid w:val="26A02C5E"/>
    <w:multiLevelType w:val="hybridMultilevel"/>
    <w:lvl w:ilvl="0">
      <w:lvlJc w:val="left"/>
      <w:lvlText w:val="(%1)"/>
      <w:numFmt w:val="lowerLetter"/>
      <w:start w:val="2"/>
    </w:lvl>
  </w:abstractNum>
  <w:abstractNum w:abstractNumId="180">
    <w:nsid w:val="541C8153"/>
    <w:multiLevelType w:val="hybridMultilevel"/>
    <w:lvl w:ilvl="0">
      <w:lvlJc w:val="left"/>
      <w:lvlText w:val="(%1)"/>
      <w:numFmt w:val="lowerLetter"/>
      <w:start w:val="1"/>
    </w:lvl>
  </w:abstractNum>
  <w:abstractNum w:abstractNumId="181">
    <w:nsid w:val="67906F60"/>
    <w:multiLevelType w:val="hybridMultilevel"/>
    <w:lvl w:ilvl="0">
      <w:lvlJc w:val="left"/>
      <w:lvlText w:val="(%1)"/>
      <w:numFmt w:val="lowerLetter"/>
      <w:start w:val="1"/>
    </w:lvl>
  </w:abstractNum>
  <w:abstractNum w:abstractNumId="182">
    <w:nsid w:val="10DB9DAA"/>
    <w:multiLevelType w:val="hybridMultilevel"/>
    <w:lvl w:ilvl="0">
      <w:lvlJc w:val="left"/>
      <w:lvlText w:val="(%1)"/>
      <w:numFmt w:val="lowerRoman"/>
      <w:start w:val="1"/>
    </w:lvl>
  </w:abstractNum>
  <w:abstractNum w:abstractNumId="183">
    <w:nsid w:val="697D2D2"/>
    <w:multiLevelType w:val="hybridMultilevel"/>
    <w:lvl w:ilvl="0">
      <w:lvlJc w:val="left"/>
      <w:lvlText w:val="%1"/>
      <w:numFmt w:val="lowerLetter"/>
      <w:start w:val="1"/>
    </w:lvl>
    <w:lvl w:ilvl="1">
      <w:lvlJc w:val="left"/>
      <w:lvlText w:val="(%2)"/>
      <w:numFmt w:val="lowerRoman"/>
      <w:start w:val="2"/>
    </w:lvl>
  </w:abstractNum>
  <w:abstractNum w:abstractNumId="184">
    <w:nsid w:val="6D68AB2"/>
    <w:multiLevelType w:val="hybridMultilevel"/>
    <w:lvl w:ilvl="0">
      <w:lvlJc w:val="left"/>
      <w:lvlText w:val="(%1)"/>
      <w:numFmt w:val="lowerLetter"/>
      <w:start w:val="4"/>
    </w:lvl>
    <w:lvl w:ilvl="1">
      <w:lvlJc w:val="left"/>
      <w:lvlText w:val="%2"/>
      <w:numFmt w:val="lowerRoman"/>
      <w:start w:val="1"/>
    </w:lvl>
  </w:abstractNum>
  <w:abstractNum w:abstractNumId="185">
    <w:nsid w:val="3A966CD0"/>
    <w:multiLevelType w:val="hybridMultilevel"/>
    <w:lvl w:ilvl="0">
      <w:lvlJc w:val="left"/>
      <w:lvlText w:val="(%1)"/>
      <w:numFmt w:val="lowerLetter"/>
      <w:start w:val="1"/>
    </w:lvl>
    <w:lvl w:ilvl="1">
      <w:lvlJc w:val="left"/>
      <w:lvlText w:val="(%2)"/>
      <w:numFmt w:val="lowerRoman"/>
      <w:start w:val="1"/>
    </w:lvl>
  </w:abstractNum>
  <w:abstractNum w:abstractNumId="186">
    <w:nsid w:val="63F37E85"/>
    <w:multiLevelType w:val="hybridMultilevel"/>
    <w:lvl w:ilvl="0">
      <w:lvlJc w:val="left"/>
      <w:lvlText w:val="%1"/>
      <w:numFmt w:val="lowerLetter"/>
      <w:start w:val="1"/>
    </w:lvl>
    <w:lvl w:ilvl="1">
      <w:lvlJc w:val="left"/>
      <w:lvlText w:val="(%2)"/>
      <w:numFmt w:val="lowerLetter"/>
      <w:start w:val="3"/>
    </w:lvl>
  </w:abstractNum>
  <w:abstractNum w:abstractNumId="187">
    <w:nsid w:val="5895F5FA"/>
    <w:multiLevelType w:val="hybridMultilevel"/>
    <w:lvl w:ilvl="0">
      <w:lvlJc w:val="left"/>
      <w:lvlText w:val="(%1)"/>
      <w:numFmt w:val="lowerLetter"/>
      <w:start w:val="9"/>
    </w:lvl>
    <w:lvl w:ilvl="1">
      <w:lvlJc w:val="left"/>
      <w:lvlText w:val="%2"/>
      <w:numFmt w:val="lowerLetter"/>
      <w:start w:val="1"/>
    </w:lvl>
  </w:abstractNum>
  <w:abstractNum w:abstractNumId="188">
    <w:nsid w:val="38A5D054"/>
    <w:multiLevelType w:val="hybridMultilevel"/>
    <w:lvl w:ilvl="0">
      <w:lvlJc w:val="left"/>
      <w:lvlText w:val="(%1)"/>
      <w:numFmt w:val="lowerLetter"/>
      <w:start w:val="1"/>
    </w:lvl>
  </w:abstractNum>
  <w:abstractNum w:abstractNumId="189">
    <w:nsid w:val="F3F09D8"/>
    <w:multiLevelType w:val="hybridMultilevel"/>
    <w:lvl w:ilvl="0">
      <w:lvlJc w:val="left"/>
      <w:lvlText w:val="(%1)"/>
      <w:numFmt w:val="lowerLetter"/>
      <w:start w:val="4"/>
    </w:lvl>
  </w:abstractNum>
  <w:abstractNum w:abstractNumId="190">
    <w:nsid w:val="4B793735"/>
    <w:multiLevelType w:val="hybridMultilevel"/>
    <w:lvl w:ilvl="0">
      <w:lvlJc w:val="left"/>
      <w:lvlText w:val="(%1)"/>
      <w:numFmt w:val="lowerRoman"/>
      <w:start w:val="1"/>
    </w:lvl>
  </w:abstractNum>
  <w:abstractNum w:abstractNumId="191">
    <w:nsid w:val="4A10B4E8"/>
    <w:multiLevelType w:val="hybridMultilevel"/>
    <w:lvl w:ilvl="0">
      <w:lvlJc w:val="left"/>
      <w:lvlText w:val="(%1)"/>
      <w:numFmt w:val="lowerLetter"/>
      <w:start w:val="2"/>
    </w:lvl>
  </w:abstractNum>
  <w:abstractNum w:abstractNumId="192">
    <w:nsid w:val="43D3BCD4"/>
    <w:multiLevelType w:val="hybridMultilevel"/>
    <w:lvl w:ilvl="0">
      <w:lvlJc w:val="left"/>
      <w:lvlText w:val="(%1)"/>
      <w:numFmt w:val="lowerLetter"/>
      <w:start w:val="3"/>
    </w:lvl>
  </w:abstractNum>
  <w:abstractNum w:abstractNumId="193">
    <w:nsid w:val="4C2A7166"/>
    <w:multiLevelType w:val="hybridMultilevel"/>
    <w:lvl w:ilvl="0">
      <w:lvlJc w:val="left"/>
      <w:lvlText w:val="%1"/>
      <w:numFmt w:val="lowerRoman"/>
      <w:start w:val="1"/>
    </w:lvl>
    <w:lvl w:ilvl="1">
      <w:lvlJc w:val="left"/>
      <w:lvlText w:val="(%2)"/>
      <w:numFmt w:val="lowerLetter"/>
      <w:start w:val="2"/>
    </w:lvl>
  </w:abstractNum>
  <w:abstractNum w:abstractNumId="194">
    <w:nsid w:val="2E534A82"/>
    <w:multiLevelType w:val="hybridMultilevel"/>
    <w:lvl w:ilvl="0">
      <w:lvlJc w:val="left"/>
      <w:lvlText w:val="(%1)"/>
      <w:numFmt w:val="lowerRoman"/>
      <w:start w:val="4"/>
    </w:lvl>
    <w:lvl w:ilvl="1">
      <w:lvlJc w:val="left"/>
      <w:lvlText w:val="%2"/>
      <w:numFmt w:val="lowerLetter"/>
      <w:start w:val="1"/>
    </w:lvl>
  </w:abstractNum>
  <w:abstractNum w:abstractNumId="195">
    <w:nsid w:val="26F2D364"/>
    <w:multiLevelType w:val="hybridMultilevel"/>
    <w:lvl w:ilvl="0">
      <w:lvlJc w:val="left"/>
      <w:lvlText w:val="(%1)"/>
      <w:numFmt w:val="lowerLetter"/>
      <w:start w:val="35"/>
    </w:lvl>
    <w:lvl w:ilvl="1">
      <w:lvlJc w:val="left"/>
      <w:lvlText w:val="(%2)"/>
      <w:numFmt w:val="lowerLetter"/>
      <w:start w:val="3"/>
    </w:lvl>
  </w:abstractNum>
  <w:abstractNum w:abstractNumId="196">
    <w:nsid w:val="71C1AF98"/>
    <w:multiLevelType w:val="hybridMultilevel"/>
    <w:lvl w:ilvl="0">
      <w:lvlJc w:val="left"/>
      <w:lvlText w:val="(%1)"/>
      <w:numFmt w:val="lowerLetter"/>
      <w:start w:val="5"/>
    </w:lvl>
  </w:abstractNum>
  <w:abstractNum w:abstractNumId="197">
    <w:nsid w:val="3D00B9D9"/>
    <w:multiLevelType w:val="hybridMultilevel"/>
    <w:lvl w:ilvl="0">
      <w:lvlJc w:val="left"/>
      <w:lvlText w:val="(%1)"/>
      <w:numFmt w:val="lowerLetter"/>
      <w:start w:val="1"/>
    </w:lvl>
  </w:abstractNum>
  <w:abstractNum w:abstractNumId="198">
    <w:nsid w:val="15BCABA8"/>
    <w:multiLevelType w:val="hybridMultilevel"/>
    <w:lvl w:ilvl="0">
      <w:lvlJc w:val="left"/>
      <w:lvlText w:val="(%1)"/>
      <w:numFmt w:val="lowerLetter"/>
      <w:start w:val="9"/>
    </w:lvl>
    <w:lvl w:ilvl="1">
      <w:lvlJc w:val="left"/>
      <w:lvlText w:val="(%2)"/>
      <w:numFmt w:val="lowerLetter"/>
      <w:start w:val="4"/>
    </w:lvl>
  </w:abstractNum>
  <w:abstractNum w:abstractNumId="199">
    <w:nsid w:val="4E0B9A87"/>
    <w:multiLevelType w:val="hybridMultilevel"/>
    <w:lvl w:ilvl="0">
      <w:lvlJc w:val="left"/>
      <w:lvlText w:val="%1"/>
      <w:numFmt w:val="lowerLetter"/>
      <w:start w:val="1"/>
    </w:lvl>
    <w:lvl w:ilvl="1">
      <w:lvlJc w:val="left"/>
      <w:lvlText w:val="(%2)"/>
      <w:numFmt w:val="lowerLetter"/>
      <w:start w:val="2"/>
    </w:lvl>
    <w:lvl w:ilvl="2">
      <w:lvlJc w:val="left"/>
      <w:lvlText w:val="(%3)"/>
      <w:numFmt w:val="upperLetter"/>
      <w:start w:val="1"/>
    </w:lvl>
  </w:abstractNum>
  <w:abstractNum w:abstractNumId="200">
    <w:nsid w:val="434BAE75"/>
    <w:multiLevelType w:val="hybridMultilevel"/>
    <w:lvl w:ilvl="0">
      <w:lvlJc w:val="left"/>
      <w:lvlText w:val="(%1)"/>
      <w:numFmt w:val="lowerLetter"/>
      <w:start w:val="35"/>
    </w:lvl>
    <w:lvl w:ilvl="1">
      <w:lvlJc w:val="left"/>
      <w:lvlText w:val="%2"/>
      <w:numFmt w:val="lowerLetter"/>
      <w:start w:val="1"/>
    </w:lvl>
    <w:lvl w:ilvl="2">
      <w:lvlJc w:val="left"/>
      <w:lvlText w:val="(%3)"/>
      <w:numFmt w:val="upperLetter"/>
      <w:start w:val="1"/>
    </w:lvl>
  </w:abstractNum>
  <w:abstractNum w:abstractNumId="201">
    <w:nsid w:val="4F38F265"/>
    <w:multiLevelType w:val="hybridMultilevel"/>
    <w:lvl w:ilvl="0">
      <w:lvlJc w:val="left"/>
      <w:lvlText w:val="(%1)"/>
      <w:numFmt w:val="upperLetter"/>
      <w:start w:val="3"/>
    </w:lvl>
  </w:abstractNum>
  <w:abstractNum w:abstractNumId="202">
    <w:nsid w:val="4C502870"/>
    <w:multiLevelType w:val="hybridMultilevel"/>
    <w:lvl w:ilvl="0">
      <w:lvlJc w:val="left"/>
      <w:lvlText w:val="(%1)"/>
      <w:numFmt w:val="lowerRoman"/>
      <w:start w:val="3"/>
    </w:lvl>
  </w:abstractNum>
  <w:abstractNum w:abstractNumId="203">
    <w:nsid w:val="1DE8725A"/>
    <w:multiLevelType w:val="hybridMultilevel"/>
    <w:lvl w:ilvl="0">
      <w:lvlJc w:val="left"/>
      <w:lvlText w:val="(%1)"/>
      <w:numFmt w:val="lowerLetter"/>
      <w:start w:val="22"/>
    </w:lvl>
    <w:lvl w:ilvl="1">
      <w:lvlJc w:val="left"/>
      <w:lvlText w:val="(%2)"/>
      <w:numFmt w:val="lowerLetter"/>
      <w:start w:val="3"/>
    </w:lvl>
  </w:abstractNum>
  <w:abstractNum w:abstractNumId="204">
    <w:nsid w:val="6A37288A"/>
    <w:multiLevelType w:val="hybridMultilevel"/>
    <w:lvl w:ilvl="0">
      <w:lvlJc w:val="left"/>
      <w:lvlText w:val="(%1)"/>
      <w:numFmt w:val="lowerLetter"/>
      <w:start w:val="4"/>
    </w:lvl>
  </w:abstractNum>
  <w:abstractNum w:abstractNumId="205">
    <w:nsid w:val="8F8B73F"/>
    <w:multiLevelType w:val="hybridMultilevel"/>
    <w:lvl w:ilvl="0">
      <w:lvlJc w:val="left"/>
      <w:lvlText w:val="(%1)"/>
      <w:numFmt w:val="lowerLetter"/>
      <w:start w:val="1"/>
    </w:lvl>
  </w:abstractNum>
  <w:abstractNum w:abstractNumId="206">
    <w:nsid w:val="CA6B462"/>
    <w:multiLevelType w:val="hybridMultilevel"/>
    <w:lvl w:ilvl="0">
      <w:lvlJc w:val="left"/>
      <w:lvlText w:val="(%1)"/>
      <w:numFmt w:val="lowerLetter"/>
      <w:start w:val="4"/>
    </w:lvl>
  </w:abstractNum>
  <w:abstractNum w:abstractNumId="207">
    <w:nsid w:val="763CB680"/>
    <w:multiLevelType w:val="hybridMultilevel"/>
    <w:lvl w:ilvl="0">
      <w:lvlJc w:val="left"/>
      <w:lvlText w:val="(%1)"/>
      <w:numFmt w:val="upperLetter"/>
      <w:start w:val="2"/>
    </w:lvl>
  </w:abstractNum>
  <w:abstractNum w:abstractNumId="208">
    <w:nsid w:val="15B71329"/>
    <w:multiLevelType w:val="hybridMultilevel"/>
    <w:lvl w:ilvl="0">
      <w:lvlJc w:val="left"/>
      <w:lvlText w:val="(%1)"/>
      <w:numFmt w:val="decimal"/>
      <w:start w:val="2"/>
    </w:lvl>
  </w:abstractNum>
  <w:abstractNum w:abstractNumId="209">
    <w:nsid w:val="3DA97044"/>
    <w:multiLevelType w:val="hybridMultilevel"/>
    <w:lvl w:ilvl="0">
      <w:lvlJc w:val="left"/>
      <w:lvlText w:val="(%1)"/>
      <w:numFmt w:val="lowerLetter"/>
      <w:start w:val="1"/>
    </w:lvl>
  </w:abstractNum>
  <w:abstractNum w:abstractNumId="210">
    <w:nsid w:val="1CDCE2DE"/>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2025-12-17T08:28:24Z</dcterms:created>
  <dcterms:modified xsi:type="dcterms:W3CDTF">2025-12-17T08:28:24Z</dcterms:modified>
</cp:coreProperties>
</file>