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As filed with the Securities and Exchange Commission on January 9, 2015</w:t>
      </w:r>
    </w:p>
    <w:p>
      <w:pPr>
        <w:spacing w:after="0" w:line="85"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No. 333-87554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MANPOWERGROUP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229" w:lineRule="exact"/>
        <w:rPr>
          <w:sz w:val="24"/>
          <w:szCs w:val="24"/>
          <w:color w:val="auto"/>
        </w:rPr>
      </w:pPr>
    </w:p>
    <w:tbl>
      <w:tblPr>
        <w:tblLayout w:type="fixed"/>
        <w:tblInd w:w="3300" w:type="dxa"/>
        <w:tblCellMar>
          <w:top w:w="0" w:type="dxa"/>
          <w:left w:w="0" w:type="dxa"/>
          <w:bottom w:w="0" w:type="dxa"/>
          <w:right w:w="0" w:type="dxa"/>
        </w:tblCellMar>
      </w:tblPr>
      <w:tr>
        <w:trPr>
          <w:trHeight w:val="253"/>
        </w:trPr>
        <w:tc>
          <w:tcPr>
            <w:tcW w:w="1960" w:type="dxa"/>
            <w:vAlign w:val="bottom"/>
          </w:tcPr>
          <w:p>
            <w:pPr>
              <w:jc w:val="center"/>
              <w:ind w:right="136"/>
              <w:spacing w:after="0"/>
              <w:rPr>
                <w:sz w:val="20"/>
                <w:szCs w:val="20"/>
                <w:color w:val="auto"/>
              </w:rPr>
            </w:pPr>
            <w:r>
              <w:rPr>
                <w:rFonts w:ascii="Arial" w:cs="Arial" w:eastAsia="Arial" w:hAnsi="Arial"/>
                <w:sz w:val="22"/>
                <w:szCs w:val="22"/>
                <w:b w:val="1"/>
                <w:bCs w:val="1"/>
                <w:color w:val="auto"/>
                <w:w w:val="85"/>
              </w:rPr>
              <w:t>Wisconsin</w:t>
            </w:r>
          </w:p>
        </w:tc>
        <w:tc>
          <w:tcPr>
            <w:tcW w:w="3000" w:type="dxa"/>
            <w:vAlign w:val="bottom"/>
          </w:tcPr>
          <w:p>
            <w:pPr>
              <w:jc w:val="right"/>
              <w:ind w:right="424"/>
              <w:spacing w:after="0"/>
              <w:rPr>
                <w:sz w:val="20"/>
                <w:szCs w:val="20"/>
                <w:color w:val="auto"/>
              </w:rPr>
            </w:pPr>
            <w:r>
              <w:rPr>
                <w:rFonts w:ascii="Arial" w:cs="Arial" w:eastAsia="Arial" w:hAnsi="Arial"/>
                <w:sz w:val="22"/>
                <w:szCs w:val="22"/>
                <w:b w:val="1"/>
                <w:bCs w:val="1"/>
                <w:color w:val="auto"/>
              </w:rPr>
              <w:t>39-1672779</w:t>
            </w:r>
          </w:p>
        </w:tc>
        <w:tc>
          <w:tcPr>
            <w:tcW w:w="0" w:type="dxa"/>
            <w:vAlign w:val="bottom"/>
          </w:tcPr>
          <w:p>
            <w:pPr>
              <w:spacing w:after="0"/>
              <w:rPr>
                <w:sz w:val="1"/>
                <w:szCs w:val="1"/>
                <w:color w:val="auto"/>
              </w:rPr>
            </w:pPr>
          </w:p>
        </w:tc>
      </w:tr>
      <w:tr>
        <w:trPr>
          <w:trHeight w:val="149"/>
        </w:trPr>
        <w:tc>
          <w:tcPr>
            <w:tcW w:w="1960" w:type="dxa"/>
            <w:vAlign w:val="bottom"/>
          </w:tcPr>
          <w:p>
            <w:pPr>
              <w:jc w:val="center"/>
              <w:ind w:right="136"/>
              <w:spacing w:after="0" w:line="149" w:lineRule="exact"/>
              <w:rPr>
                <w:sz w:val="20"/>
                <w:szCs w:val="20"/>
                <w:color w:val="auto"/>
              </w:rPr>
            </w:pPr>
            <w:r>
              <w:rPr>
                <w:rFonts w:ascii="Arial" w:cs="Arial" w:eastAsia="Arial" w:hAnsi="Arial"/>
                <w:sz w:val="14"/>
                <w:szCs w:val="14"/>
                <w:color w:val="auto"/>
                <w:w w:val="94"/>
              </w:rPr>
              <w:t>(State or other jurisdiction of</w:t>
            </w:r>
          </w:p>
        </w:tc>
        <w:tc>
          <w:tcPr>
            <w:tcW w:w="3000" w:type="dxa"/>
            <w:vAlign w:val="bottom"/>
          </w:tcPr>
          <w:p>
            <w:pPr>
              <w:jc w:val="center"/>
              <w:ind w:left="804"/>
              <w:spacing w:after="0" w:line="149" w:lineRule="exact"/>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82"/>
        </w:trPr>
        <w:tc>
          <w:tcPr>
            <w:tcW w:w="1960" w:type="dxa"/>
            <w:vAlign w:val="bottom"/>
          </w:tcPr>
          <w:p>
            <w:pPr>
              <w:jc w:val="center"/>
              <w:ind w:right="136"/>
              <w:spacing w:after="0"/>
              <w:rPr>
                <w:sz w:val="20"/>
                <w:szCs w:val="20"/>
                <w:color w:val="auto"/>
              </w:rPr>
            </w:pPr>
            <w:r>
              <w:rPr>
                <w:rFonts w:ascii="Arial" w:cs="Arial" w:eastAsia="Arial" w:hAnsi="Arial"/>
                <w:sz w:val="14"/>
                <w:szCs w:val="14"/>
                <w:color w:val="auto"/>
                <w:w w:val="95"/>
              </w:rPr>
              <w:t>incorporation or organization)</w:t>
            </w:r>
          </w:p>
        </w:tc>
        <w:tc>
          <w:tcPr>
            <w:tcW w:w="3000" w:type="dxa"/>
            <w:vAlign w:val="bottom"/>
            <w:vMerge w:val="restart"/>
          </w:tcPr>
          <w:p>
            <w:pPr>
              <w:jc w:val="right"/>
              <w:ind w:right="2224"/>
              <w:spacing w:after="0"/>
              <w:rPr>
                <w:sz w:val="20"/>
                <w:szCs w:val="20"/>
                <w:color w:val="auto"/>
              </w:rPr>
            </w:pPr>
            <w:r>
              <w:rPr>
                <w:rFonts w:ascii="Arial" w:cs="Arial" w:eastAsia="Arial" w:hAnsi="Arial"/>
                <w:sz w:val="22"/>
                <w:szCs w:val="22"/>
                <w:b w:val="1"/>
                <w:bCs w:val="1"/>
                <w:color w:val="auto"/>
              </w:rPr>
              <w:t>7363</w:t>
            </w:r>
          </w:p>
        </w:tc>
        <w:tc>
          <w:tcPr>
            <w:tcW w:w="0" w:type="dxa"/>
            <w:vAlign w:val="bottom"/>
          </w:tcPr>
          <w:p>
            <w:pPr>
              <w:spacing w:after="0"/>
              <w:rPr>
                <w:sz w:val="1"/>
                <w:szCs w:val="1"/>
                <w:color w:val="auto"/>
              </w:rPr>
            </w:pPr>
          </w:p>
        </w:tc>
      </w:tr>
      <w:tr>
        <w:trPr>
          <w:trHeight w:val="221"/>
        </w:trPr>
        <w:tc>
          <w:tcPr>
            <w:tcW w:w="196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4900"/>
        <w:spacing w:after="0" w:line="221" w:lineRule="auto"/>
        <w:rPr>
          <w:sz w:val="20"/>
          <w:szCs w:val="20"/>
          <w:color w:val="auto"/>
        </w:rPr>
      </w:pPr>
      <w:r>
        <w:rPr>
          <w:rFonts w:ascii="Arial" w:cs="Arial" w:eastAsia="Arial" w:hAnsi="Arial"/>
          <w:sz w:val="14"/>
          <w:szCs w:val="14"/>
          <w:color w:val="auto"/>
        </w:rPr>
        <w:t>(Primary Standard Industrial</w:t>
      </w:r>
    </w:p>
    <w:p>
      <w:pPr>
        <w:ind w:left="4880"/>
        <w:spacing w:after="0"/>
        <w:rPr>
          <w:sz w:val="20"/>
          <w:szCs w:val="20"/>
          <w:color w:val="auto"/>
        </w:rPr>
      </w:pPr>
      <w:r>
        <w:rPr>
          <w:rFonts w:ascii="Arial" w:cs="Arial" w:eastAsia="Arial" w:hAnsi="Arial"/>
          <w:sz w:val="14"/>
          <w:szCs w:val="14"/>
          <w:color w:val="auto"/>
        </w:rPr>
        <w:t>Classification Code Number)</w:t>
      </w:r>
    </w:p>
    <w:p>
      <w:pPr>
        <w:spacing w:after="0" w:line="210"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100 Manpower Place</w:t>
      </w:r>
    </w:p>
    <w:p>
      <w:pPr>
        <w:spacing w:after="0" w:line="1" w:lineRule="exact"/>
        <w:rPr>
          <w:sz w:val="24"/>
          <w:szCs w:val="24"/>
          <w:color w:val="auto"/>
        </w:rPr>
      </w:pPr>
    </w:p>
    <w:p>
      <w:pPr>
        <w:ind w:left="3140"/>
        <w:spacing w:after="0"/>
        <w:tabs>
          <w:tab w:leader="none" w:pos="6920" w:val="left"/>
        </w:tabs>
        <w:rPr>
          <w:sz w:val="20"/>
          <w:szCs w:val="20"/>
          <w:color w:val="auto"/>
        </w:rPr>
      </w:pPr>
      <w:r>
        <w:rPr>
          <w:rFonts w:ascii="Arial" w:cs="Arial" w:eastAsia="Arial" w:hAnsi="Arial"/>
          <w:sz w:val="22"/>
          <w:szCs w:val="22"/>
          <w:b w:val="1"/>
          <w:bCs w:val="1"/>
          <w:color w:val="auto"/>
        </w:rPr>
        <w:t>Milwaukee, Wisconsin</w:t>
      </w:r>
      <w:r>
        <w:rPr>
          <w:sz w:val="20"/>
          <w:szCs w:val="20"/>
          <w:color w:val="auto"/>
        </w:rPr>
        <w:tab/>
      </w:r>
      <w:r>
        <w:rPr>
          <w:rFonts w:ascii="Arial" w:cs="Arial" w:eastAsia="Arial" w:hAnsi="Arial"/>
          <w:sz w:val="19"/>
          <w:szCs w:val="19"/>
          <w:b w:val="1"/>
          <w:bCs w:val="1"/>
          <w:color w:val="auto"/>
        </w:rPr>
        <w:t>53212</w:t>
      </w:r>
    </w:p>
    <w:p>
      <w:pPr>
        <w:ind w:left="3000"/>
        <w:spacing w:after="0"/>
        <w:tabs>
          <w:tab w:leader="none" w:pos="688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3"/>
          <w:szCs w:val="13"/>
          <w:color w:val="auto"/>
        </w:rPr>
        <w:t>(Zip Code)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Richard Buchband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Senior Vice President, 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ManpowerGroup Inc.</w:t>
      </w:r>
    </w:p>
    <w:p>
      <w:pPr>
        <w:jc w:val="center"/>
        <w:spacing w:after="0" w:line="231" w:lineRule="auto"/>
        <w:rPr>
          <w:sz w:val="20"/>
          <w:szCs w:val="20"/>
          <w:color w:val="auto"/>
        </w:rPr>
      </w:pPr>
      <w:r>
        <w:rPr>
          <w:rFonts w:ascii="Arial" w:cs="Arial" w:eastAsia="Arial" w:hAnsi="Arial"/>
          <w:sz w:val="22"/>
          <w:szCs w:val="22"/>
          <w:b w:val="1"/>
          <w:bCs w:val="1"/>
          <w:color w:val="auto"/>
        </w:rPr>
        <w:t>100 Manpower Place</w:t>
      </w:r>
    </w:p>
    <w:p>
      <w:pPr>
        <w:jc w:val="center"/>
        <w:spacing w:after="0" w:line="230" w:lineRule="auto"/>
        <w:rPr>
          <w:sz w:val="20"/>
          <w:szCs w:val="20"/>
          <w:color w:val="auto"/>
        </w:rPr>
      </w:pPr>
      <w:r>
        <w:rPr>
          <w:rFonts w:ascii="Arial" w:cs="Arial" w:eastAsia="Arial" w:hAnsi="Arial"/>
          <w:sz w:val="22"/>
          <w:szCs w:val="22"/>
          <w:b w:val="1"/>
          <w:bCs w:val="1"/>
          <w:color w:val="auto"/>
        </w:rPr>
        <w:t>Milwaukee, Wisconsin 53212</w:t>
      </w:r>
    </w:p>
    <w:p>
      <w:pPr>
        <w:jc w:val="center"/>
        <w:spacing w:after="0" w:line="231" w:lineRule="auto"/>
        <w:rPr>
          <w:sz w:val="20"/>
          <w:szCs w:val="20"/>
          <w:color w:val="auto"/>
        </w:rPr>
      </w:pPr>
      <w:r>
        <w:rPr>
          <w:rFonts w:ascii="Arial" w:cs="Arial" w:eastAsia="Arial" w:hAnsi="Arial"/>
          <w:sz w:val="22"/>
          <w:szCs w:val="22"/>
          <w:b w:val="1"/>
          <w:bCs w:val="1"/>
          <w:color w:val="auto"/>
        </w:rPr>
        <w:t>(414) 961-1000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address and telephone number, including area code, of agent for service)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With a copy to:</w:t>
      </w:r>
    </w:p>
    <w:p>
      <w:pPr>
        <w:jc w:val="center"/>
        <w:spacing w:after="0" w:line="238" w:lineRule="auto"/>
        <w:rPr>
          <w:sz w:val="20"/>
          <w:szCs w:val="20"/>
          <w:color w:val="auto"/>
        </w:rPr>
      </w:pPr>
      <w:r>
        <w:rPr>
          <w:rFonts w:ascii="Arial" w:cs="Arial" w:eastAsia="Arial" w:hAnsi="Arial"/>
          <w:sz w:val="22"/>
          <w:szCs w:val="22"/>
          <w:color w:val="auto"/>
        </w:rPr>
        <w:t>Dennis F. Connolly</w:t>
      </w:r>
    </w:p>
    <w:p>
      <w:pPr>
        <w:jc w:val="center"/>
        <w:spacing w:after="0" w:line="230" w:lineRule="auto"/>
        <w:rPr>
          <w:sz w:val="20"/>
          <w:szCs w:val="20"/>
          <w:color w:val="auto"/>
        </w:rPr>
      </w:pPr>
      <w:r>
        <w:rPr>
          <w:rFonts w:ascii="Arial" w:cs="Arial" w:eastAsia="Arial" w:hAnsi="Arial"/>
          <w:sz w:val="22"/>
          <w:szCs w:val="22"/>
          <w:color w:val="auto"/>
        </w:rPr>
        <w:t>Godfrey &amp; Kahn, S.C.</w:t>
      </w:r>
    </w:p>
    <w:p>
      <w:pPr>
        <w:jc w:val="center"/>
        <w:spacing w:after="0" w:line="231" w:lineRule="auto"/>
        <w:rPr>
          <w:sz w:val="20"/>
          <w:szCs w:val="20"/>
          <w:color w:val="auto"/>
        </w:rPr>
      </w:pPr>
      <w:r>
        <w:rPr>
          <w:rFonts w:ascii="Arial" w:cs="Arial" w:eastAsia="Arial" w:hAnsi="Arial"/>
          <w:sz w:val="22"/>
          <w:szCs w:val="22"/>
          <w:color w:val="auto"/>
        </w:rPr>
        <w:t>780 N. Water Street</w:t>
      </w:r>
    </w:p>
    <w:p>
      <w:pPr>
        <w:jc w:val="center"/>
        <w:spacing w:after="0" w:line="231" w:lineRule="auto"/>
        <w:rPr>
          <w:sz w:val="20"/>
          <w:szCs w:val="20"/>
          <w:color w:val="auto"/>
        </w:rPr>
      </w:pPr>
      <w:r>
        <w:rPr>
          <w:rFonts w:ascii="Arial" w:cs="Arial" w:eastAsia="Arial" w:hAnsi="Arial"/>
          <w:sz w:val="22"/>
          <w:szCs w:val="22"/>
          <w:color w:val="auto"/>
        </w:rPr>
        <w:t>Milwaukee, Wisconsin 53202</w:t>
      </w:r>
    </w:p>
    <w:p>
      <w:pPr>
        <w:jc w:val="center"/>
        <w:spacing w:after="0"/>
        <w:rPr>
          <w:sz w:val="20"/>
          <w:szCs w:val="20"/>
          <w:color w:val="auto"/>
        </w:rPr>
      </w:pPr>
      <w:r>
        <w:rPr>
          <w:rFonts w:ascii="Arial" w:cs="Arial" w:eastAsia="Arial" w:hAnsi="Arial"/>
          <w:sz w:val="22"/>
          <w:szCs w:val="22"/>
          <w:color w:val="auto"/>
        </w:rPr>
        <w:t>(414) 273-3500</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Approximate date of commencement of proposed sale of the securities to the public: Not Applicable.</w:t>
      </w:r>
    </w:p>
    <w:p>
      <w:pPr>
        <w:spacing w:after="0" w:line="233" w:lineRule="exact"/>
        <w:rPr>
          <w:sz w:val="24"/>
          <w:szCs w:val="24"/>
          <w:color w:val="auto"/>
        </w:rPr>
      </w:pPr>
    </w:p>
    <w:p>
      <w:pPr>
        <w:ind w:right="420" w:firstLine="337"/>
        <w:spacing w:after="0" w:line="251" w:lineRule="auto"/>
        <w:rPr>
          <w:sz w:val="20"/>
          <w:szCs w:val="20"/>
          <w:color w:val="auto"/>
        </w:rPr>
      </w:pPr>
      <w:r>
        <w:rPr>
          <w:rFonts w:ascii="Arial" w:cs="Arial" w:eastAsia="Arial" w:hAnsi="Arial"/>
          <w:sz w:val="22"/>
          <w:szCs w:val="22"/>
          <w:color w:val="auto"/>
        </w:rPr>
        <w:t>If the securities being registered on this Form are being offered in connection with the formation of a holding company and there is compliance with General Instruction G, please check the following box. o</w:t>
      </w:r>
    </w:p>
    <w:p>
      <w:pPr>
        <w:spacing w:after="0" w:line="200" w:lineRule="exact"/>
        <w:rPr>
          <w:sz w:val="24"/>
          <w:szCs w:val="24"/>
          <w:color w:val="auto"/>
        </w:rPr>
      </w:pPr>
    </w:p>
    <w:p>
      <w:pPr>
        <w:jc w:val="both"/>
        <w:ind w:right="200" w:firstLine="337"/>
        <w:spacing w:after="0"/>
        <w:rPr>
          <w:sz w:val="20"/>
          <w:szCs w:val="20"/>
          <w:color w:val="auto"/>
        </w:rPr>
      </w:pPr>
      <w:r>
        <w:rPr>
          <w:rFonts w:ascii="Arial" w:cs="Arial" w:eastAsia="Arial" w:hAnsi="Arial"/>
          <w:sz w:val="22"/>
          <w:szCs w:val="2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13" w:lineRule="exact"/>
        <w:rPr>
          <w:sz w:val="24"/>
          <w:szCs w:val="24"/>
          <w:color w:val="auto"/>
        </w:rPr>
      </w:pPr>
    </w:p>
    <w:p>
      <w:pPr>
        <w:ind w:right="120" w:firstLine="337"/>
        <w:spacing w:after="0" w:line="328" w:lineRule="auto"/>
        <w:rPr>
          <w:sz w:val="20"/>
          <w:szCs w:val="20"/>
          <w:color w:val="auto"/>
        </w:rPr>
      </w:pPr>
      <w:r>
        <w:rPr>
          <w:rFonts w:ascii="Arial" w:cs="Arial" w:eastAsia="Arial" w:hAnsi="Arial"/>
          <w:sz w:val="19"/>
          <w:szCs w:val="19"/>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32" w:lineRule="exact"/>
        <w:rPr>
          <w:sz w:val="24"/>
          <w:szCs w:val="24"/>
          <w:color w:val="auto"/>
        </w:rPr>
      </w:pPr>
    </w:p>
    <w:p>
      <w:pPr>
        <w:jc w:val="both"/>
        <w:ind w:firstLine="401"/>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line="231" w:lineRule="exact"/>
        <w:rPr>
          <w:sz w:val="24"/>
          <w:szCs w:val="24"/>
          <w:color w:val="auto"/>
        </w:rPr>
      </w:pPr>
    </w:p>
    <w:p>
      <w:pPr>
        <w:spacing w:after="0" w:line="207" w:lineRule="exact"/>
        <w:tabs>
          <w:tab w:leader="none" w:pos="1860" w:val="left"/>
          <w:tab w:leader="none" w:pos="2340" w:val="left"/>
          <w:tab w:leader="none" w:pos="3800" w:val="left"/>
          <w:tab w:leader="none" w:pos="4200" w:val="left"/>
          <w:tab w:leader="none" w:pos="5980" w:val="left"/>
          <w:tab w:leader="none" w:pos="6380" w:val="left"/>
          <w:tab w:leader="none" w:pos="8580" w:val="left"/>
        </w:tabs>
        <w:rPr>
          <w:sz w:val="20"/>
          <w:szCs w:val="20"/>
          <w:color w:val="auto"/>
        </w:rPr>
      </w:pPr>
      <w:r>
        <w:rPr>
          <w:rFonts w:ascii="Arial" w:cs="Arial" w:eastAsia="Arial" w:hAnsi="Arial"/>
          <w:sz w:val="18"/>
          <w:szCs w:val="18"/>
          <w:color w:val="auto"/>
        </w:rPr>
        <w:t>Large accelerated filer</w:t>
        <w:tab/>
        <w:t>S</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420"/>
          </w:cols>
          <w:pgMar w:left="240" w:top="712" w:right="239" w:bottom="1440" w:gutter="0" w:footer="0" w:header="0"/>
        </w:sectPr>
      </w:pPr>
    </w:p>
    <w:p>
      <w:pPr>
        <w:spacing w:after="0" w:line="5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(Do not check if a smaller reporting company)</w:t>
      </w:r>
    </w:p>
    <w:p>
      <w:pPr>
        <w:sectPr>
          <w:pgSz w:w="11900" w:h="16838" w:orient="portrait"/>
          <w:cols w:equalWidth="0" w:num="1">
            <w:col w:w="11420"/>
          </w:cols>
          <w:pgMar w:left="240" w:top="712"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EXPLANATORY NOTE</w:t>
      </w:r>
    </w:p>
    <w:p>
      <w:pPr>
        <w:spacing w:after="0" w:line="172" w:lineRule="exact"/>
        <w:rPr>
          <w:sz w:val="20"/>
          <w:szCs w:val="20"/>
          <w:color w:val="auto"/>
        </w:rPr>
      </w:pPr>
    </w:p>
    <w:p>
      <w:pPr>
        <w:ind w:firstLine="405"/>
        <w:spacing w:after="0" w:line="235" w:lineRule="auto"/>
        <w:rPr>
          <w:sz w:val="20"/>
          <w:szCs w:val="20"/>
          <w:color w:val="auto"/>
        </w:rPr>
      </w:pPr>
      <w:r>
        <w:rPr>
          <w:rFonts w:ascii="Arial" w:cs="Arial" w:eastAsia="Arial" w:hAnsi="Arial"/>
          <w:sz w:val="22"/>
          <w:szCs w:val="22"/>
          <w:color w:val="auto"/>
        </w:rPr>
        <w:t>ManpowerGroup Inc. (the “Company”) is filing this Post-Effective Amendment No. 1 to Form S-4 Registration Statement to deregister certain securities originally registered by the Company pursuant to its Registration Statement on Form S-4 filed with the Securities and Exchange Commission on May 3, 2002, as amended on May 23, 2002, (Registration Statement No. 333-87554) with respect to shares of the Company’s common stock, par value $0.01 per share (the “Common Stock”). The Company hereby deregisters 893,433 shares of Common Stock, which constitutes all of the shares that remained unissued under the Registration Statement as of the date of this filing.</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ind w:right="740" w:firstLine="363"/>
        <w:spacing w:after="0" w:line="261" w:lineRule="auto"/>
        <w:rPr>
          <w:sz w:val="20"/>
          <w:szCs w:val="20"/>
          <w:color w:val="auto"/>
        </w:rPr>
      </w:pPr>
      <w:r>
        <w:rPr>
          <w:rFonts w:ascii="Arial" w:cs="Arial" w:eastAsia="Arial" w:hAnsi="Arial"/>
          <w:sz w:val="21"/>
          <w:szCs w:val="21"/>
          <w:b w:val="1"/>
          <w:bCs w:val="1"/>
          <w:color w:val="auto"/>
        </w:rPr>
        <w:t>Pursuant to the requirements of the Securities Act of 1933, the Registrant has duly caused this Post-Effective Amendment No. 1 to Form S-4 Registration Statement to be signed on its behalf by the undersigned, thereunto duly authorized, in the City of Milwaukee, State of Wisconsin, on January 9, 2015.</w:t>
      </w:r>
    </w:p>
    <w:p>
      <w:pPr>
        <w:spacing w:after="0" w:line="299"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MANPOWERGROUP INC.</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-17780</wp:posOffset>
            </wp:positionV>
            <wp:extent cx="2938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8145" cy="8890"/>
                    </a:xfrm>
                    <a:prstGeom prst="rect">
                      <a:avLst/>
                    </a:prstGeom>
                    <a:noFill/>
                  </pic:spPr>
                </pic:pic>
              </a:graphicData>
            </a:graphic>
          </wp:anchor>
        </w:drawing>
      </w:r>
    </w:p>
    <w:p>
      <w:pPr>
        <w:ind w:left="4640"/>
        <w:spacing w:after="0" w:line="238" w:lineRule="auto"/>
        <w:rPr>
          <w:sz w:val="20"/>
          <w:szCs w:val="20"/>
          <w:color w:val="auto"/>
        </w:rPr>
      </w:pPr>
      <w:r>
        <w:rPr>
          <w:rFonts w:ascii="Arial" w:cs="Arial" w:eastAsia="Arial" w:hAnsi="Arial"/>
          <w:sz w:val="22"/>
          <w:szCs w:val="22"/>
          <w:color w:val="auto"/>
        </w:rPr>
        <w:t>Richard Buchband</w:t>
      </w:r>
    </w:p>
    <w:p>
      <w:pPr>
        <w:ind w:left="4640"/>
        <w:spacing w:after="0"/>
        <w:rPr>
          <w:sz w:val="20"/>
          <w:szCs w:val="20"/>
          <w:color w:val="auto"/>
        </w:rPr>
      </w:pPr>
      <w:r>
        <w:rPr>
          <w:rFonts w:ascii="Arial" w:cs="Arial" w:eastAsia="Arial" w:hAnsi="Arial"/>
          <w:sz w:val="22"/>
          <w:szCs w:val="22"/>
          <w:color w:val="auto"/>
        </w:rPr>
        <w:t>Senior Vice President, General Counsel and Secretary</w:t>
      </w:r>
    </w:p>
    <w:p>
      <w:pPr>
        <w:spacing w:after="0" w:line="38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Pursuant to the requirements of the Securities Act of 1933, this Post-Effective Amendment No. 1 to Form S-4</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3700" w:type="dxa"/>
            <w:vAlign w:val="bottom"/>
            <w:gridSpan w:val="3"/>
          </w:tcPr>
          <w:p>
            <w:pPr>
              <w:ind w:left="1740"/>
              <w:spacing w:after="0"/>
              <w:rPr>
                <w:sz w:val="20"/>
                <w:szCs w:val="20"/>
                <w:color w:val="auto"/>
              </w:rPr>
            </w:pPr>
            <w:r>
              <w:rPr>
                <w:rFonts w:ascii="Arial" w:cs="Arial" w:eastAsia="Arial" w:hAnsi="Arial"/>
                <w:sz w:val="18"/>
                <w:szCs w:val="18"/>
                <w:b w:val="1"/>
                <w:bCs w:val="1"/>
                <w:color w:val="auto"/>
              </w:rPr>
              <w:t>Title</w:t>
            </w:r>
          </w:p>
        </w:tc>
        <w:tc>
          <w:tcPr>
            <w:tcW w:w="660" w:type="dxa"/>
            <w:vAlign w:val="bottom"/>
          </w:tcPr>
          <w:p>
            <w:pPr>
              <w:spacing w:after="0"/>
              <w:rPr>
                <w:sz w:val="18"/>
                <w:szCs w:val="18"/>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Jonas Prising</w:t>
            </w: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Chief Executive Officer and Director</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January 9, 2015</w:t>
            </w:r>
          </w:p>
        </w:tc>
      </w:tr>
      <w:tr>
        <w:trPr>
          <w:trHeight w:val="237"/>
        </w:trPr>
        <w:tc>
          <w:tcPr>
            <w:tcW w:w="312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(Principal Executive Officer)</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J. Van Handel</w:t>
            </w: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Executive Vice President and Chief</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January 9, 2015</w:t>
            </w:r>
          </w:p>
        </w:tc>
      </w:tr>
      <w:tr>
        <w:trPr>
          <w:trHeight w:val="222"/>
        </w:trPr>
        <w:tc>
          <w:tcPr>
            <w:tcW w:w="312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Financial Officer</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(Principal Financial Officer and Principal</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Directors:</w:t>
      </w:r>
    </w:p>
    <w:p>
      <w:pPr>
        <w:spacing w:after="0" w:line="166" w:lineRule="exact"/>
        <w:rPr>
          <w:sz w:val="20"/>
          <w:szCs w:val="20"/>
          <w:color w:val="auto"/>
        </w:rPr>
      </w:pPr>
    </w:p>
    <w:p>
      <w:pPr>
        <w:ind w:left="500" w:right="340"/>
        <w:spacing w:after="0" w:line="328" w:lineRule="auto"/>
        <w:rPr>
          <w:sz w:val="20"/>
          <w:szCs w:val="20"/>
          <w:color w:val="auto"/>
        </w:rPr>
      </w:pPr>
      <w:r>
        <w:rPr>
          <w:rFonts w:ascii="Arial" w:cs="Arial" w:eastAsia="Arial" w:hAnsi="Arial"/>
          <w:sz w:val="19"/>
          <w:szCs w:val="19"/>
          <w:color w:val="auto"/>
        </w:rPr>
        <w:t>Marc J. Bolland, Gina R. Boswell, Cari M. Dominguez, William Downe, Patricia A. Hemingway-Hall, Jeffrey A. Joerres, Roberto Mendoza, Ulice Payne, Jr., Jonas Prising, Paul Read, Elizabeth P. Sartain, John R. Walter, Edward J. Zore.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color w:val="auto"/>
              </w:rPr>
              <w:t>*By: /s/ Richard Buchband</w:t>
            </w:r>
          </w:p>
        </w:tc>
        <w:tc>
          <w:tcPr>
            <w:tcW w:w="2700" w:type="dxa"/>
            <w:vAlign w:val="bottom"/>
          </w:tcPr>
          <w:p>
            <w:pPr>
              <w:ind w:left="420"/>
              <w:spacing w:after="0"/>
              <w:rPr>
                <w:sz w:val="20"/>
                <w:szCs w:val="20"/>
                <w:color w:val="auto"/>
              </w:rPr>
            </w:pPr>
            <w:r>
              <w:rPr>
                <w:rFonts w:ascii="Arial" w:cs="Arial" w:eastAsia="Arial" w:hAnsi="Arial"/>
                <w:sz w:val="18"/>
                <w:szCs w:val="18"/>
                <w:color w:val="auto"/>
              </w:rPr>
              <w:t>As Attorney-in-Fact*</w:t>
            </w:r>
          </w:p>
        </w:tc>
        <w:tc>
          <w:tcPr>
            <w:tcW w:w="2360" w:type="dxa"/>
            <w:vAlign w:val="bottom"/>
          </w:tcPr>
          <w:p>
            <w:pPr>
              <w:ind w:left="740"/>
              <w:spacing w:after="0"/>
              <w:rPr>
                <w:sz w:val="20"/>
                <w:szCs w:val="20"/>
                <w:color w:val="auto"/>
              </w:rPr>
            </w:pPr>
            <w:r>
              <w:rPr>
                <w:rFonts w:ascii="Arial" w:cs="Arial" w:eastAsia="Arial" w:hAnsi="Arial"/>
                <w:sz w:val="18"/>
                <w:szCs w:val="18"/>
                <w:color w:val="auto"/>
                <w:w w:val="90"/>
              </w:rPr>
              <w:t>Date: January 9, 2015</w:t>
            </w:r>
          </w:p>
        </w:tc>
      </w:tr>
      <w:tr>
        <w:trPr>
          <w:trHeight w:val="237"/>
        </w:trPr>
        <w:tc>
          <w:tcPr>
            <w:tcW w:w="460" w:type="dxa"/>
            <w:vAlign w:val="bottom"/>
          </w:tcPr>
          <w:p>
            <w:pPr>
              <w:spacing w:after="0"/>
              <w:rPr>
                <w:sz w:val="20"/>
                <w:szCs w:val="20"/>
                <w:color w:val="auto"/>
              </w:rPr>
            </w:pPr>
          </w:p>
        </w:tc>
        <w:tc>
          <w:tcPr>
            <w:tcW w:w="2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Richard Buchband</w:t>
            </w:r>
          </w:p>
        </w:tc>
        <w:tc>
          <w:tcPr>
            <w:tcW w:w="270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*Pursuant to authority granted by powers of attorney, copies of which are filed herewith.</w:t>
      </w:r>
    </w:p>
    <w:p>
      <w:pPr>
        <w:sectPr>
          <w:pgSz w:w="11900" w:h="16838" w:orient="portrait"/>
          <w:cols w:equalWidth="0" w:num="1">
            <w:col w:w="11380"/>
          </w:cols>
          <w:pgMar w:left="240" w:top="598" w:right="279" w:bottom="1440" w:gutter="0" w:footer="0" w:header="0"/>
        </w:sectPr>
      </w:pPr>
    </w:p>
    <w:bookmarkStart w:id="2" w:name="page3"/>
    <w:bookmarkEnd w:id="2"/>
    <w:tbl>
      <w:tblPr>
        <w:tblLayout w:type="fixed"/>
        <w:tblInd w:w="192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Exhibit Index</w:t>
            </w: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2"/>
              </w:rPr>
              <w:t>Power of Attorney</w:t>
            </w:r>
          </w:p>
        </w:tc>
      </w:tr>
    </w:tbl>
    <w:p>
      <w:pPr>
        <w:sectPr>
          <w:pgSz w:w="11900" w:h="16838" w:orient="portrait"/>
          <w:cols w:equalWidth="0" w:num="1">
            <w:col w:w="9019"/>
          </w:cols>
          <w:pgMar w:left="1440" w:top="575" w:right="1440" w:bottom="1440" w:gutter="0" w:footer="0" w:header="0"/>
        </w:sectPr>
      </w:pPr>
    </w:p>
    <w:bookmarkStart w:id="3" w:name="page4"/>
    <w:bookmarkEnd w:id="3"/>
    <w:p>
      <w:pPr>
        <w:jc w:val="right"/>
        <w:ind w:right="1779"/>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POWER OF ATTORNEY</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(Registration Statements on Form S-4)</w:t>
      </w:r>
    </w:p>
    <w:p>
      <w:pPr>
        <w:spacing w:after="0" w:line="200" w:lineRule="exact"/>
        <w:rPr>
          <w:sz w:val="20"/>
          <w:szCs w:val="20"/>
          <w:color w:val="auto"/>
        </w:rPr>
      </w:pPr>
    </w:p>
    <w:p>
      <w:pPr>
        <w:spacing w:after="0" w:line="204" w:lineRule="exact"/>
        <w:rPr>
          <w:sz w:val="20"/>
          <w:szCs w:val="20"/>
          <w:color w:val="auto"/>
        </w:rPr>
      </w:pPr>
    </w:p>
    <w:p>
      <w:pPr>
        <w:ind w:right="1779" w:firstLine="648"/>
        <w:spacing w:after="0" w:line="244" w:lineRule="auto"/>
        <w:rPr>
          <w:sz w:val="20"/>
          <w:szCs w:val="20"/>
          <w:color w:val="auto"/>
        </w:rPr>
      </w:pPr>
      <w:r>
        <w:rPr>
          <w:rFonts w:ascii="Arial" w:cs="Arial" w:eastAsia="Arial" w:hAnsi="Arial"/>
          <w:sz w:val="21"/>
          <w:szCs w:val="21"/>
          <w:color w:val="auto"/>
        </w:rPr>
        <w:t>Each of the undersigned directors of ManpowerGroup Inc. (the “Company”) hereby constitutes and appoints Jonas Prising, Michael J. Van Handel and Richard Buchband, and each of them, the undersigned’s true and lawful attorney-in-fact, with full power of substitution and resubstitution, for the undersigned and in the undersigned’s name, place and stead to sign for the undersigned and in the undersigned’s name in the capacity as a director of the Company an amendment to the following Registration Statements filed by the Company on Form S-4: Registration Number 333-87554,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8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0219"/>
          </w:cols>
          <w:pgMar w:left="240" w:top="118" w:right="1440" w:bottom="1440" w:gutter="0" w:footer="0" w:header="0"/>
        </w:sectPr>
      </w:pPr>
    </w:p>
    <w:bookmarkStart w:id="4" w:name="page5"/>
    <w:bookmarkEnd w:id="4"/>
    <w:p>
      <w:pPr>
        <w:jc w:val="both"/>
        <w:ind w:right="1939" w:firstLine="648"/>
        <w:spacing w:after="0" w:line="287" w:lineRule="auto"/>
        <w:rPr>
          <w:sz w:val="20"/>
          <w:szCs w:val="20"/>
          <w:color w:val="auto"/>
        </w:rPr>
      </w:pPr>
      <w:r>
        <w:rPr>
          <w:rFonts w:ascii="Arial" w:cs="Arial" w:eastAsia="Arial" w:hAnsi="Arial"/>
          <w:sz w:val="19"/>
          <w:szCs w:val="19"/>
          <w:color w:val="auto"/>
        </w:rPr>
        <w:t>IN WITNESS WHEREOF, the undersigned have each executed this Power of Attorney, on one or more counterparts, as of the 15th day of December, 2014. The following signature is applicable to each of the foregoing Powers of Attorney and may be filed with the Securities and Exchange Commission in typed form separately with each Power of Attorney.</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Marc J. Bolland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Gina R. Boswell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Cari M. Dominguez</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William Downe</w:t>
      </w:r>
    </w:p>
    <w:p>
      <w:pPr>
        <w:spacing w:after="0" w:line="200" w:lineRule="exact"/>
        <w:rPr>
          <w:sz w:val="20"/>
          <w:szCs w:val="20"/>
          <w:color w:val="auto"/>
        </w:rPr>
      </w:pPr>
    </w:p>
    <w:p>
      <w:pPr>
        <w:spacing w:after="0" w:line="258" w:lineRule="exact"/>
        <w:rPr>
          <w:sz w:val="20"/>
          <w:szCs w:val="20"/>
          <w:color w:val="auto"/>
        </w:rPr>
      </w:pPr>
    </w:p>
    <w:p>
      <w:pPr>
        <w:ind w:right="880"/>
        <w:spacing w:after="0" w:line="343" w:lineRule="auto"/>
        <w:rPr>
          <w:sz w:val="20"/>
          <w:szCs w:val="20"/>
          <w:color w:val="auto"/>
        </w:rPr>
      </w:pPr>
      <w:r>
        <w:rPr>
          <w:rFonts w:ascii="Arial" w:cs="Arial" w:eastAsia="Arial" w:hAnsi="Arial"/>
          <w:sz w:val="19"/>
          <w:szCs w:val="19"/>
          <w:color w:val="auto"/>
        </w:rPr>
        <w:t>/s/ Patricia A. Hemingway Hall Patricia 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Jeffrey A. Joerres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Roberto Mendoza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81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Ulice Payne, Jr.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81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Jonas Prising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81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Paul Read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581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Elizabeth P. Sartain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812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John R. Walter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812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Edward J. Zore</w:t>
      </w:r>
    </w:p>
    <w:sectPr>
      <w:pgSz w:w="11900" w:h="16838" w:orient="portrait"/>
      <w:cols w:equalWidth="0" w:num="2">
        <w:col w:w="3600" w:space="720"/>
        <w:col w:w="5899"/>
      </w:cols>
      <w:pgMar w:left="24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2019-12-06T05:41:08Z</dcterms:created>
  <dcterms:modified xsi:type="dcterms:W3CDTF">2019-12-06T05:41:08Z</dcterms:modified>
</cp:coreProperties>
</file>