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ectPr>
          <w:pgSz w:w="11900" w:h="16838" w:orient="portrait"/>
          <w:cols w:equalWidth="0" w:num="1">
            <w:col w:w="11620"/>
          </w:cols>
          <w:pgMar w:left="140" w:top="125" w:right="139" w:bottom="1440" w:gutter="0" w:footer="0" w:header="0"/>
        </w:sectPr>
      </w:pPr>
    </w:p>
    <w:p>
      <w:pPr>
        <w:spacing w:after="0" w:line="6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Sartain Elizabeth P</w:t>
              </w:r>
            </w:hyperlink>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60" w:type="dxa"/>
            <w:vAlign w:val="bottom"/>
            <w:gridSpan w:val="3"/>
          </w:tcPr>
          <w:p>
            <w:pPr>
              <w:ind w:left="680"/>
              <w:spacing w:after="0"/>
              <w:rPr>
                <w:sz w:val="20"/>
                <w:szCs w:val="20"/>
                <w:color w:val="auto"/>
              </w:rPr>
            </w:pPr>
            <w:r>
              <w:rPr>
                <w:rFonts w:ascii="Arial" w:cs="Arial" w:eastAsia="Arial" w:hAnsi="Arial"/>
                <w:sz w:val="14"/>
                <w:szCs w:val="14"/>
                <w:color w:val="auto"/>
              </w:rPr>
              <w:t>(First)</w:t>
            </w:r>
          </w:p>
        </w:tc>
        <w:tc>
          <w:tcPr>
            <w:tcW w:w="1140" w:type="dxa"/>
            <w:vAlign w:val="bottom"/>
          </w:tcPr>
          <w:p>
            <w:pPr>
              <w:ind w:left="2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vMerge w:val="restart"/>
          </w:tcPr>
          <w:p>
            <w:pPr>
              <w:spacing w:after="0"/>
              <w:rPr>
                <w:sz w:val="20"/>
                <w:szCs w:val="20"/>
                <w:color w:val="auto"/>
              </w:rPr>
            </w:pPr>
            <w:r>
              <w:rPr>
                <w:rFonts w:ascii="Arial" w:cs="Arial" w:eastAsia="Arial" w:hAnsi="Arial"/>
                <w:sz w:val="18"/>
                <w:szCs w:val="18"/>
                <w:color w:val="0000FF"/>
                <w:w w:val="96"/>
              </w:rPr>
              <w:t>MANPOWER INC.</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gridSpan w:val="5"/>
          </w:tcPr>
          <w:p>
            <w:pPr>
              <w:ind w:left="300"/>
              <w:spacing w:after="0"/>
              <w:rPr>
                <w:sz w:val="20"/>
                <w:szCs w:val="20"/>
                <w:color w:val="auto"/>
              </w:rPr>
            </w:pPr>
            <w:r>
              <w:rPr>
                <w:rFonts w:ascii="Arial" w:cs="Arial" w:eastAsia="Arial" w:hAnsi="Arial"/>
                <w:sz w:val="18"/>
                <w:szCs w:val="18"/>
                <w:color w:val="0000FF"/>
              </w:rPr>
              <w:t>08/03/2010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MILWAUKEE   WI</w:t>
            </w:r>
          </w:p>
        </w:tc>
        <w:tc>
          <w:tcPr>
            <w:tcW w:w="1140" w:type="dxa"/>
            <w:vAlign w:val="bottom"/>
          </w:tcPr>
          <w:p>
            <w:pPr>
              <w:ind w:left="20"/>
              <w:spacing w:after="0"/>
              <w:rPr>
                <w:sz w:val="20"/>
                <w:szCs w:val="20"/>
                <w:color w:val="auto"/>
              </w:rPr>
            </w:pPr>
            <w:r>
              <w:rPr>
                <w:rFonts w:ascii="Arial" w:cs="Arial" w:eastAsia="Arial" w:hAnsi="Arial"/>
                <w:sz w:val="18"/>
                <w:szCs w:val="18"/>
                <w:color w:val="0000FF"/>
              </w:rPr>
              <w:t>53212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60" w:type="dxa"/>
            <w:vAlign w:val="bottom"/>
            <w:gridSpan w:val="3"/>
          </w:tcPr>
          <w:p>
            <w:pPr>
              <w:ind w:left="680"/>
              <w:spacing w:after="0"/>
              <w:rPr>
                <w:sz w:val="20"/>
                <w:szCs w:val="20"/>
                <w:color w:val="auto"/>
              </w:rPr>
            </w:pPr>
            <w:r>
              <w:rPr>
                <w:rFonts w:ascii="Arial" w:cs="Arial" w:eastAsia="Arial" w:hAnsi="Arial"/>
                <w:sz w:val="14"/>
                <w:szCs w:val="14"/>
                <w:color w:val="auto"/>
              </w:rPr>
              <w:t>(State)</w:t>
            </w:r>
          </w:p>
        </w:tc>
        <w:tc>
          <w:tcPr>
            <w:tcW w:w="1140" w:type="dxa"/>
            <w:vAlign w:val="bottom"/>
          </w:tcPr>
          <w:p>
            <w:pPr>
              <w:ind w:left="2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gridSpan w:val="3"/>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0"/>
          </w:tcPr>
          <w:p>
            <w:pPr>
              <w:jc w:val="center"/>
              <w:ind w:left="5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ind w:right="280"/>
              <w:spacing w:after="0"/>
              <w:rPr>
                <w:sz w:val="20"/>
                <w:szCs w:val="20"/>
                <w:color w:val="auto"/>
              </w:rPr>
            </w:pPr>
            <w:r>
              <w:rPr>
                <w:rFonts w:ascii="Arial" w:cs="Arial" w:eastAsia="Arial" w:hAnsi="Arial"/>
                <w:sz w:val="12"/>
                <w:szCs w:val="12"/>
                <w:b w:val="1"/>
                <w:bCs w:val="1"/>
                <w:color w:val="auto"/>
                <w:w w:val="79"/>
              </w:rPr>
              <w:t>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jc w:val="right"/>
              <w:ind w:right="3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5" w:lineRule="exact"/>
              <w:rPr>
                <w:sz w:val="20"/>
                <w:szCs w:val="20"/>
                <w:color w:val="auto"/>
              </w:rPr>
            </w:pPr>
            <w:r>
              <w:rPr>
                <w:rFonts w:ascii="Arial" w:cs="Arial" w:eastAsia="Arial" w:hAnsi="Arial"/>
                <w:sz w:val="12"/>
                <w:szCs w:val="12"/>
                <w:b w:val="1"/>
                <w:bCs w:val="1"/>
                <w:color w:val="auto"/>
                <w:w w:val="93"/>
              </w:rPr>
              <w:t>8)</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210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0"/>
          </w:tcPr>
          <w:p>
            <w:pPr>
              <w:jc w:val="center"/>
              <w:ind w:left="6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80" w:type="dxa"/>
            <w:vAlign w:val="bottom"/>
            <w:gridSpan w:val="17"/>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Securities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20" w:type="dxa"/>
            <w:vAlign w:val="bottom"/>
            <w:gridSpan w:val="2"/>
            <w:vMerge w:val="restart"/>
          </w:tcPr>
          <w:p>
            <w:pPr>
              <w:jc w:val="right"/>
              <w:ind w:right="172"/>
              <w:spacing w:after="0"/>
              <w:rPr>
                <w:sz w:val="20"/>
                <w:szCs w:val="20"/>
                <w:color w:val="auto"/>
              </w:rPr>
            </w:pPr>
            <w:r>
              <w:rPr>
                <w:rFonts w:ascii="Arial" w:cs="Arial" w:eastAsia="Arial" w:hAnsi="Arial"/>
                <w:sz w:val="14"/>
                <w:szCs w:val="14"/>
                <w:color w:val="0000FF"/>
              </w:rPr>
              <w:t>08/03/2010</w:t>
            </w:r>
          </w:p>
        </w:tc>
        <w:tc>
          <w:tcPr>
            <w:tcW w:w="114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843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jc w:val="right"/>
              <w:ind w:right="240"/>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600" w:type="dxa"/>
            <w:vAlign w:val="bottom"/>
            <w:gridSpan w:val="3"/>
            <w:vMerge w:val="restart"/>
          </w:tcPr>
          <w:p>
            <w:pPr>
              <w:ind w:left="160"/>
              <w:spacing w:after="0"/>
              <w:rPr>
                <w:sz w:val="20"/>
                <w:szCs w:val="20"/>
                <w:color w:val="auto"/>
              </w:rPr>
            </w:pPr>
            <w:r>
              <w:rPr>
                <w:rFonts w:ascii="Arial" w:cs="Arial" w:eastAsia="Arial" w:hAnsi="Arial"/>
                <w:sz w:val="18"/>
                <w:szCs w:val="18"/>
                <w:color w:val="0000FF"/>
              </w:rPr>
              <w:t>843</w:t>
            </w:r>
          </w:p>
        </w:tc>
        <w:tc>
          <w:tcPr>
            <w:tcW w:w="2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48.73</w:t>
            </w:r>
            <w:r>
              <w:rPr>
                <w:rFonts w:ascii="Arial" w:cs="Arial" w:eastAsia="Arial" w:hAnsi="Arial"/>
                <w:sz w:val="22"/>
                <w:szCs w:val="22"/>
                <w:color w:val="008000"/>
                <w:vertAlign w:val="superscript"/>
              </w:rPr>
              <w:t>(3)</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0000FF"/>
              </w:rPr>
              <w:t>843</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84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1"/>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2010 and will be settled in shares of Manpower common stock on a 1 for 1 basis on the earlier of August 3, 2013 or within 30 days after the reporting person's termination of service as a director, except as otherwise provided in the Terms and Conditions (as defined below).</w:t>
      </w:r>
    </w:p>
    <w:p>
      <w:pPr>
        <w:ind w:left="40" w:right="80" w:firstLine="1"/>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of deferred stock under the 2003 Equity Incentive Plan of Manpower Inc. and the Terms and Conditions Regarding the Grant of Awards to Non-Employee Directors under the Plan (Amended and Restated Effective January 1, 2008) (the Terms and Conditions"). As permitted under the Terms and Conditions, Ms. Sartain elected to receive the prorated annual grant in restricted stock. This election will be effective October 1, 2010, at which Ms. Sartain will receive a number of shares of restricted stock equal to the number of unvested shares of deferred stock then held by her, and such unvested shares of deferred stock will be forfeited.</w:t>
      </w:r>
    </w:p>
    <w:p>
      <w:pPr>
        <w:spacing w:after="0" w:line="3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Closing Price of Manpower Inc. common stock on the New York Stock Exchange on August 2, 2010.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Kenneth C. Hunt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08/03/2010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Kenneth C. Hunt, signing singly, her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9th day of July, 2010.</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Libby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-10160</wp:posOffset>
            </wp:positionV>
            <wp:extent cx="1304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Libby Sartain</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9194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2019-12-18T01:05:59Z</dcterms:created>
  <dcterms:modified xsi:type="dcterms:W3CDTF">2019-12-18T01:05:59Z</dcterms:modified>
</cp:coreProperties>
</file>